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6E075">
      <w:pPr>
        <w:spacing w:before="624" w:beforeLines="200" w:after="312" w:afterLines="100" w:line="360" w:lineRule="auto"/>
        <w:ind w:left="480" w:leftChars="200" w:right="480" w:rightChars="200" w:firstLine="0" w:firstLineChars="0"/>
        <w:jc w:val="center"/>
        <w:rPr>
          <w:rFonts w:ascii="宋体" w:hAnsi="宋体"/>
          <w:b/>
          <w:sz w:val="44"/>
          <w:szCs w:val="30"/>
        </w:rPr>
      </w:pPr>
      <w:r>
        <w:rPr>
          <w:rFonts w:hint="eastAsia"/>
          <w:b/>
          <w:sz w:val="44"/>
          <w:szCs w:val="30"/>
          <w:lang w:val="en-US" w:eastAsia="zh-CN"/>
        </w:rPr>
        <w:t>基于小程序的护理人员心理弹性管理系统</w:t>
      </w:r>
      <w:r>
        <w:rPr>
          <w:rFonts w:hint="eastAsia" w:ascii="宋体" w:hAnsi="宋体"/>
          <w:b/>
          <w:sz w:val="44"/>
          <w:szCs w:val="30"/>
        </w:rPr>
        <w:t>项目需求</w:t>
      </w:r>
    </w:p>
    <w:p w14:paraId="4113284A">
      <w:pPr>
        <w:pStyle w:val="2"/>
        <w:numPr>
          <w:ilvl w:val="0"/>
          <w:numId w:val="3"/>
        </w:numPr>
        <w:spacing w:before="0" w:after="0"/>
        <w:rPr>
          <w:rFonts w:ascii="宋体" w:hAnsi="宋体"/>
          <w:sz w:val="32"/>
          <w:szCs w:val="32"/>
        </w:rPr>
      </w:pPr>
      <w:r>
        <w:rPr>
          <w:rFonts w:hint="eastAsia" w:ascii="宋体" w:hAnsi="宋体"/>
          <w:sz w:val="32"/>
          <w:szCs w:val="32"/>
        </w:rPr>
        <w:t>项目名称</w:t>
      </w:r>
    </w:p>
    <w:p w14:paraId="73B87DEB">
      <w:pPr>
        <w:spacing w:line="360" w:lineRule="auto"/>
        <w:ind w:left="432"/>
        <w:rPr>
          <w:rFonts w:hint="default" w:ascii="宋体" w:hAnsi="宋体" w:eastAsia="宋体"/>
          <w:sz w:val="24"/>
          <w:szCs w:val="24"/>
          <w:lang w:val="en-US" w:eastAsia="zh-CN"/>
        </w:rPr>
      </w:pPr>
      <w:r>
        <w:rPr>
          <w:rFonts w:hint="eastAsia" w:ascii="宋体" w:hAnsi="宋体"/>
          <w:sz w:val="24"/>
          <w:szCs w:val="24"/>
        </w:rPr>
        <w:t>项目名称：基于小程序的护理人员心理弹性管理系统</w:t>
      </w:r>
    </w:p>
    <w:p w14:paraId="2723F81E">
      <w:pPr>
        <w:spacing w:line="360" w:lineRule="auto"/>
        <w:ind w:left="432"/>
        <w:rPr>
          <w:rFonts w:ascii="宋体" w:hAnsi="宋体"/>
          <w:sz w:val="22"/>
        </w:rPr>
      </w:pPr>
    </w:p>
    <w:p w14:paraId="4770787F">
      <w:pPr>
        <w:pStyle w:val="2"/>
        <w:numPr>
          <w:ilvl w:val="0"/>
          <w:numId w:val="3"/>
        </w:numPr>
        <w:spacing w:before="0" w:after="0"/>
        <w:rPr>
          <w:rFonts w:ascii="宋体" w:hAnsi="宋体" w:eastAsia="宋体"/>
          <w:b/>
          <w:bCs/>
          <w:vanish/>
          <w:kern w:val="44"/>
          <w:szCs w:val="21"/>
        </w:rPr>
      </w:pPr>
      <w:r>
        <w:rPr>
          <w:rFonts w:hint="eastAsia"/>
          <w:sz w:val="32"/>
          <w:szCs w:val="32"/>
          <w:lang w:val="en-US" w:eastAsia="zh-CN"/>
        </w:rPr>
        <w:t>项目内容</w:t>
      </w:r>
    </w:p>
    <w:p w14:paraId="1B2D9331"/>
    <w:p w14:paraId="1E9B618A">
      <w:pPr>
        <w:keepNext w:val="0"/>
        <w:keepLines w:val="0"/>
        <w:widowControl/>
        <w:suppressLineNumbers w:val="0"/>
        <w:ind w:firstLine="420" w:firstLineChars="0"/>
        <w:jc w:val="left"/>
        <w:rPr>
          <w:rFonts w:hint="default" w:ascii="宋体" w:hAnsi="宋体"/>
          <w:sz w:val="24"/>
          <w:szCs w:val="24"/>
          <w:lang w:val="en-US" w:eastAsia="zh-CN"/>
        </w:rPr>
      </w:pPr>
      <w:r>
        <w:rPr>
          <w:rFonts w:hint="eastAsia" w:ascii="宋体" w:hAnsi="宋体" w:eastAsia="宋体" w:cs="宋体"/>
          <w:color w:val="000000"/>
          <w:kern w:val="0"/>
          <w:sz w:val="23"/>
          <w:szCs w:val="23"/>
          <w:lang w:val="en-US" w:eastAsia="zh-CN" w:bidi="ar"/>
        </w:rPr>
        <w:t>本采购项目基于广州市科技计划项目《后疫情时代护士心理弹性数字化评估与干</w:t>
      </w:r>
      <w:r>
        <w:rPr>
          <w:rFonts w:hint="eastAsia" w:ascii="宋体" w:hAnsi="宋体" w:eastAsia="宋体" w:cs="宋体"/>
          <w:color w:val="000000"/>
          <w:kern w:val="0"/>
          <w:sz w:val="24"/>
          <w:szCs w:val="24"/>
          <w:lang w:val="en-US" w:eastAsia="zh-CN" w:bidi="ar"/>
        </w:rPr>
        <w:t>预平台的建设》，拟设计与开发基于小程序的心理弹性管理系统，包含医护使用端、心理医生操作端和管理后台。</w:t>
      </w:r>
      <w:r>
        <w:rPr>
          <w:rFonts w:hint="eastAsia" w:ascii="宋体" w:hAnsi="宋体"/>
          <w:sz w:val="24"/>
          <w:szCs w:val="24"/>
          <w:lang w:val="en-US" w:eastAsia="zh-CN"/>
        </w:rPr>
        <w:t>该</w:t>
      </w:r>
      <w:r>
        <w:rPr>
          <w:rFonts w:hint="eastAsia"/>
          <w:sz w:val="24"/>
          <w:szCs w:val="24"/>
          <w:lang w:val="en-US" w:eastAsia="zh-CN"/>
        </w:rPr>
        <w:t>系统</w:t>
      </w:r>
      <w:r>
        <w:rPr>
          <w:rFonts w:hint="eastAsia" w:ascii="宋体" w:hAnsi="宋体"/>
          <w:sz w:val="24"/>
          <w:szCs w:val="24"/>
          <w:lang w:val="en-US" w:eastAsia="zh-CN"/>
        </w:rPr>
        <w:t>为护理人员提供个性化的心理弹性训练和干预方案，帮助其增强在高压环境下的应对能力，从而提升工作中的情绪调节、</w:t>
      </w:r>
      <w:r>
        <w:rPr>
          <w:rFonts w:hint="eastAsia" w:ascii="宋体" w:hAnsi="宋体" w:eastAsia="宋体" w:cs="宋体"/>
          <w:color w:val="000000"/>
          <w:kern w:val="0"/>
          <w:sz w:val="23"/>
          <w:szCs w:val="23"/>
          <w:lang w:val="en-US" w:eastAsia="zh-CN" w:bidi="ar"/>
        </w:rPr>
        <w:t>压力管理和自我效能</w:t>
      </w:r>
      <w:r>
        <w:rPr>
          <w:rFonts w:hint="eastAsia" w:cs="宋体"/>
          <w:color w:val="000000"/>
          <w:kern w:val="0"/>
          <w:sz w:val="23"/>
          <w:szCs w:val="23"/>
          <w:lang w:val="en-US" w:eastAsia="zh-CN" w:bidi="ar"/>
        </w:rPr>
        <w:t>。</w:t>
      </w:r>
      <w:r>
        <w:rPr>
          <w:rFonts w:hint="eastAsia" w:cs="宋体"/>
          <w:color w:val="000000"/>
          <w:kern w:val="0"/>
          <w:sz w:val="23"/>
          <w:szCs w:val="23"/>
          <w:lang w:val="en-US" w:eastAsia="zh-CN" w:bidi="ar"/>
        </w:rPr>
        <w:tab/>
        <w:t>为此，</w:t>
      </w:r>
      <w:r>
        <w:rPr>
          <w:rFonts w:hint="eastAsia" w:ascii="宋体" w:hAnsi="宋体" w:eastAsia="宋体" w:cs="宋体"/>
          <w:color w:val="000000"/>
          <w:kern w:val="0"/>
          <w:sz w:val="23"/>
          <w:szCs w:val="23"/>
          <w:lang w:val="en-US" w:eastAsia="zh-CN" w:bidi="ar"/>
        </w:rPr>
        <w:t>通过采购心理弹性管理系统将有助于提升我院护理人员的心理健康水平和心理弹性，减轻工作压力，预防职业倦怠，从而提高护理服务质量。该系统的引入符合本课题的研究目标，并将为我院建立持续的心理健康管理平台，推动护理人员心理支持的长效机制。</w:t>
      </w:r>
    </w:p>
    <w:tbl>
      <w:tblPr>
        <w:tblStyle w:val="23"/>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9"/>
        <w:gridCol w:w="3644"/>
        <w:gridCol w:w="3112"/>
        <w:gridCol w:w="1404"/>
      </w:tblGrid>
      <w:tr w14:paraId="20841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3" w:type="pct"/>
            <w:vAlign w:val="center"/>
          </w:tcPr>
          <w:p w14:paraId="18ADCAF9">
            <w:pPr>
              <w:jc w:val="center"/>
              <w:rPr>
                <w:rFonts w:hint="eastAsia" w:ascii="宋体" w:hAnsi="宋体" w:eastAsia="宋体" w:cs="宋体"/>
                <w:b/>
                <w:sz w:val="24"/>
                <w:szCs w:val="32"/>
              </w:rPr>
            </w:pPr>
            <w:r>
              <w:rPr>
                <w:rFonts w:hint="eastAsia" w:ascii="宋体" w:hAnsi="宋体" w:eastAsia="宋体" w:cs="宋体"/>
                <w:b/>
                <w:sz w:val="24"/>
                <w:szCs w:val="32"/>
              </w:rPr>
              <w:t>序号</w:t>
            </w:r>
          </w:p>
        </w:tc>
        <w:tc>
          <w:tcPr>
            <w:tcW w:w="1963" w:type="pct"/>
            <w:vAlign w:val="center"/>
          </w:tcPr>
          <w:p w14:paraId="28477C6B">
            <w:pPr>
              <w:jc w:val="center"/>
              <w:rPr>
                <w:rFonts w:hint="eastAsia" w:ascii="宋体" w:hAnsi="宋体" w:eastAsia="宋体" w:cs="宋体"/>
                <w:b/>
                <w:sz w:val="24"/>
                <w:szCs w:val="32"/>
              </w:rPr>
            </w:pPr>
            <w:r>
              <w:rPr>
                <w:rFonts w:hint="eastAsia" w:ascii="宋体" w:hAnsi="宋体" w:eastAsia="宋体" w:cs="宋体"/>
                <w:b/>
                <w:sz w:val="24"/>
                <w:szCs w:val="32"/>
              </w:rPr>
              <w:t>名称</w:t>
            </w:r>
          </w:p>
        </w:tc>
        <w:tc>
          <w:tcPr>
            <w:tcW w:w="1676" w:type="pct"/>
            <w:vAlign w:val="center"/>
          </w:tcPr>
          <w:p w14:paraId="000413E8">
            <w:pPr>
              <w:jc w:val="both"/>
              <w:rPr>
                <w:rFonts w:hint="eastAsia" w:ascii="宋体" w:hAnsi="宋体" w:eastAsia="宋体" w:cs="宋体"/>
                <w:b/>
                <w:sz w:val="24"/>
                <w:szCs w:val="32"/>
                <w:lang w:val="en-US" w:eastAsia="zh-CN"/>
              </w:rPr>
            </w:pPr>
            <w:r>
              <w:rPr>
                <w:rFonts w:hint="eastAsia" w:cs="宋体"/>
                <w:b/>
                <w:sz w:val="24"/>
                <w:szCs w:val="32"/>
                <w:lang w:val="en-US" w:eastAsia="zh-CN"/>
              </w:rPr>
              <w:t>配置</w:t>
            </w:r>
          </w:p>
        </w:tc>
        <w:tc>
          <w:tcPr>
            <w:tcW w:w="756" w:type="pct"/>
            <w:vAlign w:val="center"/>
          </w:tcPr>
          <w:p w14:paraId="45A38727">
            <w:pPr>
              <w:jc w:val="center"/>
              <w:rPr>
                <w:rFonts w:hint="eastAsia" w:ascii="宋体" w:hAnsi="宋体" w:eastAsia="宋体" w:cs="宋体"/>
                <w:b/>
                <w:sz w:val="24"/>
                <w:szCs w:val="32"/>
              </w:rPr>
            </w:pPr>
            <w:r>
              <w:rPr>
                <w:rFonts w:hint="eastAsia" w:ascii="宋体" w:hAnsi="宋体" w:eastAsia="宋体" w:cs="宋体"/>
                <w:b/>
                <w:sz w:val="24"/>
                <w:szCs w:val="32"/>
              </w:rPr>
              <w:t>数量</w:t>
            </w:r>
          </w:p>
        </w:tc>
      </w:tr>
      <w:tr w14:paraId="0AB60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603" w:type="pct"/>
            <w:vAlign w:val="center"/>
          </w:tcPr>
          <w:p w14:paraId="52C28F8C">
            <w:pPr>
              <w:jc w:val="center"/>
              <w:rPr>
                <w:rFonts w:hint="eastAsia" w:ascii="宋体" w:hAnsi="宋体" w:eastAsia="宋体" w:cs="宋体"/>
                <w:sz w:val="20"/>
                <w:szCs w:val="22"/>
              </w:rPr>
            </w:pPr>
            <w:r>
              <w:rPr>
                <w:rFonts w:hint="eastAsia" w:ascii="宋体" w:hAnsi="宋体" w:eastAsia="宋体" w:cs="宋体"/>
                <w:sz w:val="20"/>
                <w:szCs w:val="22"/>
              </w:rPr>
              <w:t>1</w:t>
            </w:r>
          </w:p>
        </w:tc>
        <w:tc>
          <w:tcPr>
            <w:tcW w:w="1963" w:type="pct"/>
            <w:vAlign w:val="center"/>
          </w:tcPr>
          <w:p w14:paraId="3B88ACF1">
            <w:pPr>
              <w:jc w:val="center"/>
              <w:rPr>
                <w:rFonts w:hint="eastAsia" w:ascii="宋体" w:hAnsi="宋体" w:eastAsia="宋体" w:cs="宋体"/>
                <w:sz w:val="22"/>
                <w:szCs w:val="22"/>
              </w:rPr>
            </w:pPr>
            <w:r>
              <w:rPr>
                <w:rFonts w:hint="eastAsia" w:ascii="宋体" w:hAnsi="宋体"/>
                <w:sz w:val="24"/>
                <w:szCs w:val="24"/>
              </w:rPr>
              <w:t>基于小程序的护理人员心理弹性管理系统</w:t>
            </w:r>
          </w:p>
        </w:tc>
        <w:tc>
          <w:tcPr>
            <w:tcW w:w="1676" w:type="pct"/>
            <w:vAlign w:val="center"/>
          </w:tcPr>
          <w:p w14:paraId="44F6E89F">
            <w:pPr>
              <w:jc w:val="center"/>
              <w:rPr>
                <w:rFonts w:hint="eastAsia" w:ascii="宋体" w:hAnsi="宋体" w:eastAsia="宋体" w:cs="宋体"/>
                <w:sz w:val="22"/>
                <w:szCs w:val="22"/>
                <w:lang w:val="en-US" w:eastAsia="zh-CN"/>
              </w:rPr>
            </w:pPr>
            <w:r>
              <w:rPr>
                <w:rFonts w:hint="eastAsia" w:cs="宋体"/>
                <w:sz w:val="22"/>
                <w:szCs w:val="22"/>
                <w:lang w:val="en-US" w:eastAsia="zh-CN"/>
              </w:rPr>
              <w:t>详见“三.详细配置参数”</w:t>
            </w:r>
          </w:p>
        </w:tc>
        <w:tc>
          <w:tcPr>
            <w:tcW w:w="756" w:type="pct"/>
            <w:vAlign w:val="center"/>
          </w:tcPr>
          <w:p w14:paraId="68331AC7">
            <w:pPr>
              <w:jc w:val="center"/>
              <w:rPr>
                <w:rFonts w:hint="eastAsia" w:ascii="宋体" w:hAnsi="宋体" w:eastAsia="宋体" w:cs="宋体"/>
                <w:color w:val="000000"/>
                <w:sz w:val="22"/>
                <w:szCs w:val="22"/>
              </w:rPr>
            </w:pPr>
            <w:r>
              <w:rPr>
                <w:rFonts w:hint="eastAsia" w:ascii="宋体" w:hAnsi="宋体" w:eastAsia="宋体" w:cs="宋体"/>
                <w:sz w:val="22"/>
                <w:szCs w:val="22"/>
              </w:rPr>
              <w:t>1</w:t>
            </w:r>
            <w:r>
              <w:rPr>
                <w:rFonts w:hint="eastAsia" w:cs="宋体"/>
                <w:sz w:val="22"/>
                <w:szCs w:val="22"/>
                <w:lang w:val="en-US" w:eastAsia="zh-CN"/>
              </w:rPr>
              <w:t>套</w:t>
            </w:r>
          </w:p>
        </w:tc>
      </w:tr>
    </w:tbl>
    <w:p w14:paraId="28CBDF83">
      <w:pPr>
        <w:rPr>
          <w:lang w:val="zh-CN"/>
        </w:rPr>
      </w:pPr>
    </w:p>
    <w:p w14:paraId="6B91FD0A">
      <w:pPr>
        <w:rPr>
          <w:lang w:val="zh-CN"/>
        </w:rPr>
      </w:pPr>
    </w:p>
    <w:p w14:paraId="13C86D4E">
      <w:pPr>
        <w:pStyle w:val="2"/>
        <w:numPr>
          <w:ilvl w:val="0"/>
          <w:numId w:val="3"/>
        </w:numPr>
        <w:spacing w:before="0" w:after="0"/>
        <w:rPr>
          <w:rFonts w:ascii="宋体" w:hAnsi="宋体"/>
          <w:sz w:val="32"/>
          <w:szCs w:val="32"/>
        </w:rPr>
      </w:pPr>
      <w:r>
        <w:rPr>
          <w:rFonts w:hint="eastAsia" w:ascii="宋体" w:hAnsi="宋体"/>
          <w:sz w:val="32"/>
          <w:szCs w:val="32"/>
        </w:rPr>
        <w:t>详细配置参数</w:t>
      </w:r>
      <w:bookmarkStart w:id="0" w:name="_6.1.1、大数据服务器"/>
      <w:bookmarkEnd w:id="0"/>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8"/>
        <w:gridCol w:w="2225"/>
        <w:gridCol w:w="5863"/>
      </w:tblGrid>
      <w:tr w14:paraId="19548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pct"/>
            <w:shd w:val="clear" w:color="auto" w:fill="A5A5A5" w:themeFill="background1" w:themeFillShade="A6"/>
            <w:vAlign w:val="center"/>
          </w:tcPr>
          <w:p w14:paraId="4740899C">
            <w:pPr>
              <w:widowControl/>
              <w:jc w:val="left"/>
              <w:rPr>
                <w:rFonts w:hint="eastAsia" w:ascii="宋体" w:hAnsi="宋体" w:eastAsia="宋体" w:cs="宋体"/>
                <w:b/>
                <w:color w:val="auto"/>
                <w:kern w:val="0"/>
                <w:szCs w:val="21"/>
                <w:highlight w:val="none"/>
                <w:lang w:val="en-US" w:eastAsia="zh-CN"/>
              </w:rPr>
            </w:pPr>
            <w:bookmarkStart w:id="1" w:name="_6.1.2、容器服务器"/>
            <w:bookmarkEnd w:id="1"/>
            <w:r>
              <w:rPr>
                <w:rFonts w:hint="eastAsia" w:ascii="宋体" w:hAnsi="宋体" w:eastAsia="宋体" w:cs="宋体"/>
                <w:b/>
                <w:color w:val="auto"/>
                <w:kern w:val="0"/>
                <w:szCs w:val="21"/>
                <w:highlight w:val="none"/>
                <w:lang w:val="en-US" w:eastAsia="zh-CN"/>
              </w:rPr>
              <w:t>序号</w:t>
            </w:r>
          </w:p>
        </w:tc>
        <w:tc>
          <w:tcPr>
            <w:tcW w:w="1198" w:type="pct"/>
            <w:tcBorders>
              <w:right w:val="single" w:color="auto" w:sz="4" w:space="0"/>
            </w:tcBorders>
            <w:shd w:val="clear" w:color="auto" w:fill="A5A5A5" w:themeFill="background1" w:themeFillShade="A6"/>
            <w:vAlign w:val="center"/>
          </w:tcPr>
          <w:p w14:paraId="49C4FC05">
            <w:pPr>
              <w:widowControl/>
              <w:jc w:val="left"/>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功能模块</w:t>
            </w:r>
          </w:p>
        </w:tc>
        <w:tc>
          <w:tcPr>
            <w:tcW w:w="3156" w:type="pct"/>
            <w:tcBorders>
              <w:left w:val="single" w:color="auto" w:sz="4" w:space="0"/>
            </w:tcBorders>
            <w:shd w:val="clear" w:color="auto" w:fill="A5A5A5" w:themeFill="background1" w:themeFillShade="A6"/>
            <w:vAlign w:val="center"/>
          </w:tcPr>
          <w:p w14:paraId="08400603">
            <w:pPr>
              <w:widowControl/>
              <w:jc w:val="left"/>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功能描述</w:t>
            </w:r>
          </w:p>
        </w:tc>
      </w:tr>
      <w:tr w14:paraId="3D5DB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45" w:type="pct"/>
            <w:vMerge w:val="restart"/>
            <w:vAlign w:val="center"/>
          </w:tcPr>
          <w:p w14:paraId="781544C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val="0"/>
                <w:color w:val="auto"/>
                <w:kern w:val="0"/>
                <w:sz w:val="22"/>
                <w:szCs w:val="22"/>
                <w:highlight w:val="none"/>
                <w:lang w:val="en-US" w:eastAsia="zh-CN"/>
              </w:rPr>
            </w:pPr>
            <w:r>
              <w:rPr>
                <w:rFonts w:hint="eastAsia" w:ascii="宋体" w:hAnsi="宋体" w:eastAsia="宋体" w:cs="宋体"/>
                <w:b/>
                <w:bCs w:val="0"/>
                <w:color w:val="auto"/>
                <w:kern w:val="0"/>
                <w:sz w:val="22"/>
                <w:szCs w:val="22"/>
                <w:highlight w:val="none"/>
                <w:lang w:val="en-US" w:eastAsia="zh-CN"/>
              </w:rPr>
              <w:t>1</w:t>
            </w:r>
          </w:p>
        </w:tc>
        <w:tc>
          <w:tcPr>
            <w:tcW w:w="1198" w:type="pct"/>
            <w:vMerge w:val="restart"/>
            <w:tcBorders>
              <w:right w:val="single" w:color="auto" w:sz="4" w:space="0"/>
            </w:tcBorders>
            <w:vAlign w:val="center"/>
          </w:tcPr>
          <w:p w14:paraId="23434CCC">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sz w:val="22"/>
                <w:szCs w:val="22"/>
                <w:lang w:val="en-US" w:eastAsia="zh-CN"/>
              </w:rPr>
            </w:pPr>
            <w:r>
              <w:rPr>
                <w:rFonts w:hint="eastAsia"/>
                <w:b/>
                <w:bCs w:val="0"/>
                <w:sz w:val="22"/>
                <w:szCs w:val="22"/>
                <w:lang w:val="en-US" w:eastAsia="zh-CN"/>
              </w:rPr>
              <w:t>医护端使用端小程序</w:t>
            </w:r>
          </w:p>
        </w:tc>
        <w:tc>
          <w:tcPr>
            <w:tcW w:w="3156" w:type="pct"/>
            <w:tcBorders>
              <w:top w:val="single" w:color="auto" w:sz="4" w:space="0"/>
              <w:left w:val="single" w:color="auto" w:sz="4" w:space="0"/>
            </w:tcBorders>
            <w:vAlign w:val="center"/>
          </w:tcPr>
          <w:p w14:paraId="71800FA6">
            <w:pPr>
              <w:bidi w:val="0"/>
              <w:jc w:val="left"/>
              <w:rPr>
                <w:rFonts w:hint="eastAsia"/>
                <w:sz w:val="22"/>
                <w:szCs w:val="22"/>
                <w:lang w:val="en-US" w:eastAsia="zh-CN"/>
              </w:rPr>
            </w:pPr>
            <w:r>
              <w:rPr>
                <w:rFonts w:hint="eastAsia"/>
                <w:b/>
                <w:bCs/>
                <w:sz w:val="22"/>
                <w:szCs w:val="22"/>
                <w:lang w:val="en-US" w:eastAsia="zh-CN"/>
              </w:rPr>
              <w:t>1.</w:t>
            </w:r>
            <w:r>
              <w:rPr>
                <w:rFonts w:hint="eastAsia"/>
                <w:b/>
                <w:bCs/>
                <w:sz w:val="22"/>
                <w:szCs w:val="22"/>
              </w:rPr>
              <w:t>心理评估与训练功能：</w:t>
            </w:r>
            <w:r>
              <w:rPr>
                <w:rFonts w:hint="eastAsia"/>
                <w:sz w:val="22"/>
                <w:szCs w:val="22"/>
              </w:rPr>
              <w:t>开展周期性的心理评估，可动态跟踪用户心理健康状况，及时发现潜在问题。周期性的弹性训练为期 8 周，以音视频形式呈现，为用户提供系统的心理训练课程，助力用户提升心理</w:t>
            </w:r>
            <w:r>
              <w:rPr>
                <w:rFonts w:hint="eastAsia"/>
                <w:sz w:val="22"/>
                <w:szCs w:val="22"/>
                <w:lang w:val="en-US" w:eastAsia="zh-CN"/>
              </w:rPr>
              <w:t>弹</w:t>
            </w:r>
            <w:r>
              <w:rPr>
                <w:rFonts w:hint="eastAsia"/>
                <w:sz w:val="22"/>
                <w:szCs w:val="22"/>
              </w:rPr>
              <w:t>性。</w:t>
            </w:r>
          </w:p>
        </w:tc>
      </w:tr>
      <w:tr w14:paraId="49187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45" w:type="pct"/>
            <w:vMerge w:val="continue"/>
            <w:vAlign w:val="center"/>
          </w:tcPr>
          <w:p w14:paraId="150692A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val="0"/>
                <w:color w:val="auto"/>
                <w:kern w:val="0"/>
                <w:sz w:val="22"/>
                <w:szCs w:val="22"/>
                <w:highlight w:val="none"/>
                <w:lang w:val="en-US" w:eastAsia="zh-CN"/>
              </w:rPr>
            </w:pPr>
          </w:p>
        </w:tc>
        <w:tc>
          <w:tcPr>
            <w:tcW w:w="1198" w:type="pct"/>
            <w:vMerge w:val="continue"/>
            <w:tcBorders>
              <w:right w:val="single" w:color="auto" w:sz="4" w:space="0"/>
            </w:tcBorders>
            <w:vAlign w:val="center"/>
          </w:tcPr>
          <w:p w14:paraId="4DE2FD40">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sz w:val="22"/>
                <w:szCs w:val="22"/>
                <w:lang w:val="en-US" w:eastAsia="zh-CN"/>
              </w:rPr>
            </w:pPr>
          </w:p>
        </w:tc>
        <w:tc>
          <w:tcPr>
            <w:tcW w:w="3156" w:type="pct"/>
            <w:tcBorders>
              <w:top w:val="single" w:color="auto" w:sz="4" w:space="0"/>
              <w:left w:val="single" w:color="auto" w:sz="4" w:space="0"/>
            </w:tcBorders>
            <w:shd w:val="clear" w:color="auto" w:fill="auto"/>
            <w:vAlign w:val="center"/>
          </w:tcPr>
          <w:p w14:paraId="348B5084">
            <w:pPr>
              <w:bidi w:val="0"/>
              <w:jc w:val="left"/>
              <w:rPr>
                <w:rFonts w:hint="eastAsia" w:ascii="宋体" w:hAnsi="宋体" w:eastAsia="宋体" w:cs="Times New Roman"/>
                <w:kern w:val="2"/>
                <w:sz w:val="22"/>
                <w:szCs w:val="22"/>
                <w:lang w:val="en-US" w:eastAsia="zh-CN" w:bidi="ar-SA"/>
              </w:rPr>
            </w:pPr>
            <w:r>
              <w:rPr>
                <w:rFonts w:hint="eastAsia"/>
                <w:b/>
                <w:bCs/>
                <w:sz w:val="22"/>
                <w:szCs w:val="22"/>
                <w:lang w:val="en-US" w:eastAsia="zh-CN"/>
              </w:rPr>
              <w:t>2.</w:t>
            </w:r>
            <w:r>
              <w:rPr>
                <w:rFonts w:hint="eastAsia"/>
                <w:b/>
                <w:bCs/>
                <w:sz w:val="22"/>
                <w:szCs w:val="22"/>
              </w:rPr>
              <w:t>个性化提醒与学习功能</w:t>
            </w:r>
            <w:r>
              <w:rPr>
                <w:rFonts w:hint="eastAsia"/>
                <w:sz w:val="22"/>
                <w:szCs w:val="22"/>
              </w:rPr>
              <w:t>：消息提醒支持自定义设置，用户可根据自身需求设定提醒时间和内容，不错过重要的训练、评估等事项。同时完成打卡可获得积分，激励用户坚持参与心理训练和学习。</w:t>
            </w:r>
          </w:p>
        </w:tc>
      </w:tr>
      <w:tr w14:paraId="11FAB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2" w:hRule="atLeast"/>
        </w:trPr>
        <w:tc>
          <w:tcPr>
            <w:tcW w:w="645" w:type="pct"/>
            <w:vMerge w:val="continue"/>
            <w:vAlign w:val="center"/>
          </w:tcPr>
          <w:p w14:paraId="1216F31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val="0"/>
                <w:color w:val="auto"/>
                <w:kern w:val="0"/>
                <w:sz w:val="22"/>
                <w:szCs w:val="22"/>
                <w:highlight w:val="none"/>
                <w:lang w:val="en-US" w:eastAsia="zh-CN"/>
              </w:rPr>
            </w:pPr>
          </w:p>
        </w:tc>
        <w:tc>
          <w:tcPr>
            <w:tcW w:w="1198" w:type="pct"/>
            <w:vMerge w:val="continue"/>
            <w:tcBorders>
              <w:right w:val="single" w:color="auto" w:sz="4" w:space="0"/>
            </w:tcBorders>
            <w:vAlign w:val="center"/>
          </w:tcPr>
          <w:p w14:paraId="7199BC15">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sz w:val="22"/>
                <w:szCs w:val="22"/>
                <w:lang w:val="en-US" w:eastAsia="zh-CN"/>
              </w:rPr>
            </w:pPr>
          </w:p>
        </w:tc>
        <w:tc>
          <w:tcPr>
            <w:tcW w:w="3156" w:type="pct"/>
            <w:tcBorders>
              <w:top w:val="single" w:color="auto" w:sz="4" w:space="0"/>
              <w:left w:val="single" w:color="auto" w:sz="4" w:space="0"/>
            </w:tcBorders>
            <w:shd w:val="clear" w:color="auto" w:fill="auto"/>
            <w:vAlign w:val="center"/>
          </w:tcPr>
          <w:p w14:paraId="308EB34B">
            <w:pPr>
              <w:bidi w:val="0"/>
              <w:jc w:val="left"/>
              <w:rPr>
                <w:rFonts w:hint="eastAsia" w:ascii="宋体" w:hAnsi="宋体" w:eastAsia="宋体" w:cs="Times New Roman"/>
                <w:kern w:val="2"/>
                <w:sz w:val="22"/>
                <w:szCs w:val="22"/>
                <w:lang w:val="en-US" w:eastAsia="zh-CN" w:bidi="ar-SA"/>
              </w:rPr>
            </w:pPr>
            <w:r>
              <w:rPr>
                <w:rFonts w:hint="eastAsia"/>
                <w:b/>
                <w:bCs/>
                <w:sz w:val="22"/>
                <w:szCs w:val="22"/>
                <w:lang w:val="en-US" w:eastAsia="zh-CN"/>
              </w:rPr>
              <w:t>3.</w:t>
            </w:r>
            <w:r>
              <w:rPr>
                <w:rFonts w:hint="eastAsia"/>
                <w:b/>
                <w:bCs/>
                <w:sz w:val="22"/>
                <w:szCs w:val="22"/>
              </w:rPr>
              <w:t>心理咨询服务功能：</w:t>
            </w:r>
            <w:r>
              <w:rPr>
                <w:rFonts w:hint="eastAsia"/>
                <w:sz w:val="22"/>
                <w:szCs w:val="22"/>
              </w:rPr>
              <w:t>用户既可以在线发起心理咨询，随时随地获取专业心理支持；也能预约线下心理咨询，满足不同用户对于咨询方式的偏好，提供更个性化的服务。</w:t>
            </w:r>
          </w:p>
        </w:tc>
      </w:tr>
      <w:tr w14:paraId="5C6E5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2" w:hRule="atLeast"/>
        </w:trPr>
        <w:tc>
          <w:tcPr>
            <w:tcW w:w="645" w:type="pct"/>
            <w:vMerge w:val="continue"/>
            <w:vAlign w:val="center"/>
          </w:tcPr>
          <w:p w14:paraId="7D720CB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val="0"/>
                <w:color w:val="auto"/>
                <w:kern w:val="0"/>
                <w:sz w:val="22"/>
                <w:szCs w:val="22"/>
                <w:highlight w:val="none"/>
                <w:lang w:val="en-US" w:eastAsia="zh-CN"/>
              </w:rPr>
            </w:pPr>
          </w:p>
        </w:tc>
        <w:tc>
          <w:tcPr>
            <w:tcW w:w="1198" w:type="pct"/>
            <w:vMerge w:val="continue"/>
            <w:tcBorders>
              <w:right w:val="single" w:color="auto" w:sz="4" w:space="0"/>
            </w:tcBorders>
            <w:vAlign w:val="center"/>
          </w:tcPr>
          <w:p w14:paraId="3CDBBA2B">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sz w:val="22"/>
                <w:szCs w:val="22"/>
                <w:lang w:val="en-US" w:eastAsia="zh-CN"/>
              </w:rPr>
            </w:pPr>
          </w:p>
        </w:tc>
        <w:tc>
          <w:tcPr>
            <w:tcW w:w="3156" w:type="pct"/>
            <w:tcBorders>
              <w:top w:val="single" w:color="auto" w:sz="4" w:space="0"/>
              <w:left w:val="single" w:color="auto" w:sz="4" w:space="0"/>
            </w:tcBorders>
            <w:shd w:val="clear" w:color="auto" w:fill="auto"/>
            <w:vAlign w:val="center"/>
          </w:tcPr>
          <w:p w14:paraId="539366D8">
            <w:pPr>
              <w:bidi w:val="0"/>
              <w:jc w:val="left"/>
              <w:rPr>
                <w:rFonts w:hint="eastAsia" w:ascii="宋体" w:hAnsi="宋体" w:eastAsia="宋体" w:cs="Times New Roman"/>
                <w:kern w:val="2"/>
                <w:sz w:val="22"/>
                <w:szCs w:val="22"/>
                <w:lang w:val="en-US" w:eastAsia="zh-CN" w:bidi="ar-SA"/>
              </w:rPr>
            </w:pPr>
            <w:r>
              <w:rPr>
                <w:rFonts w:hint="eastAsia"/>
                <w:b/>
                <w:bCs/>
                <w:sz w:val="22"/>
                <w:szCs w:val="22"/>
                <w:lang w:val="en-US" w:eastAsia="zh-CN"/>
              </w:rPr>
              <w:t>4.</w:t>
            </w:r>
            <w:r>
              <w:rPr>
                <w:rFonts w:hint="eastAsia"/>
                <w:b/>
                <w:bCs/>
                <w:sz w:val="22"/>
                <w:szCs w:val="22"/>
              </w:rPr>
              <w:t>音乐疗愈功能：</w:t>
            </w:r>
            <w:r>
              <w:rPr>
                <w:rFonts w:hint="eastAsia"/>
                <w:sz w:val="22"/>
                <w:szCs w:val="22"/>
              </w:rPr>
              <w:t>提供音乐疗愈服务，涵盖轻音乐、白噪音等多种类型，帮助用户放松身心、缓解压力。同时支持收藏功能，方便用户随时找到自己喜欢的疗愈音乐</w:t>
            </w:r>
            <w:r>
              <w:rPr>
                <w:rFonts w:hint="eastAsia"/>
                <w:sz w:val="22"/>
                <w:szCs w:val="22"/>
                <w:lang w:eastAsia="zh-CN"/>
              </w:rPr>
              <w:t>。</w:t>
            </w:r>
          </w:p>
        </w:tc>
      </w:tr>
      <w:tr w14:paraId="17577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645" w:type="pct"/>
            <w:vMerge w:val="continue"/>
            <w:vAlign w:val="center"/>
          </w:tcPr>
          <w:p w14:paraId="574E841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val="0"/>
                <w:color w:val="auto"/>
                <w:kern w:val="0"/>
                <w:sz w:val="22"/>
                <w:szCs w:val="22"/>
                <w:highlight w:val="none"/>
                <w:lang w:val="en-US" w:eastAsia="zh-CN"/>
              </w:rPr>
            </w:pPr>
          </w:p>
        </w:tc>
        <w:tc>
          <w:tcPr>
            <w:tcW w:w="1198" w:type="pct"/>
            <w:vMerge w:val="continue"/>
            <w:tcBorders>
              <w:right w:val="single" w:color="auto" w:sz="4" w:space="0"/>
            </w:tcBorders>
            <w:vAlign w:val="center"/>
          </w:tcPr>
          <w:p w14:paraId="47CBD58F">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sz w:val="22"/>
                <w:szCs w:val="22"/>
                <w:lang w:val="en-US" w:eastAsia="zh-CN"/>
              </w:rPr>
            </w:pPr>
          </w:p>
        </w:tc>
        <w:tc>
          <w:tcPr>
            <w:tcW w:w="3156" w:type="pct"/>
            <w:tcBorders>
              <w:top w:val="single" w:color="auto" w:sz="4" w:space="0"/>
              <w:left w:val="single" w:color="auto" w:sz="4" w:space="0"/>
            </w:tcBorders>
            <w:shd w:val="clear" w:color="auto" w:fill="auto"/>
            <w:vAlign w:val="center"/>
          </w:tcPr>
          <w:p w14:paraId="7B8B7F4A">
            <w:pPr>
              <w:bidi w:val="0"/>
              <w:jc w:val="left"/>
              <w:rPr>
                <w:rFonts w:hint="eastAsia" w:ascii="宋体" w:hAnsi="宋体" w:eastAsia="宋体" w:cs="Times New Roman"/>
                <w:kern w:val="2"/>
                <w:sz w:val="22"/>
                <w:szCs w:val="22"/>
                <w:lang w:val="en-US" w:eastAsia="zh-CN" w:bidi="ar-SA"/>
              </w:rPr>
            </w:pPr>
            <w:r>
              <w:rPr>
                <w:rFonts w:hint="eastAsia"/>
                <w:b/>
                <w:bCs/>
                <w:sz w:val="22"/>
                <w:szCs w:val="22"/>
                <w:lang w:val="en-US" w:eastAsia="zh-CN"/>
              </w:rPr>
              <w:t>5.</w:t>
            </w:r>
            <w:r>
              <w:rPr>
                <w:rFonts w:hint="eastAsia"/>
                <w:b/>
                <w:bCs/>
                <w:sz w:val="22"/>
                <w:szCs w:val="22"/>
              </w:rPr>
              <w:t>帮助与反馈功能：</w:t>
            </w:r>
            <w:r>
              <w:rPr>
                <w:rFonts w:hint="eastAsia"/>
                <w:sz w:val="22"/>
                <w:szCs w:val="22"/>
              </w:rPr>
              <w:t>设有帮助与反馈板块，用户在使用小程序过程中遇到问题或有改进建议时，可通过该功能获取帮助或提交反馈，促进小程序的优化和完善</w:t>
            </w:r>
            <w:r>
              <w:rPr>
                <w:rFonts w:hint="eastAsia"/>
                <w:sz w:val="22"/>
                <w:szCs w:val="22"/>
                <w:lang w:eastAsia="zh-CN"/>
              </w:rPr>
              <w:t>。</w:t>
            </w:r>
          </w:p>
        </w:tc>
      </w:tr>
      <w:tr w14:paraId="561C3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645" w:type="pct"/>
            <w:vMerge w:val="restart"/>
            <w:vAlign w:val="center"/>
          </w:tcPr>
          <w:p w14:paraId="4C3FD1A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val="0"/>
                <w:color w:val="auto"/>
                <w:kern w:val="0"/>
                <w:sz w:val="22"/>
                <w:szCs w:val="22"/>
                <w:highlight w:val="none"/>
                <w:lang w:val="en-US" w:eastAsia="zh-CN"/>
              </w:rPr>
            </w:pPr>
            <w:r>
              <w:rPr>
                <w:rFonts w:hint="eastAsia" w:ascii="宋体" w:hAnsi="宋体" w:eastAsia="宋体" w:cs="宋体"/>
                <w:b/>
                <w:bCs w:val="0"/>
                <w:color w:val="auto"/>
                <w:kern w:val="0"/>
                <w:sz w:val="22"/>
                <w:szCs w:val="22"/>
                <w:highlight w:val="none"/>
                <w:lang w:val="en-US" w:eastAsia="zh-CN"/>
              </w:rPr>
              <w:t>2</w:t>
            </w:r>
          </w:p>
        </w:tc>
        <w:tc>
          <w:tcPr>
            <w:tcW w:w="1198" w:type="pct"/>
            <w:vMerge w:val="restart"/>
            <w:tcBorders>
              <w:right w:val="single" w:color="auto" w:sz="4" w:space="0"/>
            </w:tcBorders>
            <w:vAlign w:val="center"/>
          </w:tcPr>
          <w:p w14:paraId="1470F66A">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sz w:val="22"/>
                <w:szCs w:val="22"/>
                <w:lang w:val="en-US" w:eastAsia="zh-CN"/>
              </w:rPr>
            </w:pPr>
            <w:r>
              <w:rPr>
                <w:rFonts w:hint="eastAsia"/>
                <w:b/>
                <w:bCs w:val="0"/>
                <w:sz w:val="22"/>
                <w:szCs w:val="22"/>
                <w:lang w:val="en-US" w:eastAsia="zh-CN"/>
              </w:rPr>
              <w:t>心理医生端小程序</w:t>
            </w:r>
          </w:p>
        </w:tc>
        <w:tc>
          <w:tcPr>
            <w:tcW w:w="3156" w:type="pct"/>
            <w:tcBorders>
              <w:left w:val="single" w:color="auto" w:sz="4" w:space="0"/>
            </w:tcBorders>
            <w:vAlign w:val="center"/>
          </w:tcPr>
          <w:p w14:paraId="61695BB6">
            <w:pPr>
              <w:bidi w:val="0"/>
              <w:jc w:val="left"/>
              <w:rPr>
                <w:rFonts w:hint="eastAsia" w:eastAsia="宋体"/>
                <w:sz w:val="22"/>
                <w:szCs w:val="22"/>
                <w:lang w:eastAsia="zh-CN"/>
              </w:rPr>
            </w:pPr>
            <w:r>
              <w:rPr>
                <w:rFonts w:hint="eastAsia"/>
                <w:b/>
                <w:bCs/>
                <w:sz w:val="22"/>
                <w:szCs w:val="22"/>
                <w:lang w:val="en-US" w:eastAsia="zh-CN"/>
              </w:rPr>
              <w:t>1.</w:t>
            </w:r>
            <w:r>
              <w:rPr>
                <w:rFonts w:hint="eastAsia"/>
                <w:b/>
                <w:bCs/>
                <w:sz w:val="22"/>
                <w:szCs w:val="22"/>
              </w:rPr>
              <w:t>在线心理咨询功能</w:t>
            </w:r>
            <w:r>
              <w:rPr>
                <w:rFonts w:hint="eastAsia"/>
                <w:b/>
                <w:bCs/>
                <w:sz w:val="22"/>
                <w:szCs w:val="22"/>
                <w:lang w:eastAsia="zh-CN"/>
              </w:rPr>
              <w:t>：</w:t>
            </w:r>
            <w:r>
              <w:rPr>
                <w:rFonts w:hint="eastAsia"/>
                <w:sz w:val="22"/>
                <w:szCs w:val="22"/>
              </w:rPr>
              <w:t>支持医护人员在线接受心理咨询，能够通过文字、语音或视频等多种方式进行实时沟通</w:t>
            </w:r>
            <w:r>
              <w:rPr>
                <w:rFonts w:hint="eastAsia"/>
                <w:sz w:val="22"/>
                <w:szCs w:val="22"/>
                <w:lang w:eastAsia="zh-CN"/>
              </w:rPr>
              <w:t>。</w:t>
            </w:r>
          </w:p>
        </w:tc>
      </w:tr>
      <w:tr w14:paraId="7D89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645" w:type="pct"/>
            <w:vMerge w:val="continue"/>
            <w:vAlign w:val="center"/>
          </w:tcPr>
          <w:p w14:paraId="3CC88C6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val="0"/>
                <w:color w:val="auto"/>
                <w:kern w:val="0"/>
                <w:sz w:val="22"/>
                <w:szCs w:val="22"/>
                <w:highlight w:val="none"/>
                <w:lang w:val="en-US" w:eastAsia="zh-CN"/>
              </w:rPr>
            </w:pPr>
          </w:p>
        </w:tc>
        <w:tc>
          <w:tcPr>
            <w:tcW w:w="1198" w:type="pct"/>
            <w:vMerge w:val="continue"/>
            <w:tcBorders>
              <w:right w:val="single" w:color="auto" w:sz="4" w:space="0"/>
            </w:tcBorders>
            <w:vAlign w:val="center"/>
          </w:tcPr>
          <w:p w14:paraId="4F9C83C1">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sz w:val="22"/>
                <w:szCs w:val="22"/>
                <w:lang w:val="en-US" w:eastAsia="zh-CN"/>
              </w:rPr>
            </w:pPr>
          </w:p>
        </w:tc>
        <w:tc>
          <w:tcPr>
            <w:tcW w:w="3156" w:type="pct"/>
            <w:tcBorders>
              <w:left w:val="single" w:color="auto" w:sz="4" w:space="0"/>
            </w:tcBorders>
            <w:vAlign w:val="center"/>
          </w:tcPr>
          <w:p w14:paraId="36E47338">
            <w:pPr>
              <w:bidi w:val="0"/>
              <w:jc w:val="left"/>
              <w:rPr>
                <w:rFonts w:hint="eastAsia" w:eastAsia="宋体"/>
                <w:sz w:val="22"/>
                <w:szCs w:val="22"/>
                <w:lang w:val="en-US" w:eastAsia="zh-CN"/>
              </w:rPr>
            </w:pPr>
            <w:r>
              <w:rPr>
                <w:rFonts w:hint="eastAsia"/>
                <w:b/>
                <w:bCs/>
                <w:sz w:val="22"/>
                <w:szCs w:val="22"/>
                <w:lang w:val="en-US" w:eastAsia="zh-CN"/>
              </w:rPr>
              <w:t>2.</w:t>
            </w:r>
            <w:r>
              <w:rPr>
                <w:rFonts w:hint="eastAsia"/>
                <w:b/>
                <w:bCs/>
                <w:sz w:val="22"/>
                <w:szCs w:val="22"/>
              </w:rPr>
              <w:t>文件、音视频、问卷推送功能</w:t>
            </w:r>
            <w:r>
              <w:rPr>
                <w:rFonts w:hint="eastAsia"/>
                <w:b/>
                <w:bCs/>
                <w:sz w:val="22"/>
                <w:szCs w:val="22"/>
                <w:lang w:eastAsia="zh-CN"/>
              </w:rPr>
              <w:t>：</w:t>
            </w:r>
            <w:r>
              <w:rPr>
                <w:rFonts w:hint="eastAsia"/>
                <w:sz w:val="22"/>
                <w:szCs w:val="22"/>
              </w:rPr>
              <w:t>支持推送文件、音视频资料以及问卷</w:t>
            </w:r>
            <w:r>
              <w:rPr>
                <w:rFonts w:hint="eastAsia"/>
                <w:sz w:val="22"/>
                <w:szCs w:val="22"/>
                <w:lang w:eastAsia="zh-CN"/>
              </w:rPr>
              <w:t>。</w:t>
            </w:r>
          </w:p>
        </w:tc>
      </w:tr>
      <w:tr w14:paraId="344A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trPr>
        <w:tc>
          <w:tcPr>
            <w:tcW w:w="645" w:type="pct"/>
            <w:vMerge w:val="continue"/>
            <w:vAlign w:val="center"/>
          </w:tcPr>
          <w:p w14:paraId="0D145D6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val="0"/>
                <w:color w:val="auto"/>
                <w:kern w:val="0"/>
                <w:sz w:val="22"/>
                <w:szCs w:val="22"/>
                <w:highlight w:val="none"/>
                <w:lang w:val="en-US" w:eastAsia="zh-CN"/>
              </w:rPr>
            </w:pPr>
          </w:p>
        </w:tc>
        <w:tc>
          <w:tcPr>
            <w:tcW w:w="1198" w:type="pct"/>
            <w:vMerge w:val="continue"/>
            <w:tcBorders>
              <w:right w:val="single" w:color="auto" w:sz="4" w:space="0"/>
            </w:tcBorders>
            <w:vAlign w:val="center"/>
          </w:tcPr>
          <w:p w14:paraId="07E97E2D">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sz w:val="22"/>
                <w:szCs w:val="22"/>
                <w:lang w:val="en-US" w:eastAsia="zh-CN"/>
              </w:rPr>
            </w:pPr>
          </w:p>
        </w:tc>
        <w:tc>
          <w:tcPr>
            <w:tcW w:w="3156" w:type="pct"/>
            <w:tcBorders>
              <w:left w:val="single" w:color="auto" w:sz="4" w:space="0"/>
            </w:tcBorders>
            <w:vAlign w:val="center"/>
          </w:tcPr>
          <w:p w14:paraId="3BFA376A">
            <w:pPr>
              <w:bidi w:val="0"/>
              <w:jc w:val="left"/>
              <w:rPr>
                <w:rFonts w:hint="eastAsia" w:eastAsia="宋体"/>
                <w:sz w:val="22"/>
                <w:szCs w:val="22"/>
                <w:lang w:val="en-US" w:eastAsia="zh-CN"/>
              </w:rPr>
            </w:pPr>
            <w:r>
              <w:rPr>
                <w:rFonts w:hint="eastAsia"/>
                <w:b/>
                <w:bCs/>
                <w:sz w:val="22"/>
                <w:szCs w:val="22"/>
                <w:lang w:val="en-US" w:eastAsia="zh-CN"/>
              </w:rPr>
              <w:t>3.</w:t>
            </w:r>
            <w:r>
              <w:rPr>
                <w:rFonts w:hint="eastAsia"/>
                <w:b/>
                <w:bCs/>
                <w:sz w:val="22"/>
                <w:szCs w:val="22"/>
              </w:rPr>
              <w:t>个人账号编辑管理功能</w:t>
            </w:r>
            <w:r>
              <w:rPr>
                <w:rFonts w:hint="eastAsia"/>
                <w:b/>
                <w:bCs/>
                <w:sz w:val="22"/>
                <w:szCs w:val="22"/>
                <w:lang w:val="en-US" w:eastAsia="zh-CN"/>
              </w:rPr>
              <w:t>:</w:t>
            </w:r>
            <w:r>
              <w:rPr>
                <w:rFonts w:hint="eastAsia"/>
                <w:sz w:val="22"/>
                <w:szCs w:val="22"/>
              </w:rPr>
              <w:t>对个人账号进行编辑和管理，包括个人信息的更新、隐私设置等</w:t>
            </w:r>
            <w:r>
              <w:rPr>
                <w:rFonts w:hint="eastAsia"/>
                <w:sz w:val="22"/>
                <w:szCs w:val="22"/>
                <w:lang w:eastAsia="zh-CN"/>
              </w:rPr>
              <w:t>。</w:t>
            </w:r>
          </w:p>
        </w:tc>
      </w:tr>
      <w:tr w14:paraId="1F7C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645" w:type="pct"/>
            <w:vMerge w:val="continue"/>
            <w:vAlign w:val="center"/>
          </w:tcPr>
          <w:p w14:paraId="69B9316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val="0"/>
                <w:color w:val="auto"/>
                <w:kern w:val="0"/>
                <w:sz w:val="22"/>
                <w:szCs w:val="22"/>
                <w:highlight w:val="none"/>
                <w:lang w:val="en-US" w:eastAsia="zh-CN"/>
              </w:rPr>
            </w:pPr>
          </w:p>
        </w:tc>
        <w:tc>
          <w:tcPr>
            <w:tcW w:w="1198" w:type="pct"/>
            <w:vMerge w:val="continue"/>
            <w:tcBorders>
              <w:right w:val="single" w:color="auto" w:sz="4" w:space="0"/>
            </w:tcBorders>
            <w:vAlign w:val="center"/>
          </w:tcPr>
          <w:p w14:paraId="593F0901">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sz w:val="22"/>
                <w:szCs w:val="22"/>
                <w:lang w:val="en-US" w:eastAsia="zh-CN"/>
              </w:rPr>
            </w:pPr>
          </w:p>
        </w:tc>
        <w:tc>
          <w:tcPr>
            <w:tcW w:w="3156" w:type="pct"/>
            <w:tcBorders>
              <w:left w:val="single" w:color="auto" w:sz="4" w:space="0"/>
            </w:tcBorders>
            <w:vAlign w:val="center"/>
          </w:tcPr>
          <w:p w14:paraId="75C4CFDC">
            <w:pPr>
              <w:bidi w:val="0"/>
              <w:jc w:val="left"/>
              <w:rPr>
                <w:rFonts w:hint="eastAsia" w:eastAsia="宋体"/>
                <w:sz w:val="22"/>
                <w:szCs w:val="22"/>
                <w:lang w:val="en-US" w:eastAsia="zh-CN"/>
              </w:rPr>
            </w:pPr>
            <w:r>
              <w:rPr>
                <w:rFonts w:hint="eastAsia"/>
                <w:b/>
                <w:bCs/>
                <w:sz w:val="22"/>
                <w:szCs w:val="22"/>
                <w:lang w:val="en-US" w:eastAsia="zh-CN"/>
              </w:rPr>
              <w:t>4.</w:t>
            </w:r>
            <w:r>
              <w:rPr>
                <w:rFonts w:hint="eastAsia"/>
                <w:b/>
                <w:bCs/>
                <w:sz w:val="22"/>
                <w:szCs w:val="22"/>
              </w:rPr>
              <w:t>帮助与反馈功能</w:t>
            </w:r>
            <w:r>
              <w:rPr>
                <w:rFonts w:hint="eastAsia"/>
                <w:b/>
                <w:bCs/>
                <w:sz w:val="22"/>
                <w:szCs w:val="22"/>
                <w:lang w:val="en-US" w:eastAsia="zh-CN"/>
              </w:rPr>
              <w:t>:</w:t>
            </w:r>
            <w:r>
              <w:rPr>
                <w:rFonts w:hint="eastAsia"/>
                <w:sz w:val="22"/>
                <w:szCs w:val="22"/>
              </w:rPr>
              <w:t>提供帮助与反馈功能，可以在使用过程中获取技术支持或提出改进建议</w:t>
            </w:r>
            <w:r>
              <w:rPr>
                <w:rFonts w:hint="eastAsia"/>
                <w:sz w:val="22"/>
                <w:szCs w:val="22"/>
                <w:lang w:eastAsia="zh-CN"/>
              </w:rPr>
              <w:t>。</w:t>
            </w:r>
          </w:p>
        </w:tc>
      </w:tr>
      <w:tr w14:paraId="434D8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5" w:hRule="atLeast"/>
        </w:trPr>
        <w:tc>
          <w:tcPr>
            <w:tcW w:w="645" w:type="pct"/>
            <w:vMerge w:val="restart"/>
            <w:vAlign w:val="center"/>
          </w:tcPr>
          <w:p w14:paraId="4448FD1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val="0"/>
                <w:color w:val="auto"/>
                <w:kern w:val="0"/>
                <w:sz w:val="22"/>
                <w:szCs w:val="22"/>
                <w:highlight w:val="none"/>
                <w:lang w:val="en-US" w:eastAsia="zh-CN"/>
              </w:rPr>
            </w:pPr>
            <w:r>
              <w:rPr>
                <w:rFonts w:hint="eastAsia" w:ascii="宋体" w:hAnsi="宋体" w:eastAsia="宋体" w:cs="宋体"/>
                <w:b/>
                <w:bCs w:val="0"/>
                <w:color w:val="auto"/>
                <w:kern w:val="0"/>
                <w:sz w:val="22"/>
                <w:szCs w:val="22"/>
                <w:highlight w:val="none"/>
                <w:lang w:val="en-US" w:eastAsia="zh-CN"/>
              </w:rPr>
              <w:t>3</w:t>
            </w:r>
          </w:p>
        </w:tc>
        <w:tc>
          <w:tcPr>
            <w:tcW w:w="1198" w:type="pct"/>
            <w:vMerge w:val="restart"/>
            <w:tcBorders>
              <w:right w:val="single" w:color="auto" w:sz="4" w:space="0"/>
            </w:tcBorders>
            <w:vAlign w:val="center"/>
          </w:tcPr>
          <w:p w14:paraId="5FA6F0FC">
            <w:pPr>
              <w:keepNext w:val="0"/>
              <w:keepLines w:val="0"/>
              <w:pageBreakBefore w:val="0"/>
              <w:widowControl w:val="0"/>
              <w:kinsoku/>
              <w:wordWrap/>
              <w:overflowPunct/>
              <w:topLinePunct w:val="0"/>
              <w:autoSpaceDE/>
              <w:autoSpaceDN/>
              <w:bidi w:val="0"/>
              <w:adjustRightInd/>
              <w:snapToGrid/>
              <w:jc w:val="center"/>
              <w:textAlignment w:val="auto"/>
              <w:rPr>
                <w:rFonts w:hint="eastAsia"/>
                <w:b/>
                <w:bCs w:val="0"/>
                <w:sz w:val="22"/>
                <w:szCs w:val="22"/>
                <w:lang w:val="en-US" w:eastAsia="zh-CN"/>
              </w:rPr>
            </w:pPr>
            <w:r>
              <w:rPr>
                <w:rFonts w:hint="eastAsia"/>
                <w:b/>
                <w:bCs w:val="0"/>
                <w:sz w:val="22"/>
                <w:szCs w:val="22"/>
                <w:lang w:val="en-US" w:eastAsia="zh-CN"/>
              </w:rPr>
              <w:t>管理后台</w:t>
            </w:r>
          </w:p>
        </w:tc>
        <w:tc>
          <w:tcPr>
            <w:tcW w:w="3156" w:type="pct"/>
            <w:tcBorders>
              <w:left w:val="single" w:color="auto" w:sz="4" w:space="0"/>
              <w:bottom w:val="single" w:color="auto" w:sz="4" w:space="0"/>
            </w:tcBorders>
            <w:vAlign w:val="center"/>
          </w:tcPr>
          <w:p w14:paraId="0A4B1DCA">
            <w:pPr>
              <w:bidi w:val="0"/>
              <w:jc w:val="left"/>
              <w:rPr>
                <w:rFonts w:hint="eastAsia" w:eastAsia="宋体"/>
                <w:sz w:val="22"/>
                <w:szCs w:val="22"/>
                <w:lang w:val="en-US" w:eastAsia="zh-CN"/>
              </w:rPr>
            </w:pPr>
            <w:r>
              <w:rPr>
                <w:rFonts w:hint="eastAsia"/>
                <w:b/>
                <w:bCs/>
                <w:sz w:val="22"/>
                <w:szCs w:val="22"/>
                <w:lang w:val="en-US" w:eastAsia="zh-CN"/>
              </w:rPr>
              <w:t>1.</w:t>
            </w:r>
            <w:r>
              <w:rPr>
                <w:rFonts w:hint="eastAsia"/>
                <w:b/>
                <w:bCs/>
                <w:sz w:val="22"/>
                <w:szCs w:val="22"/>
              </w:rPr>
              <w:t>账号与权限的统一管理</w:t>
            </w:r>
            <w:r>
              <w:rPr>
                <w:rFonts w:hint="eastAsia"/>
                <w:b/>
                <w:bCs/>
                <w:sz w:val="22"/>
                <w:szCs w:val="22"/>
                <w:lang w:val="en-US" w:eastAsia="zh-CN"/>
              </w:rPr>
              <w:t>:</w:t>
            </w:r>
            <w:r>
              <w:rPr>
                <w:rFonts w:hint="eastAsia"/>
                <w:sz w:val="22"/>
                <w:szCs w:val="22"/>
              </w:rPr>
              <w:t>管理后台支持对所有账号的统一管理，并可灵活分配不同角色的权限</w:t>
            </w:r>
            <w:r>
              <w:rPr>
                <w:rFonts w:hint="eastAsia"/>
                <w:sz w:val="22"/>
                <w:szCs w:val="22"/>
                <w:lang w:eastAsia="zh-CN"/>
              </w:rPr>
              <w:t>。</w:t>
            </w:r>
          </w:p>
        </w:tc>
      </w:tr>
      <w:tr w14:paraId="11656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trPr>
        <w:tc>
          <w:tcPr>
            <w:tcW w:w="645" w:type="pct"/>
            <w:vMerge w:val="continue"/>
            <w:vAlign w:val="center"/>
          </w:tcPr>
          <w:p w14:paraId="333B6833">
            <w:pPr>
              <w:widowControl/>
              <w:jc w:val="left"/>
              <w:rPr>
                <w:rFonts w:hint="default" w:ascii="宋体" w:hAnsi="宋体" w:eastAsia="宋体" w:cs="宋体"/>
                <w:b/>
                <w:color w:val="auto"/>
                <w:kern w:val="0"/>
                <w:sz w:val="22"/>
                <w:szCs w:val="22"/>
                <w:highlight w:val="none"/>
                <w:lang w:val="en-US" w:eastAsia="zh-CN"/>
              </w:rPr>
            </w:pPr>
          </w:p>
        </w:tc>
        <w:tc>
          <w:tcPr>
            <w:tcW w:w="1198" w:type="pct"/>
            <w:vMerge w:val="continue"/>
            <w:tcBorders>
              <w:right w:val="single" w:color="auto" w:sz="4" w:space="0"/>
            </w:tcBorders>
            <w:vAlign w:val="center"/>
          </w:tcPr>
          <w:p w14:paraId="637B7A66">
            <w:pPr>
              <w:bidi w:val="0"/>
              <w:jc w:val="left"/>
              <w:rPr>
                <w:rFonts w:hint="eastAsia"/>
                <w:sz w:val="22"/>
                <w:szCs w:val="22"/>
                <w:lang w:val="en-US" w:eastAsia="zh-CN"/>
              </w:rPr>
            </w:pPr>
          </w:p>
        </w:tc>
        <w:tc>
          <w:tcPr>
            <w:tcW w:w="3156" w:type="pct"/>
            <w:tcBorders>
              <w:top w:val="single" w:color="auto" w:sz="4" w:space="0"/>
              <w:left w:val="single" w:color="auto" w:sz="4" w:space="0"/>
              <w:bottom w:val="single" w:color="auto" w:sz="4" w:space="0"/>
            </w:tcBorders>
            <w:vAlign w:val="center"/>
          </w:tcPr>
          <w:p w14:paraId="0882C2F1">
            <w:pPr>
              <w:bidi w:val="0"/>
              <w:jc w:val="left"/>
              <w:rPr>
                <w:rFonts w:hint="eastAsia" w:eastAsia="宋体"/>
                <w:sz w:val="22"/>
                <w:szCs w:val="22"/>
                <w:lang w:val="en-US" w:eastAsia="zh-CN"/>
              </w:rPr>
            </w:pPr>
            <w:r>
              <w:rPr>
                <w:rFonts w:hint="eastAsia"/>
                <w:b/>
                <w:bCs/>
                <w:sz w:val="22"/>
                <w:szCs w:val="22"/>
                <w:lang w:val="en-US" w:eastAsia="zh-CN"/>
              </w:rPr>
              <w:t>2.</w:t>
            </w:r>
            <w:r>
              <w:rPr>
                <w:rFonts w:hint="eastAsia"/>
                <w:b/>
                <w:bCs/>
                <w:sz w:val="22"/>
                <w:szCs w:val="22"/>
              </w:rPr>
              <w:t>干预内容（音频/视频）的编辑、发布、管理</w:t>
            </w:r>
            <w:r>
              <w:rPr>
                <w:rFonts w:hint="eastAsia"/>
                <w:b/>
                <w:bCs/>
                <w:sz w:val="22"/>
                <w:szCs w:val="22"/>
                <w:lang w:val="en-US" w:eastAsia="zh-CN"/>
              </w:rPr>
              <w:t>:</w:t>
            </w:r>
            <w:r>
              <w:rPr>
                <w:rFonts w:hint="eastAsia"/>
                <w:sz w:val="22"/>
                <w:szCs w:val="22"/>
              </w:rPr>
              <w:t>可以通过</w:t>
            </w:r>
            <w:r>
              <w:rPr>
                <w:rFonts w:hint="eastAsia"/>
                <w:sz w:val="22"/>
                <w:szCs w:val="22"/>
                <w:lang w:val="en-US" w:eastAsia="zh-CN"/>
              </w:rPr>
              <w:t>文</w:t>
            </w:r>
            <w:r>
              <w:rPr>
                <w:rFonts w:hint="eastAsia"/>
                <w:sz w:val="22"/>
                <w:szCs w:val="22"/>
              </w:rPr>
              <w:t>本编辑器或视频上传工具，创建和编辑干预内容，并根据需要设置发布时间和范围。此外，支持对已发布内容的版本控制和历史记录管理</w:t>
            </w:r>
            <w:r>
              <w:rPr>
                <w:rFonts w:hint="eastAsia"/>
                <w:sz w:val="22"/>
                <w:szCs w:val="22"/>
                <w:lang w:eastAsia="zh-CN"/>
              </w:rPr>
              <w:t>。</w:t>
            </w:r>
          </w:p>
        </w:tc>
      </w:tr>
      <w:tr w14:paraId="2A0C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645" w:type="pct"/>
            <w:vMerge w:val="continue"/>
            <w:vAlign w:val="center"/>
          </w:tcPr>
          <w:p w14:paraId="10721E3F">
            <w:pPr>
              <w:widowControl/>
              <w:jc w:val="left"/>
              <w:rPr>
                <w:rFonts w:hint="default" w:ascii="宋体" w:hAnsi="宋体" w:eastAsia="宋体" w:cs="宋体"/>
                <w:b/>
                <w:color w:val="auto"/>
                <w:kern w:val="0"/>
                <w:sz w:val="22"/>
                <w:szCs w:val="22"/>
                <w:highlight w:val="none"/>
                <w:lang w:val="en-US" w:eastAsia="zh-CN"/>
              </w:rPr>
            </w:pPr>
          </w:p>
        </w:tc>
        <w:tc>
          <w:tcPr>
            <w:tcW w:w="1198" w:type="pct"/>
            <w:vMerge w:val="continue"/>
            <w:tcBorders>
              <w:right w:val="single" w:color="auto" w:sz="4" w:space="0"/>
            </w:tcBorders>
            <w:vAlign w:val="center"/>
          </w:tcPr>
          <w:p w14:paraId="10DC16ED">
            <w:pPr>
              <w:bidi w:val="0"/>
              <w:jc w:val="left"/>
              <w:rPr>
                <w:rFonts w:hint="eastAsia"/>
                <w:sz w:val="22"/>
                <w:szCs w:val="22"/>
                <w:lang w:val="en-US" w:eastAsia="zh-CN"/>
              </w:rPr>
            </w:pPr>
          </w:p>
        </w:tc>
        <w:tc>
          <w:tcPr>
            <w:tcW w:w="3156" w:type="pct"/>
            <w:tcBorders>
              <w:top w:val="single" w:color="auto" w:sz="4" w:space="0"/>
              <w:left w:val="single" w:color="auto" w:sz="4" w:space="0"/>
              <w:bottom w:val="single" w:color="auto" w:sz="4" w:space="0"/>
            </w:tcBorders>
            <w:shd w:val="clear" w:color="auto" w:fill="auto"/>
            <w:vAlign w:val="center"/>
          </w:tcPr>
          <w:p w14:paraId="57D4FF66">
            <w:pPr>
              <w:bidi w:val="0"/>
              <w:jc w:val="left"/>
              <w:rPr>
                <w:rFonts w:hint="eastAsia" w:ascii="宋体" w:hAnsi="宋体" w:eastAsia="宋体" w:cs="Times New Roman"/>
                <w:kern w:val="2"/>
                <w:sz w:val="22"/>
                <w:szCs w:val="22"/>
                <w:lang w:val="en-US" w:eastAsia="zh-CN" w:bidi="ar-SA"/>
              </w:rPr>
            </w:pPr>
            <w:r>
              <w:rPr>
                <w:rFonts w:hint="eastAsia"/>
                <w:b/>
                <w:bCs/>
                <w:sz w:val="22"/>
                <w:szCs w:val="22"/>
                <w:lang w:val="en-US" w:eastAsia="zh-CN"/>
              </w:rPr>
              <w:t>3.</w:t>
            </w:r>
            <w:r>
              <w:rPr>
                <w:rFonts w:hint="eastAsia"/>
                <w:b/>
                <w:bCs/>
                <w:sz w:val="22"/>
                <w:szCs w:val="22"/>
              </w:rPr>
              <w:t>评测问卷的编辑、发布、管理</w:t>
            </w:r>
            <w:r>
              <w:rPr>
                <w:rFonts w:hint="eastAsia"/>
                <w:b/>
                <w:bCs/>
                <w:sz w:val="22"/>
                <w:szCs w:val="22"/>
                <w:lang w:eastAsia="zh-CN"/>
              </w:rPr>
              <w:t>：</w:t>
            </w:r>
            <w:r>
              <w:rPr>
                <w:rFonts w:hint="eastAsia"/>
                <w:sz w:val="22"/>
                <w:szCs w:val="22"/>
              </w:rPr>
              <w:t>管理员可以自定义问卷内容，包括问题类型（如单选、多选、填空等）、逻辑跳转和条件限制。问卷发布后，系统可自动收集数据并生成统计图表，便于分析和评估</w:t>
            </w:r>
            <w:r>
              <w:rPr>
                <w:rFonts w:hint="eastAsia"/>
                <w:sz w:val="22"/>
                <w:szCs w:val="22"/>
                <w:lang w:eastAsia="zh-CN"/>
              </w:rPr>
              <w:t>。</w:t>
            </w:r>
          </w:p>
        </w:tc>
      </w:tr>
      <w:tr w14:paraId="0EB3C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trPr>
        <w:tc>
          <w:tcPr>
            <w:tcW w:w="645" w:type="pct"/>
            <w:vMerge w:val="continue"/>
            <w:vAlign w:val="center"/>
          </w:tcPr>
          <w:p w14:paraId="14460ED0">
            <w:pPr>
              <w:widowControl/>
              <w:jc w:val="left"/>
              <w:rPr>
                <w:rFonts w:hint="default" w:ascii="宋体" w:hAnsi="宋体" w:eastAsia="宋体" w:cs="宋体"/>
                <w:b/>
                <w:color w:val="auto"/>
                <w:kern w:val="0"/>
                <w:sz w:val="22"/>
                <w:szCs w:val="22"/>
                <w:highlight w:val="none"/>
                <w:lang w:val="en-US" w:eastAsia="zh-CN"/>
              </w:rPr>
            </w:pPr>
          </w:p>
        </w:tc>
        <w:tc>
          <w:tcPr>
            <w:tcW w:w="1198" w:type="pct"/>
            <w:vMerge w:val="continue"/>
            <w:tcBorders>
              <w:right w:val="single" w:color="auto" w:sz="4" w:space="0"/>
            </w:tcBorders>
            <w:vAlign w:val="center"/>
          </w:tcPr>
          <w:p w14:paraId="764756AB">
            <w:pPr>
              <w:bidi w:val="0"/>
              <w:jc w:val="left"/>
              <w:rPr>
                <w:rFonts w:hint="eastAsia"/>
                <w:sz w:val="22"/>
                <w:szCs w:val="22"/>
                <w:lang w:val="en-US" w:eastAsia="zh-CN"/>
              </w:rPr>
            </w:pPr>
          </w:p>
        </w:tc>
        <w:tc>
          <w:tcPr>
            <w:tcW w:w="3156" w:type="pct"/>
            <w:tcBorders>
              <w:top w:val="single" w:color="auto" w:sz="4" w:space="0"/>
              <w:left w:val="single" w:color="auto" w:sz="4" w:space="0"/>
              <w:bottom w:val="single" w:color="auto" w:sz="4" w:space="0"/>
            </w:tcBorders>
            <w:shd w:val="clear" w:color="auto" w:fill="auto"/>
            <w:vAlign w:val="center"/>
          </w:tcPr>
          <w:p w14:paraId="5FB0F731">
            <w:pPr>
              <w:bidi w:val="0"/>
              <w:jc w:val="left"/>
              <w:rPr>
                <w:rFonts w:hint="eastAsia" w:ascii="宋体" w:hAnsi="宋体" w:eastAsia="宋体" w:cs="Times New Roman"/>
                <w:kern w:val="2"/>
                <w:sz w:val="22"/>
                <w:szCs w:val="22"/>
                <w:lang w:val="en-US" w:eastAsia="zh-CN" w:bidi="ar-SA"/>
              </w:rPr>
            </w:pPr>
            <w:r>
              <w:rPr>
                <w:rFonts w:hint="eastAsia"/>
                <w:b/>
                <w:bCs/>
                <w:sz w:val="22"/>
                <w:szCs w:val="22"/>
                <w:lang w:val="en-US" w:eastAsia="zh-CN"/>
              </w:rPr>
              <w:t>4.</w:t>
            </w:r>
            <w:r>
              <w:rPr>
                <w:rFonts w:hint="eastAsia"/>
                <w:b/>
                <w:bCs/>
                <w:sz w:val="22"/>
                <w:szCs w:val="22"/>
              </w:rPr>
              <w:t>数据的统一管理</w:t>
            </w:r>
            <w:r>
              <w:rPr>
                <w:rFonts w:hint="eastAsia"/>
                <w:b/>
                <w:bCs/>
                <w:sz w:val="22"/>
                <w:szCs w:val="22"/>
                <w:lang w:eastAsia="zh-CN"/>
              </w:rPr>
              <w:t>：</w:t>
            </w:r>
            <w:r>
              <w:rPr>
                <w:rFonts w:hint="eastAsia"/>
                <w:sz w:val="22"/>
                <w:szCs w:val="22"/>
              </w:rPr>
              <w:t>系统提供数据存储、查询和分析功能，支持多维度的数据筛选和统计分析，帮助管理员快速了解干预效果并进行决</w:t>
            </w:r>
            <w:r>
              <w:rPr>
                <w:rFonts w:hint="eastAsia"/>
                <w:sz w:val="22"/>
                <w:szCs w:val="22"/>
                <w:lang w:eastAsia="zh-CN"/>
              </w:rPr>
              <w:t>。</w:t>
            </w:r>
            <w:r>
              <w:rPr>
                <w:rFonts w:hint="eastAsia"/>
                <w:sz w:val="22"/>
                <w:szCs w:val="22"/>
              </w:rPr>
              <w:t>可以查看和分析学习进度、完成情况等数据，支持数据导出和报告生成，便于对学习效果进行评估和优化</w:t>
            </w:r>
            <w:r>
              <w:rPr>
                <w:rFonts w:hint="eastAsia"/>
                <w:sz w:val="22"/>
                <w:szCs w:val="22"/>
                <w:lang w:eastAsia="zh-CN"/>
              </w:rPr>
              <w:t>。</w:t>
            </w:r>
          </w:p>
        </w:tc>
      </w:tr>
    </w:tbl>
    <w:p w14:paraId="551FA0F3">
      <w:pPr>
        <w:rPr>
          <w:rFonts w:hint="eastAsia"/>
        </w:rPr>
      </w:pPr>
    </w:p>
    <w:p w14:paraId="39A28F93">
      <w:pPr>
        <w:pStyle w:val="2"/>
        <w:numPr>
          <w:ilvl w:val="0"/>
          <w:numId w:val="3"/>
        </w:numPr>
        <w:spacing w:before="0" w:after="0"/>
        <w:rPr>
          <w:rFonts w:ascii="宋体" w:hAnsi="宋体"/>
          <w:sz w:val="32"/>
          <w:szCs w:val="32"/>
        </w:rPr>
      </w:pPr>
      <w:r>
        <w:rPr>
          <w:rFonts w:hint="eastAsia" w:ascii="宋体" w:hAnsi="宋体"/>
          <w:sz w:val="32"/>
          <w:szCs w:val="32"/>
        </w:rPr>
        <w:t>项目工期</w:t>
      </w:r>
    </w:p>
    <w:p w14:paraId="3D70A17E">
      <w:pPr>
        <w:bidi w:val="0"/>
        <w:rPr>
          <w:rFonts w:hint="eastAsia"/>
        </w:rPr>
      </w:pPr>
      <w:r>
        <w:rPr>
          <w:rFonts w:hint="eastAsia"/>
          <w:lang w:val="en-US" w:eastAsia="zh-CN"/>
        </w:rPr>
        <w:tab/>
      </w:r>
      <w:r>
        <w:rPr>
          <w:rFonts w:hint="eastAsia"/>
        </w:rPr>
        <w:t>合同签订日起</w:t>
      </w:r>
      <w:r>
        <w:rPr>
          <w:rFonts w:hint="eastAsia"/>
          <w:lang w:val="en-US" w:eastAsia="zh-CN"/>
        </w:rPr>
        <w:t xml:space="preserve"> 6 </w:t>
      </w:r>
      <w:r>
        <w:rPr>
          <w:rFonts w:hint="eastAsia"/>
        </w:rPr>
        <w:t>个月</w:t>
      </w:r>
      <w:r>
        <w:rPr>
          <w:rFonts w:hint="eastAsia"/>
          <w:lang w:val="en-US" w:eastAsia="zh-CN"/>
        </w:rPr>
        <w:t>内</w:t>
      </w:r>
      <w:r>
        <w:rPr>
          <w:rFonts w:hint="eastAsia"/>
        </w:rPr>
        <w:t>。</w:t>
      </w:r>
    </w:p>
    <w:p w14:paraId="3371BD7B">
      <w:pPr>
        <w:bidi w:val="0"/>
        <w:rPr>
          <w:rFonts w:hint="eastAsia"/>
        </w:rPr>
      </w:pPr>
    </w:p>
    <w:p w14:paraId="7EDDC7E4">
      <w:pPr>
        <w:pStyle w:val="2"/>
        <w:numPr>
          <w:ilvl w:val="0"/>
          <w:numId w:val="4"/>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1529B3F8">
      <w:pPr>
        <w:bidi w:val="0"/>
        <w:ind w:firstLine="420" w:firstLineChars="0"/>
      </w:pPr>
      <w:r>
        <w:rPr>
          <w:rFonts w:hint="eastAsia"/>
        </w:rPr>
        <w:t>项目实施</w:t>
      </w:r>
      <w:r>
        <w:t>期</w:t>
      </w:r>
      <w:r>
        <w:rPr>
          <w:rFonts w:hint="eastAsia"/>
        </w:rPr>
        <w:t>内承建商提供专职工程师负责</w:t>
      </w:r>
      <w:r>
        <w:t>本项目实施</w:t>
      </w:r>
      <w:r>
        <w:rPr>
          <w:rFonts w:hint="eastAsia"/>
        </w:rPr>
        <w:t>，工作时间与院方工作时间一致，并且提供7*24小时响应服务。</w:t>
      </w:r>
    </w:p>
    <w:p w14:paraId="376DAEB8">
      <w:pPr>
        <w:bidi w:val="0"/>
        <w:ind w:firstLine="420" w:firstLineChars="0"/>
      </w:pPr>
      <w:r>
        <w:rPr>
          <w:rFonts w:hint="eastAsia"/>
        </w:rPr>
        <w:t>项目承建商需根据院方的详细需求，提交项目系统培训实施方案，方案得到院方确认后实施，保证系统按时、正常地投入运行。</w:t>
      </w:r>
    </w:p>
    <w:p w14:paraId="7D423629">
      <w:pPr>
        <w:bidi w:val="0"/>
        <w:ind w:firstLine="420" w:firstLineChars="0"/>
      </w:pPr>
      <w:r>
        <w:rPr>
          <w:rFonts w:hint="eastAsia"/>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33E011EB">
      <w:pPr>
        <w:bidi w:val="0"/>
        <w:ind w:firstLine="420" w:firstLineChars="0"/>
        <w:rPr>
          <w:rFonts w:hint="eastAsia"/>
        </w:rPr>
      </w:pPr>
      <w:r>
        <w:rPr>
          <w:rFonts w:hint="eastAsia"/>
        </w:rPr>
        <w:t>验收由承建商给出具体的验收计划、测试的内容和方法，经院方审核通过后，方可进行验收工作。</w:t>
      </w:r>
    </w:p>
    <w:p w14:paraId="7EBBBA01">
      <w:pPr>
        <w:bidi w:val="0"/>
        <w:ind w:firstLine="420" w:firstLineChars="0"/>
        <w:rPr>
          <w:rFonts w:hint="eastAsia"/>
        </w:rPr>
      </w:pPr>
    </w:p>
    <w:p w14:paraId="0F28B60E">
      <w:pPr>
        <w:pStyle w:val="2"/>
        <w:numPr>
          <w:ilvl w:val="0"/>
          <w:numId w:val="4"/>
        </w:numPr>
        <w:spacing w:before="0" w:after="0"/>
        <w:rPr>
          <w:rFonts w:ascii="宋体" w:hAnsi="宋体"/>
          <w:sz w:val="32"/>
          <w:szCs w:val="32"/>
        </w:rPr>
      </w:pPr>
      <w:bookmarkStart w:id="2" w:name="OLE_LINK4"/>
      <w:r>
        <w:rPr>
          <w:rFonts w:hint="eastAsia" w:ascii="宋体" w:hAnsi="宋体"/>
          <w:sz w:val="32"/>
          <w:szCs w:val="32"/>
        </w:rPr>
        <w:t>后续维护服务</w:t>
      </w:r>
      <w:bookmarkEnd w:id="2"/>
    </w:p>
    <w:p w14:paraId="10D991CB">
      <w:pPr>
        <w:bidi w:val="0"/>
        <w:ind w:firstLine="420" w:firstLineChars="0"/>
      </w:pPr>
      <w:r>
        <w:rPr>
          <w:rFonts w:hint="eastAsia"/>
        </w:rPr>
        <w:t>本项目软件维护期从软件验收合格之日算起，期限为</w:t>
      </w:r>
      <w:r>
        <w:rPr>
          <w:rFonts w:hint="eastAsia"/>
          <w:lang w:val="en-US" w:eastAsia="zh-CN"/>
        </w:rPr>
        <w:t>60</w:t>
      </w:r>
      <w:r>
        <w:rPr>
          <w:rFonts w:hint="eastAsia"/>
        </w:rPr>
        <w:t>个月。在维护期内，承建商提供技术支持和指导，以及功能的局部改进完善、故障情况下的现场问题解决。</w:t>
      </w:r>
    </w:p>
    <w:p w14:paraId="0E2FE576">
      <w:pPr>
        <w:bidi w:val="0"/>
        <w:ind w:firstLine="420" w:firstLineChars="0"/>
      </w:pPr>
      <w:r>
        <w:rPr>
          <w:rFonts w:hint="eastAsia"/>
        </w:rPr>
        <w:t>维保期内承建商为院方提供专职技术人员进行维护服务，工作时间与院方工作时间一致，并且提供7*24小时响应服务。</w:t>
      </w:r>
    </w:p>
    <w:p w14:paraId="788EFC20">
      <w:pPr>
        <w:bidi w:val="0"/>
        <w:ind w:firstLine="420" w:firstLineChars="0"/>
      </w:pPr>
      <w:r>
        <w:rPr>
          <w:rFonts w:hint="eastAsia"/>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1C7DC4E7">
      <w:pPr>
        <w:bidi w:val="0"/>
        <w:ind w:firstLine="420" w:firstLineChars="0"/>
      </w:pPr>
      <w:r>
        <w:rPr>
          <w:rFonts w:hint="eastAsia"/>
        </w:rPr>
        <w:t>超过维护期的，双方另行协商签订维护合同，其中软件</w:t>
      </w:r>
      <w:r>
        <w:t>部分</w:t>
      </w:r>
      <w:r>
        <w:rPr>
          <w:rFonts w:hint="eastAsia"/>
        </w:rPr>
        <w:t>年维护费不超过合同软件部分金额的8%</w:t>
      </w:r>
      <w:r>
        <w:t>。</w:t>
      </w:r>
    </w:p>
    <w:p w14:paraId="3CCACBA9">
      <w:pPr>
        <w:bidi w:val="0"/>
        <w:ind w:firstLine="420" w:firstLineChars="0"/>
      </w:pPr>
    </w:p>
    <w:p w14:paraId="2A85E7A3">
      <w:pPr>
        <w:pStyle w:val="2"/>
        <w:numPr>
          <w:ilvl w:val="0"/>
          <w:numId w:val="4"/>
        </w:numPr>
        <w:spacing w:before="0" w:after="0"/>
        <w:rPr>
          <w:rFonts w:ascii="宋体" w:hAnsi="宋体"/>
          <w:sz w:val="32"/>
          <w:szCs w:val="32"/>
        </w:rPr>
      </w:pPr>
      <w:r>
        <w:rPr>
          <w:rFonts w:hint="eastAsia" w:ascii="宋体" w:hAnsi="宋体"/>
          <w:sz w:val="32"/>
          <w:szCs w:val="32"/>
        </w:rPr>
        <w:t>合同款支付方式</w:t>
      </w:r>
    </w:p>
    <w:p w14:paraId="167A3AA4">
      <w:pPr>
        <w:bidi w:val="0"/>
        <w:ind w:firstLine="420" w:firstLineChars="0"/>
        <w:rPr>
          <w:rFonts w:hint="eastAsia"/>
        </w:rPr>
      </w:pPr>
      <w:r>
        <w:rPr>
          <w:rFonts w:hint="eastAsia"/>
        </w:rPr>
        <w:t>(一)合同签订后，在收到承建商开具相应金额正式发票后，支付合同总金额的30%。</w:t>
      </w:r>
    </w:p>
    <w:p w14:paraId="02F2166F">
      <w:pPr>
        <w:bidi w:val="0"/>
        <w:ind w:firstLine="420" w:firstLineChars="0"/>
        <w:rPr>
          <w:rFonts w:hint="default" w:ascii="Times New Roman" w:hAnsi="Times New Roman" w:cs="Times New Roman"/>
          <w:color w:val="000000"/>
          <w:szCs w:val="24"/>
        </w:rPr>
      </w:pPr>
      <w:r>
        <w:rPr>
          <w:rFonts w:hint="eastAsia"/>
        </w:rPr>
        <w:t>(二)</w:t>
      </w:r>
      <w:bookmarkStart w:id="3" w:name="OLE_LINK3"/>
      <w:r>
        <w:rPr>
          <w:rFonts w:hint="eastAsia"/>
          <w:lang w:val="en-US" w:eastAsia="zh-CN"/>
        </w:rPr>
        <w:t>项目</w:t>
      </w:r>
      <w:r>
        <w:rPr>
          <w:rFonts w:hint="eastAsia"/>
        </w:rPr>
        <w:t>验收通过</w:t>
      </w:r>
      <w:r>
        <w:rPr>
          <w:rFonts w:hint="eastAsia"/>
          <w:lang w:val="en-US" w:eastAsia="zh-CN"/>
        </w:rPr>
        <w:t>后</w:t>
      </w:r>
      <w:r>
        <w:rPr>
          <w:rFonts w:hint="eastAsia"/>
        </w:rPr>
        <w:t>，</w:t>
      </w:r>
      <w:r>
        <w:rPr>
          <w:rFonts w:hint="eastAsia"/>
          <w:lang w:val="en-US" w:eastAsia="zh-CN"/>
        </w:rPr>
        <w:t>在收到承建商</w:t>
      </w:r>
      <w:r>
        <w:rPr>
          <w:rFonts w:hint="eastAsia"/>
        </w:rPr>
        <w:t>开具相应金额正式发票以及《售后服务履约承诺函》后，支付合同总金额的70%。</w:t>
      </w:r>
      <w:bookmarkEnd w:id="3"/>
      <w:bookmarkStart w:id="4" w:name="_GoBack"/>
      <w:bookmarkEnd w:id="4"/>
    </w:p>
    <w:sectPr>
      <w:footerReference r:id="rId5" w:type="default"/>
      <w:pgSz w:w="11906" w:h="16838"/>
      <w:pgMar w:top="1021" w:right="1418" w:bottom="1021"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4C56D">
    <w:pPr>
      <w:pStyle w:val="18"/>
      <w:ind w:left="1441"/>
      <w:jc w:val="center"/>
      <w:rPr>
        <w:caps/>
        <w:color w:val="auto"/>
      </w:rPr>
    </w:pPr>
    <w:r>
      <w:rPr>
        <w:caps/>
        <w:color w:val="auto"/>
      </w:rPr>
      <w:fldChar w:fldCharType="begin"/>
    </w:r>
    <w:r>
      <w:rPr>
        <w:caps/>
        <w:color w:val="auto"/>
      </w:rPr>
      <w:instrText xml:space="preserve">PAGE   \* MERGEFORMAT</w:instrText>
    </w:r>
    <w:r>
      <w:rPr>
        <w:caps/>
        <w:color w:val="auto"/>
      </w:rPr>
      <w:fldChar w:fldCharType="separate"/>
    </w:r>
    <w:r>
      <w:rPr>
        <w:caps/>
        <w:color w:val="auto"/>
      </w:rPr>
      <w:t>8</w:t>
    </w:r>
    <w:r>
      <w:rPr>
        <w:caps/>
        <w:color w:val="auto"/>
      </w:rPr>
      <w:fldChar w:fldCharType="end"/>
    </w:r>
  </w:p>
  <w:p w14:paraId="492AA5C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4"/>
      <w:lvlText w:val="%1. "/>
      <w:lvlJc w:val="left"/>
      <w:pPr>
        <w:ind w:left="420" w:hanging="420"/>
      </w:pPr>
      <w:rPr>
        <w:rFonts w:hint="default" w:ascii="Times New Roman" w:hAnsi="Times New Roman" w:eastAsia="宋体"/>
        <w:b/>
        <w:i w:val="0"/>
      </w:rPr>
    </w:lvl>
    <w:lvl w:ilvl="1" w:tentative="0">
      <w:start w:val="1"/>
      <w:numFmt w:val="decimal"/>
      <w:pStyle w:val="57"/>
      <w:isLgl/>
      <w:suff w:val="space"/>
      <w:lvlText w:val="%1.%2 "/>
      <w:lvlJc w:val="left"/>
      <w:pPr>
        <w:ind w:left="3913" w:hanging="794"/>
      </w:pPr>
      <w:rPr>
        <w:rFonts w:hint="eastAsia"/>
      </w:rPr>
    </w:lvl>
    <w:lvl w:ilvl="2" w:tentative="0">
      <w:start w:val="1"/>
      <w:numFmt w:val="decimal"/>
      <w:pStyle w:val="63"/>
      <w:isLgl/>
      <w:suff w:val="space"/>
      <w:lvlText w:val="%1.%2.%3 "/>
      <w:lvlJc w:val="left"/>
      <w:pPr>
        <w:ind w:left="907" w:hanging="907"/>
      </w:pPr>
      <w:rPr>
        <w:rFonts w:hint="eastAsia"/>
      </w:rPr>
    </w:lvl>
    <w:lvl w:ilvl="3" w:tentative="0">
      <w:start w:val="1"/>
      <w:numFmt w:val="decimal"/>
      <w:pStyle w:val="62"/>
      <w:isLgl/>
      <w:suff w:val="space"/>
      <w:lvlText w:val="%1.%2.%3.%4 "/>
      <w:lvlJc w:val="left"/>
      <w:pPr>
        <w:ind w:left="1021" w:hanging="1021"/>
      </w:pPr>
      <w:rPr>
        <w:rFonts w:hint="eastAsia"/>
      </w:rPr>
    </w:lvl>
    <w:lvl w:ilvl="4" w:tentative="0">
      <w:start w:val="1"/>
      <w:numFmt w:val="decimal"/>
      <w:pStyle w:val="67"/>
      <w:isLgl/>
      <w:suff w:val="space"/>
      <w:lvlText w:val="%1.%2.%3.%4.%5 "/>
      <w:lvlJc w:val="left"/>
      <w:pPr>
        <w:ind w:left="1134" w:hanging="1134"/>
      </w:pPr>
      <w:rPr>
        <w:rFonts w:hint="eastAsia"/>
      </w:rPr>
    </w:lvl>
    <w:lvl w:ilvl="5" w:tentative="0">
      <w:start w:val="1"/>
      <w:numFmt w:val="decimal"/>
      <w:pStyle w:val="61"/>
      <w:isLgl/>
      <w:suff w:val="space"/>
      <w:lvlText w:val="%1.%2.%3.%4.%5.%6 "/>
      <w:lvlJc w:val="left"/>
      <w:pPr>
        <w:ind w:left="1247" w:hanging="1247"/>
      </w:pPr>
      <w:rPr>
        <w:rFonts w:hint="eastAsia"/>
      </w:rPr>
    </w:lvl>
    <w:lvl w:ilvl="6" w:tentative="0">
      <w:start w:val="1"/>
      <w:numFmt w:val="decimal"/>
      <w:lvlRestart w:val="1"/>
      <w:pStyle w:val="56"/>
      <w:isLgl/>
      <w:suff w:val="space"/>
      <w:lvlText w:val="图 %1.%7 "/>
      <w:lvlJc w:val="left"/>
      <w:pPr>
        <w:ind w:left="0" w:firstLine="0"/>
      </w:pPr>
      <w:rPr>
        <w:rFonts w:hint="eastAsia"/>
      </w:rPr>
    </w:lvl>
    <w:lvl w:ilvl="7" w:tentative="0">
      <w:start w:val="1"/>
      <w:numFmt w:val="decimal"/>
      <w:lvlRestart w:val="1"/>
      <w:pStyle w:val="6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MWJlNzYxNmQ2NjM5YzE2NmFkYmM1NjY2YWViYjgifQ=="/>
  </w:docVars>
  <w:rsids>
    <w:rsidRoot w:val="00172A27"/>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02AF"/>
    <w:rsid w:val="00162D29"/>
    <w:rsid w:val="00164878"/>
    <w:rsid w:val="00164C38"/>
    <w:rsid w:val="00165091"/>
    <w:rsid w:val="00171903"/>
    <w:rsid w:val="0018200C"/>
    <w:rsid w:val="001833B6"/>
    <w:rsid w:val="00190CD2"/>
    <w:rsid w:val="001947FD"/>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766"/>
    <w:rsid w:val="00500264"/>
    <w:rsid w:val="00510B1E"/>
    <w:rsid w:val="005120A9"/>
    <w:rsid w:val="00517D7C"/>
    <w:rsid w:val="00520646"/>
    <w:rsid w:val="0052176F"/>
    <w:rsid w:val="0052604B"/>
    <w:rsid w:val="0053088D"/>
    <w:rsid w:val="00534BF6"/>
    <w:rsid w:val="00537CDE"/>
    <w:rsid w:val="005409FC"/>
    <w:rsid w:val="005563D3"/>
    <w:rsid w:val="00562842"/>
    <w:rsid w:val="00567D4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77259"/>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C6921"/>
    <w:rsid w:val="007D22AB"/>
    <w:rsid w:val="007E5D71"/>
    <w:rsid w:val="007E71E6"/>
    <w:rsid w:val="007F5726"/>
    <w:rsid w:val="008168FB"/>
    <w:rsid w:val="00822BA6"/>
    <w:rsid w:val="008419E9"/>
    <w:rsid w:val="008548FB"/>
    <w:rsid w:val="008623FD"/>
    <w:rsid w:val="00866774"/>
    <w:rsid w:val="00873B97"/>
    <w:rsid w:val="008A5AC9"/>
    <w:rsid w:val="008A62AC"/>
    <w:rsid w:val="008B2206"/>
    <w:rsid w:val="008C255D"/>
    <w:rsid w:val="008C576F"/>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06A"/>
    <w:rsid w:val="009E0351"/>
    <w:rsid w:val="009E214B"/>
    <w:rsid w:val="009E53AF"/>
    <w:rsid w:val="009F0270"/>
    <w:rsid w:val="009F61FA"/>
    <w:rsid w:val="00A05796"/>
    <w:rsid w:val="00A13CB0"/>
    <w:rsid w:val="00A14FD8"/>
    <w:rsid w:val="00A16AAF"/>
    <w:rsid w:val="00A22CA1"/>
    <w:rsid w:val="00A4595D"/>
    <w:rsid w:val="00A51146"/>
    <w:rsid w:val="00A61D3A"/>
    <w:rsid w:val="00A66833"/>
    <w:rsid w:val="00A70DCF"/>
    <w:rsid w:val="00A72437"/>
    <w:rsid w:val="00A73FDF"/>
    <w:rsid w:val="00A824B9"/>
    <w:rsid w:val="00A870DD"/>
    <w:rsid w:val="00A96157"/>
    <w:rsid w:val="00A969AF"/>
    <w:rsid w:val="00A9729E"/>
    <w:rsid w:val="00AA1822"/>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03D8"/>
    <w:rsid w:val="00B62917"/>
    <w:rsid w:val="00B6697F"/>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0969"/>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2395"/>
    <w:rsid w:val="00F74B77"/>
    <w:rsid w:val="00F764FE"/>
    <w:rsid w:val="00F80625"/>
    <w:rsid w:val="00F827B6"/>
    <w:rsid w:val="00F86265"/>
    <w:rsid w:val="00F92BE5"/>
    <w:rsid w:val="00FA0574"/>
    <w:rsid w:val="00FB40F7"/>
    <w:rsid w:val="00FB68D3"/>
    <w:rsid w:val="00FC4B75"/>
    <w:rsid w:val="00FE7554"/>
    <w:rsid w:val="00FF17FE"/>
    <w:rsid w:val="011F3ABA"/>
    <w:rsid w:val="01A653AB"/>
    <w:rsid w:val="01B72D39"/>
    <w:rsid w:val="023A0DE1"/>
    <w:rsid w:val="03C2070B"/>
    <w:rsid w:val="03CA501F"/>
    <w:rsid w:val="04276F58"/>
    <w:rsid w:val="043C2B5E"/>
    <w:rsid w:val="048A698E"/>
    <w:rsid w:val="051F0BAA"/>
    <w:rsid w:val="05AE12D1"/>
    <w:rsid w:val="086F0BD1"/>
    <w:rsid w:val="08807DC0"/>
    <w:rsid w:val="09972933"/>
    <w:rsid w:val="09C03B07"/>
    <w:rsid w:val="09D52C60"/>
    <w:rsid w:val="0A56459C"/>
    <w:rsid w:val="0B2C354F"/>
    <w:rsid w:val="0B2E4DAA"/>
    <w:rsid w:val="0CD22E44"/>
    <w:rsid w:val="0D617DE3"/>
    <w:rsid w:val="0DD0089A"/>
    <w:rsid w:val="0DD71DDF"/>
    <w:rsid w:val="0DE52D71"/>
    <w:rsid w:val="0E4D4EA6"/>
    <w:rsid w:val="0F3020EB"/>
    <w:rsid w:val="0F41270C"/>
    <w:rsid w:val="104C6824"/>
    <w:rsid w:val="10D97CD5"/>
    <w:rsid w:val="10ED1476"/>
    <w:rsid w:val="10FB3693"/>
    <w:rsid w:val="11D32976"/>
    <w:rsid w:val="12135469"/>
    <w:rsid w:val="124315DA"/>
    <w:rsid w:val="12E60B70"/>
    <w:rsid w:val="138419BE"/>
    <w:rsid w:val="13EE54F1"/>
    <w:rsid w:val="145E16ED"/>
    <w:rsid w:val="14E15863"/>
    <w:rsid w:val="154012CE"/>
    <w:rsid w:val="15C2342E"/>
    <w:rsid w:val="162776F9"/>
    <w:rsid w:val="162858D7"/>
    <w:rsid w:val="19801636"/>
    <w:rsid w:val="1A5F56EF"/>
    <w:rsid w:val="1B1B2DCE"/>
    <w:rsid w:val="1BFD08D4"/>
    <w:rsid w:val="1D0165EA"/>
    <w:rsid w:val="1DFB0471"/>
    <w:rsid w:val="1E5365E3"/>
    <w:rsid w:val="1E5C0E57"/>
    <w:rsid w:val="1EF23289"/>
    <w:rsid w:val="1F274302"/>
    <w:rsid w:val="1F49353B"/>
    <w:rsid w:val="1F5D746C"/>
    <w:rsid w:val="1FC94C0B"/>
    <w:rsid w:val="2079293B"/>
    <w:rsid w:val="20803CC9"/>
    <w:rsid w:val="20F425EE"/>
    <w:rsid w:val="213F1567"/>
    <w:rsid w:val="21BF3B5D"/>
    <w:rsid w:val="228965CC"/>
    <w:rsid w:val="2426228E"/>
    <w:rsid w:val="25CD5C03"/>
    <w:rsid w:val="25FA00A6"/>
    <w:rsid w:val="27471C24"/>
    <w:rsid w:val="28887BBF"/>
    <w:rsid w:val="28C8725C"/>
    <w:rsid w:val="2BAF24A8"/>
    <w:rsid w:val="313A1A4C"/>
    <w:rsid w:val="313F6476"/>
    <w:rsid w:val="3163532C"/>
    <w:rsid w:val="317908E2"/>
    <w:rsid w:val="32194889"/>
    <w:rsid w:val="322555EA"/>
    <w:rsid w:val="326905F0"/>
    <w:rsid w:val="330469DC"/>
    <w:rsid w:val="340003BA"/>
    <w:rsid w:val="370945C1"/>
    <w:rsid w:val="37DC3A83"/>
    <w:rsid w:val="3AA77129"/>
    <w:rsid w:val="3AD11A9D"/>
    <w:rsid w:val="3B1BEA99"/>
    <w:rsid w:val="3B4C7172"/>
    <w:rsid w:val="3C1507B4"/>
    <w:rsid w:val="3C1D6069"/>
    <w:rsid w:val="3CBD29DC"/>
    <w:rsid w:val="3E2B7643"/>
    <w:rsid w:val="3ED23E32"/>
    <w:rsid w:val="403B4E42"/>
    <w:rsid w:val="40D5220D"/>
    <w:rsid w:val="42200080"/>
    <w:rsid w:val="439A6E35"/>
    <w:rsid w:val="446E63AB"/>
    <w:rsid w:val="461940F5"/>
    <w:rsid w:val="46406C9A"/>
    <w:rsid w:val="46A071B9"/>
    <w:rsid w:val="46B75D3F"/>
    <w:rsid w:val="48480CC1"/>
    <w:rsid w:val="488C513A"/>
    <w:rsid w:val="48965ED0"/>
    <w:rsid w:val="4948541D"/>
    <w:rsid w:val="49DF0FCF"/>
    <w:rsid w:val="4A201EF6"/>
    <w:rsid w:val="4A357967"/>
    <w:rsid w:val="4B50364F"/>
    <w:rsid w:val="4C1F2800"/>
    <w:rsid w:val="4CB30DFF"/>
    <w:rsid w:val="4D85268B"/>
    <w:rsid w:val="51275918"/>
    <w:rsid w:val="519F1952"/>
    <w:rsid w:val="51D774AB"/>
    <w:rsid w:val="521D79C2"/>
    <w:rsid w:val="526606C2"/>
    <w:rsid w:val="52A907F9"/>
    <w:rsid w:val="530D5254"/>
    <w:rsid w:val="54F00B42"/>
    <w:rsid w:val="551663CF"/>
    <w:rsid w:val="56533E33"/>
    <w:rsid w:val="56F32878"/>
    <w:rsid w:val="576553EC"/>
    <w:rsid w:val="58354DBE"/>
    <w:rsid w:val="586F4C13"/>
    <w:rsid w:val="589436CF"/>
    <w:rsid w:val="5ABE78FA"/>
    <w:rsid w:val="5AD72AAD"/>
    <w:rsid w:val="5B4D1163"/>
    <w:rsid w:val="5C16336B"/>
    <w:rsid w:val="5C8E7193"/>
    <w:rsid w:val="5D11431E"/>
    <w:rsid w:val="5DC12155"/>
    <w:rsid w:val="5E7E6D93"/>
    <w:rsid w:val="5E987E55"/>
    <w:rsid w:val="5EA629F6"/>
    <w:rsid w:val="5F5513E2"/>
    <w:rsid w:val="5FCD662E"/>
    <w:rsid w:val="60822B6A"/>
    <w:rsid w:val="61246D0C"/>
    <w:rsid w:val="616104DF"/>
    <w:rsid w:val="61BB5496"/>
    <w:rsid w:val="63DE4ECC"/>
    <w:rsid w:val="645C5585"/>
    <w:rsid w:val="647A167F"/>
    <w:rsid w:val="648B3FB8"/>
    <w:rsid w:val="64A86918"/>
    <w:rsid w:val="6523039D"/>
    <w:rsid w:val="65554CF2"/>
    <w:rsid w:val="6692441C"/>
    <w:rsid w:val="6787544C"/>
    <w:rsid w:val="67D07485"/>
    <w:rsid w:val="698A66BE"/>
    <w:rsid w:val="69E71C90"/>
    <w:rsid w:val="6AD472F2"/>
    <w:rsid w:val="6D1D4D2C"/>
    <w:rsid w:val="6E511DCE"/>
    <w:rsid w:val="6F4F022A"/>
    <w:rsid w:val="704837AC"/>
    <w:rsid w:val="70B54896"/>
    <w:rsid w:val="712A11B9"/>
    <w:rsid w:val="712D16A4"/>
    <w:rsid w:val="71555718"/>
    <w:rsid w:val="718710C4"/>
    <w:rsid w:val="73955FE3"/>
    <w:rsid w:val="73B0538E"/>
    <w:rsid w:val="74EF0832"/>
    <w:rsid w:val="75CA4C66"/>
    <w:rsid w:val="760F124E"/>
    <w:rsid w:val="768C7E47"/>
    <w:rsid w:val="774F263D"/>
    <w:rsid w:val="78745037"/>
    <w:rsid w:val="788F1E71"/>
    <w:rsid w:val="79FF36AB"/>
    <w:rsid w:val="7B413328"/>
    <w:rsid w:val="7BCD092E"/>
    <w:rsid w:val="7BD77067"/>
    <w:rsid w:val="7C572CA5"/>
    <w:rsid w:val="7C902574"/>
    <w:rsid w:val="7D874B49"/>
    <w:rsid w:val="7DC511EB"/>
    <w:rsid w:val="7DD722F0"/>
    <w:rsid w:val="7E3F3BE5"/>
    <w:rsid w:val="7EA3483F"/>
    <w:rsid w:val="7EB26F07"/>
    <w:rsid w:val="7FEBEB7F"/>
    <w:rsid w:val="7FFFFE9E"/>
    <w:rsid w:val="A7FB11C9"/>
    <w:rsid w:val="AE9FAFE0"/>
    <w:rsid w:val="B3B3E8CB"/>
    <w:rsid w:val="BAFE0312"/>
    <w:rsid w:val="BF172D5F"/>
    <w:rsid w:val="CBF183CC"/>
    <w:rsid w:val="CDFF529D"/>
    <w:rsid w:val="DED7DFFB"/>
    <w:rsid w:val="DEEA0063"/>
    <w:rsid w:val="F7F31279"/>
    <w:rsid w:val="FB6FE567"/>
    <w:rsid w:val="FBB9C780"/>
    <w:rsid w:val="FDFFA6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宋体" w:cs="Times New Roman"/>
      <w:kern w:val="2"/>
      <w:sz w:val="24"/>
      <w:szCs w:val="24"/>
      <w:lang w:val="en-US" w:eastAsia="zh-CN" w:bidi="ar-SA"/>
    </w:rPr>
  </w:style>
  <w:style w:type="paragraph" w:styleId="2">
    <w:name w:val="heading 1"/>
    <w:basedOn w:val="1"/>
    <w:next w:val="1"/>
    <w:link w:val="28"/>
    <w:autoRedefine/>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9"/>
    <w:autoRedefine/>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30"/>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31"/>
    <w:autoRedefine/>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32"/>
    <w:autoRedefine/>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3"/>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4"/>
    <w:autoRedefine/>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5"/>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6"/>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5">
    <w:name w:val="Default Paragraph Font"/>
    <w:autoRedefine/>
    <w:unhideWhenUsed/>
    <w:qFormat/>
    <w:uiPriority w:val="1"/>
  </w:style>
  <w:style w:type="table" w:default="1" w:styleId="23">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link w:val="37"/>
    <w:autoRedefine/>
    <w:qFormat/>
    <w:uiPriority w:val="99"/>
    <w:pPr>
      <w:spacing w:before="120" w:beforeLines="50" w:line="360" w:lineRule="auto"/>
      <w:ind w:firstLine="512" w:firstLineChars="200"/>
    </w:pPr>
    <w:rPr>
      <w:spacing w:val="8"/>
      <w:sz w:val="24"/>
      <w:szCs w:val="20"/>
    </w:rPr>
  </w:style>
  <w:style w:type="paragraph" w:styleId="12">
    <w:name w:val="annotation text"/>
    <w:basedOn w:val="1"/>
    <w:link w:val="38"/>
    <w:autoRedefine/>
    <w:unhideWhenUsed/>
    <w:qFormat/>
    <w:uiPriority w:val="0"/>
    <w:pPr>
      <w:jc w:val="left"/>
    </w:pPr>
    <w:rPr>
      <w:kern w:val="0"/>
      <w:sz w:val="20"/>
      <w:lang w:val="zh-CN" w:eastAsia="zh-CN"/>
    </w:rPr>
  </w:style>
  <w:style w:type="paragraph" w:styleId="13">
    <w:name w:val="Body Text"/>
    <w:basedOn w:val="1"/>
    <w:next w:val="14"/>
    <w:link w:val="39"/>
    <w:autoRedefine/>
    <w:qFormat/>
    <w:uiPriority w:val="0"/>
    <w:pPr>
      <w:spacing w:after="120"/>
    </w:pPr>
  </w:style>
  <w:style w:type="paragraph" w:styleId="14">
    <w:name w:val="Quote"/>
    <w:next w:val="1"/>
    <w:link w:val="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Plain Text"/>
    <w:basedOn w:val="1"/>
    <w:link w:val="41"/>
    <w:autoRedefine/>
    <w:qFormat/>
    <w:uiPriority w:val="0"/>
    <w:rPr>
      <w:rFonts w:ascii="Calibri" w:hAnsi="Courier New"/>
      <w:szCs w:val="20"/>
      <w:lang w:val="zh-CN" w:eastAsia="zh-CN"/>
    </w:rPr>
  </w:style>
  <w:style w:type="paragraph" w:styleId="16">
    <w:name w:val="Body Text Indent 2"/>
    <w:basedOn w:val="1"/>
    <w:autoRedefine/>
    <w:unhideWhenUsed/>
    <w:qFormat/>
    <w:uiPriority w:val="99"/>
    <w:pPr>
      <w:spacing w:after="120" w:line="480" w:lineRule="auto"/>
      <w:ind w:left="420" w:leftChars="200"/>
    </w:pPr>
  </w:style>
  <w:style w:type="paragraph" w:styleId="17">
    <w:name w:val="Balloon Text"/>
    <w:basedOn w:val="1"/>
    <w:link w:val="42"/>
    <w:autoRedefine/>
    <w:qFormat/>
    <w:uiPriority w:val="0"/>
    <w:rPr>
      <w:sz w:val="18"/>
      <w:szCs w:val="18"/>
      <w:lang w:val="zh-CN" w:eastAsia="zh-CN"/>
    </w:rPr>
  </w:style>
  <w:style w:type="paragraph" w:styleId="18">
    <w:name w:val="footer"/>
    <w:basedOn w:val="1"/>
    <w:link w:val="43"/>
    <w:autoRedefine/>
    <w:qFormat/>
    <w:uiPriority w:val="0"/>
    <w:pPr>
      <w:tabs>
        <w:tab w:val="center" w:pos="4153"/>
        <w:tab w:val="right" w:pos="8306"/>
      </w:tabs>
      <w:snapToGrid w:val="0"/>
      <w:jc w:val="left"/>
    </w:pPr>
    <w:rPr>
      <w:sz w:val="18"/>
      <w:szCs w:val="18"/>
      <w:lang w:val="zh-CN" w:eastAsia="zh-CN"/>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20">
    <w:name w:val="Subtitle"/>
    <w:basedOn w:val="1"/>
    <w:next w:val="1"/>
    <w:link w:val="45"/>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autoRedefine/>
    <w:qFormat/>
    <w:uiPriority w:val="99"/>
    <w:pPr>
      <w:spacing w:before="240" w:after="60"/>
      <w:jc w:val="center"/>
      <w:outlineLvl w:val="0"/>
    </w:pPr>
    <w:rPr>
      <w:rFonts w:ascii="Arial" w:hAnsi="Arial" w:cs="Arial"/>
      <w:b/>
      <w:bCs/>
      <w:sz w:val="32"/>
      <w:szCs w:val="32"/>
    </w:rPr>
  </w:style>
  <w:style w:type="table" w:styleId="24">
    <w:name w:val="Table Grid"/>
    <w:basedOn w:val="2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Hyperlink"/>
    <w:qFormat/>
    <w:uiPriority w:val="0"/>
    <w:rPr>
      <w:color w:val="0563C1"/>
      <w:u w:val="single"/>
    </w:rPr>
  </w:style>
  <w:style w:type="character" w:styleId="27">
    <w:name w:val="annotation reference"/>
    <w:autoRedefine/>
    <w:unhideWhenUsed/>
    <w:qFormat/>
    <w:uiPriority w:val="99"/>
    <w:rPr>
      <w:sz w:val="21"/>
      <w:szCs w:val="21"/>
    </w:rPr>
  </w:style>
  <w:style w:type="character" w:customStyle="1" w:styleId="28">
    <w:name w:val="标题 1 字符"/>
    <w:link w:val="2"/>
    <w:autoRedefine/>
    <w:qFormat/>
    <w:uiPriority w:val="0"/>
    <w:rPr>
      <w:b/>
      <w:bCs/>
      <w:kern w:val="44"/>
      <w:sz w:val="44"/>
      <w:szCs w:val="44"/>
      <w:lang w:val="zh-CN" w:eastAsia="zh-CN"/>
    </w:rPr>
  </w:style>
  <w:style w:type="character" w:customStyle="1" w:styleId="29">
    <w:name w:val="标题 2 字符"/>
    <w:link w:val="3"/>
    <w:autoRedefine/>
    <w:qFormat/>
    <w:uiPriority w:val="0"/>
    <w:rPr>
      <w:rFonts w:ascii="等线 Light" w:hAnsi="等线 Light" w:eastAsia="等线 Light" w:cs="Times New Roman"/>
      <w:b/>
      <w:bCs/>
      <w:kern w:val="2"/>
      <w:sz w:val="32"/>
      <w:szCs w:val="32"/>
    </w:rPr>
  </w:style>
  <w:style w:type="character" w:customStyle="1" w:styleId="30">
    <w:name w:val="标题 3 字符"/>
    <w:link w:val="4"/>
    <w:autoRedefine/>
    <w:qFormat/>
    <w:uiPriority w:val="0"/>
    <w:rPr>
      <w:b/>
      <w:bCs/>
      <w:kern w:val="2"/>
      <w:sz w:val="30"/>
      <w:szCs w:val="30"/>
    </w:rPr>
  </w:style>
  <w:style w:type="character" w:customStyle="1" w:styleId="31">
    <w:name w:val="标题 4 字符"/>
    <w:link w:val="5"/>
    <w:autoRedefine/>
    <w:qFormat/>
    <w:uiPriority w:val="0"/>
    <w:rPr>
      <w:rFonts w:ascii="宋体" w:hAnsi="宋体"/>
      <w:b/>
      <w:bCs/>
      <w:kern w:val="2"/>
      <w:sz w:val="28"/>
      <w:szCs w:val="28"/>
    </w:rPr>
  </w:style>
  <w:style w:type="character" w:customStyle="1" w:styleId="32">
    <w:name w:val="标题 5 字符"/>
    <w:link w:val="6"/>
    <w:qFormat/>
    <w:uiPriority w:val="0"/>
    <w:rPr>
      <w:b/>
      <w:bCs/>
      <w:kern w:val="2"/>
      <w:sz w:val="28"/>
      <w:szCs w:val="28"/>
    </w:rPr>
  </w:style>
  <w:style w:type="character" w:customStyle="1" w:styleId="33">
    <w:name w:val="标题 6 字符"/>
    <w:link w:val="7"/>
    <w:semiHidden/>
    <w:qFormat/>
    <w:uiPriority w:val="0"/>
    <w:rPr>
      <w:rFonts w:ascii="等线 Light" w:hAnsi="等线 Light" w:eastAsia="等线 Light"/>
      <w:b/>
      <w:bCs/>
      <w:kern w:val="2"/>
      <w:sz w:val="24"/>
      <w:szCs w:val="24"/>
    </w:rPr>
  </w:style>
  <w:style w:type="character" w:customStyle="1" w:styleId="34">
    <w:name w:val="标题 7 字符"/>
    <w:link w:val="8"/>
    <w:autoRedefine/>
    <w:semiHidden/>
    <w:qFormat/>
    <w:uiPriority w:val="0"/>
    <w:rPr>
      <w:b/>
      <w:bCs/>
      <w:kern w:val="2"/>
      <w:sz w:val="24"/>
      <w:szCs w:val="24"/>
    </w:rPr>
  </w:style>
  <w:style w:type="character" w:customStyle="1" w:styleId="35">
    <w:name w:val="标题 8 字符"/>
    <w:link w:val="9"/>
    <w:semiHidden/>
    <w:qFormat/>
    <w:uiPriority w:val="0"/>
    <w:rPr>
      <w:rFonts w:ascii="等线 Light" w:hAnsi="等线 Light" w:eastAsia="等线 Light"/>
      <w:kern w:val="2"/>
      <w:sz w:val="24"/>
      <w:szCs w:val="24"/>
    </w:rPr>
  </w:style>
  <w:style w:type="character" w:customStyle="1" w:styleId="36">
    <w:name w:val="标题 9 字符"/>
    <w:link w:val="10"/>
    <w:semiHidden/>
    <w:qFormat/>
    <w:uiPriority w:val="0"/>
    <w:rPr>
      <w:rFonts w:ascii="等线 Light" w:hAnsi="等线 Light" w:eastAsia="等线 Light"/>
      <w:kern w:val="2"/>
      <w:sz w:val="21"/>
      <w:szCs w:val="21"/>
    </w:rPr>
  </w:style>
  <w:style w:type="character" w:customStyle="1" w:styleId="37">
    <w:name w:val="正文缩进 字符"/>
    <w:link w:val="11"/>
    <w:autoRedefine/>
    <w:qFormat/>
    <w:uiPriority w:val="99"/>
    <w:rPr>
      <w:spacing w:val="8"/>
      <w:kern w:val="2"/>
      <w:sz w:val="24"/>
      <w:lang w:val="en-US" w:eastAsia="zh-CN"/>
    </w:rPr>
  </w:style>
  <w:style w:type="character" w:customStyle="1" w:styleId="38">
    <w:name w:val="批注文字 字符1"/>
    <w:link w:val="12"/>
    <w:qFormat/>
    <w:uiPriority w:val="0"/>
    <w:rPr>
      <w:szCs w:val="24"/>
    </w:rPr>
  </w:style>
  <w:style w:type="character" w:customStyle="1" w:styleId="39">
    <w:name w:val="正文文本 字符"/>
    <w:link w:val="13"/>
    <w:qFormat/>
    <w:uiPriority w:val="0"/>
    <w:rPr>
      <w:kern w:val="2"/>
      <w:sz w:val="21"/>
      <w:szCs w:val="24"/>
    </w:rPr>
  </w:style>
  <w:style w:type="character" w:customStyle="1" w:styleId="40">
    <w:name w:val="引用 字符"/>
    <w:link w:val="14"/>
    <w:autoRedefine/>
    <w:qFormat/>
    <w:uiPriority w:val="0"/>
    <w:rPr>
      <w:rFonts w:ascii="Calibri" w:hAnsi="Calibri"/>
      <w:i/>
      <w:sz w:val="21"/>
    </w:rPr>
  </w:style>
  <w:style w:type="character" w:customStyle="1" w:styleId="41">
    <w:name w:val="纯文本 字符"/>
    <w:link w:val="15"/>
    <w:qFormat/>
    <w:uiPriority w:val="0"/>
    <w:rPr>
      <w:rFonts w:ascii="Calibri" w:hAnsi="Courier New"/>
      <w:kern w:val="2"/>
      <w:sz w:val="21"/>
    </w:rPr>
  </w:style>
  <w:style w:type="character" w:customStyle="1" w:styleId="42">
    <w:name w:val="批注框文本 字符"/>
    <w:link w:val="17"/>
    <w:qFormat/>
    <w:uiPriority w:val="0"/>
    <w:rPr>
      <w:kern w:val="2"/>
      <w:sz w:val="18"/>
      <w:szCs w:val="18"/>
    </w:rPr>
  </w:style>
  <w:style w:type="character" w:customStyle="1" w:styleId="43">
    <w:name w:val="页脚 字符1"/>
    <w:link w:val="18"/>
    <w:autoRedefine/>
    <w:qFormat/>
    <w:uiPriority w:val="0"/>
    <w:rPr>
      <w:kern w:val="2"/>
      <w:sz w:val="18"/>
      <w:szCs w:val="18"/>
    </w:rPr>
  </w:style>
  <w:style w:type="character" w:customStyle="1" w:styleId="44">
    <w:name w:val="页眉 字符"/>
    <w:link w:val="19"/>
    <w:autoRedefine/>
    <w:qFormat/>
    <w:uiPriority w:val="0"/>
    <w:rPr>
      <w:kern w:val="2"/>
      <w:sz w:val="18"/>
      <w:szCs w:val="18"/>
    </w:rPr>
  </w:style>
  <w:style w:type="character" w:customStyle="1" w:styleId="45">
    <w:name w:val="副标题 字符"/>
    <w:link w:val="20"/>
    <w:autoRedefine/>
    <w:qFormat/>
    <w:uiPriority w:val="0"/>
    <w:rPr>
      <w:rFonts w:ascii="Cambria" w:hAnsi="Cambria"/>
      <w:b/>
      <w:bCs/>
      <w:kern w:val="28"/>
      <w:sz w:val="32"/>
      <w:szCs w:val="32"/>
      <w:lang w:eastAsia="en-US"/>
    </w:rPr>
  </w:style>
  <w:style w:type="character" w:customStyle="1" w:styleId="46">
    <w:name w:val="已访问的超链接1"/>
    <w:autoRedefine/>
    <w:qFormat/>
    <w:uiPriority w:val="0"/>
    <w:rPr>
      <w:color w:val="800080"/>
      <w:u w:val="single"/>
    </w:rPr>
  </w:style>
  <w:style w:type="character" w:customStyle="1" w:styleId="47">
    <w:name w:val="正文（首行缩进2字符） Char"/>
    <w:link w:val="48"/>
    <w:autoRedefine/>
    <w:qFormat/>
    <w:uiPriority w:val="0"/>
    <w:rPr>
      <w:kern w:val="2"/>
      <w:sz w:val="24"/>
      <w:szCs w:val="24"/>
    </w:rPr>
  </w:style>
  <w:style w:type="paragraph" w:customStyle="1" w:styleId="48">
    <w:name w:val="正文（首行缩进2字符）"/>
    <w:basedOn w:val="1"/>
    <w:link w:val="47"/>
    <w:autoRedefine/>
    <w:qFormat/>
    <w:uiPriority w:val="0"/>
    <w:pPr>
      <w:spacing w:line="360" w:lineRule="auto"/>
      <w:ind w:firstLine="480" w:firstLineChars="200"/>
    </w:pPr>
    <w:rPr>
      <w:sz w:val="24"/>
      <w:lang w:val="zh-CN" w:eastAsia="zh-CN"/>
    </w:rPr>
  </w:style>
  <w:style w:type="character" w:customStyle="1" w:styleId="49">
    <w:name w:val="段落 Char1"/>
    <w:link w:val="50"/>
    <w:autoRedefine/>
    <w:qFormat/>
    <w:uiPriority w:val="0"/>
    <w:rPr>
      <w:rFonts w:eastAsia="仿宋_GB2312"/>
      <w:sz w:val="24"/>
      <w:szCs w:val="24"/>
      <w:lang w:val="en-US" w:eastAsia="zh-CN" w:bidi="ar-SA"/>
    </w:rPr>
  </w:style>
  <w:style w:type="paragraph" w:customStyle="1" w:styleId="50">
    <w:name w:val="段落"/>
    <w:link w:val="49"/>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1">
    <w:name w:val="正文（安华金和） Char"/>
    <w:link w:val="52"/>
    <w:autoRedefine/>
    <w:qFormat/>
    <w:uiPriority w:val="0"/>
    <w:rPr>
      <w:rFonts w:ascii="Arial" w:hAnsi="Arial"/>
      <w:sz w:val="21"/>
      <w:szCs w:val="21"/>
      <w:lang w:val="en-US" w:eastAsia="zh-CN" w:bidi="ar-SA"/>
    </w:rPr>
  </w:style>
  <w:style w:type="paragraph" w:customStyle="1" w:styleId="52">
    <w:name w:val="正文（安华金和）"/>
    <w:link w:val="51"/>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3">
    <w:name w:val="页脚 字符"/>
    <w:autoRedefine/>
    <w:qFormat/>
    <w:uiPriority w:val="99"/>
  </w:style>
  <w:style w:type="character" w:customStyle="1" w:styleId="54">
    <w:name w:val="列出段落 字符"/>
    <w:link w:val="55"/>
    <w:autoRedefine/>
    <w:qFormat/>
    <w:uiPriority w:val="34"/>
    <w:rPr>
      <w:rFonts w:ascii="等线" w:hAnsi="等线" w:eastAsia="等线"/>
      <w:kern w:val="2"/>
      <w:sz w:val="21"/>
      <w:szCs w:val="22"/>
    </w:rPr>
  </w:style>
  <w:style w:type="paragraph" w:styleId="55">
    <w:name w:val="List Paragraph"/>
    <w:basedOn w:val="1"/>
    <w:link w:val="54"/>
    <w:autoRedefine/>
    <w:qFormat/>
    <w:uiPriority w:val="34"/>
    <w:pPr>
      <w:ind w:firstLine="420" w:firstLineChars="200"/>
    </w:pPr>
    <w:rPr>
      <w:rFonts w:ascii="等线" w:hAnsi="等线" w:eastAsia="等线"/>
      <w:szCs w:val="22"/>
      <w:lang w:val="zh-CN" w:eastAsia="zh-CN"/>
    </w:rPr>
  </w:style>
  <w:style w:type="paragraph" w:customStyle="1" w:styleId="56">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7">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8">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9">
    <w:name w:val="_Style 27"/>
    <w:basedOn w:val="1"/>
    <w:next w:val="55"/>
    <w:autoRedefine/>
    <w:qFormat/>
    <w:uiPriority w:val="34"/>
    <w:pPr>
      <w:widowControl/>
      <w:spacing w:line="240" w:lineRule="atLeast"/>
      <w:ind w:firstLine="420" w:firstLineChars="200"/>
    </w:pPr>
    <w:rPr>
      <w:rFonts w:ascii="Arial" w:hAnsi="Arial"/>
      <w:kern w:val="0"/>
      <w:szCs w:val="21"/>
    </w:rPr>
  </w:style>
  <w:style w:type="paragraph" w:customStyle="1" w:styleId="60">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61">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2">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3">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4">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65">
    <w:name w:val="彩色列表 - 着色 11"/>
    <w:basedOn w:val="1"/>
    <w:autoRedefine/>
    <w:qFormat/>
    <w:uiPriority w:val="34"/>
    <w:pPr>
      <w:spacing w:line="360" w:lineRule="auto"/>
      <w:ind w:firstLine="420" w:firstLineChars="200"/>
    </w:pPr>
    <w:rPr>
      <w:rFonts w:ascii="Arial" w:hAnsi="Arial"/>
      <w:szCs w:val="21"/>
    </w:rPr>
  </w:style>
  <w:style w:type="paragraph" w:customStyle="1" w:styleId="66">
    <w:name w:val="表格标注（安华金和）"/>
    <w:basedOn w:val="56"/>
    <w:next w:val="1"/>
    <w:autoRedefine/>
    <w:qFormat/>
    <w:uiPriority w:val="0"/>
    <w:pPr>
      <w:numPr>
        <w:ilvl w:val="7"/>
      </w:numPr>
    </w:pPr>
  </w:style>
  <w:style w:type="paragraph" w:customStyle="1" w:styleId="67">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8">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9">
    <w:name w:val="批注文字 字符"/>
    <w:autoRedefine/>
    <w:qFormat/>
    <w:uiPriority w:val="99"/>
    <w:rPr>
      <w:kern w:val="2"/>
      <w:sz w:val="21"/>
      <w:szCs w:val="24"/>
    </w:rPr>
  </w:style>
  <w:style w:type="paragraph" w:customStyle="1" w:styleId="70">
    <w:name w:val="Other|1"/>
    <w:basedOn w:val="1"/>
    <w:autoRedefine/>
    <w:qFormat/>
    <w:uiPriority w:val="0"/>
    <w:pPr>
      <w:jc w:val="center"/>
    </w:pPr>
    <w:rPr>
      <w:rFonts w:ascii="宋体" w:hAnsi="宋体" w:cs="宋体"/>
      <w:sz w:val="22"/>
      <w:szCs w:val="22"/>
    </w:rPr>
  </w:style>
  <w:style w:type="paragraph" w:customStyle="1" w:styleId="71">
    <w:name w:val="列出段落1"/>
    <w:basedOn w:val="1"/>
    <w:autoRedefine/>
    <w:qFormat/>
    <w:uiPriority w:val="34"/>
    <w:pPr>
      <w:widowControl/>
      <w:ind w:firstLine="420" w:firstLineChars="200"/>
      <w:jc w:val="left"/>
    </w:pPr>
    <w:rPr>
      <w:rFonts w:ascii="宋体" w:hAnsi="宋体" w:cs="宋体"/>
      <w:kern w:val="0"/>
      <w:sz w:val="24"/>
    </w:rPr>
  </w:style>
  <w:style w:type="paragraph" w:customStyle="1" w:styleId="72">
    <w:name w:val="标题-2"/>
    <w:basedOn w:val="1"/>
    <w:next w:val="3"/>
    <w:autoRedefine/>
    <w:qFormat/>
    <w:uiPriority w:val="0"/>
    <w:pPr>
      <w:spacing w:before="50" w:beforeLines="50" w:after="50" w:afterLines="50"/>
      <w:outlineLvl w:val="1"/>
    </w:pPr>
    <w:rPr>
      <w:rFonts w:ascii="宋体" w:hAnsi="宋体"/>
      <w:b/>
      <w:kern w:val="0"/>
      <w:sz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1040</Words>
  <Characters>1052</Characters>
  <Lines>53</Lines>
  <Paragraphs>15</Paragraphs>
  <TotalTime>0</TotalTime>
  <ScaleCrop>false</ScaleCrop>
  <LinksUpToDate>false</LinksUpToDate>
  <CharactersWithSpaces>1055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2022-01-07T02:43:00Z</dcterms:created>
  <dc:creator>陈永辉</dc:creator>
  <cp:lastModifiedBy>梁铭标</cp:lastModifiedBy>
  <dcterms:modified xsi:type="dcterms:W3CDTF">2025-02-24T09:42:16Z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35C2E31CFB1938E535384E65782E47D2_43</vt:lpwstr>
  </property>
  <property fmtid="{D5CDD505-2E9C-101B-9397-08002B2CF9AE}" pid="4" name="KSOTemplateDocerSaveRecord">
    <vt:lpwstr>eyJoZGlkIjoiM2Q1YjMyOTExYmE0M2FkNjQzMTQ3NjBiOGRjNTcxZjgiLCJ1c2VySWQiOiIyNDQ5OTg0MzkifQ==</vt:lpwstr>
  </property>
</Properties>
</file>