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6E075">
      <w:pPr>
        <w:spacing w:before="624" w:beforeLines="200" w:after="312" w:afterLines="100" w:line="360" w:lineRule="auto"/>
        <w:ind w:left="1440" w:leftChars="600" w:right="1440" w:rightChars="600" w:firstLine="0" w:firstLineChars="0"/>
        <w:jc w:val="center"/>
        <w:rPr>
          <w:rFonts w:hint="eastAsia" w:ascii="宋体" w:hAnsi="宋体" w:eastAsia="宋体" w:cs="宋体"/>
          <w:b/>
          <w:sz w:val="44"/>
          <w:szCs w:val="30"/>
        </w:rPr>
      </w:pPr>
      <w:r>
        <w:rPr>
          <w:rFonts w:hint="eastAsia" w:ascii="宋体" w:hAnsi="宋体" w:eastAsia="宋体" w:cs="宋体"/>
          <w:b/>
          <w:sz w:val="44"/>
          <w:szCs w:val="30"/>
        </w:rPr>
        <w:t>HPC一期高性能计算维保服务（2025-2026年度）项目需求</w:t>
      </w:r>
    </w:p>
    <w:p w14:paraId="4113284A">
      <w:pPr>
        <w:pStyle w:val="2"/>
        <w:numPr>
          <w:ilvl w:val="0"/>
          <w:numId w:val="3"/>
        </w:numPr>
        <w:spacing w:before="0" w:after="0"/>
        <w:rPr>
          <w:rFonts w:hint="eastAsia" w:ascii="宋体" w:hAnsi="宋体" w:eastAsia="宋体" w:cs="宋体"/>
          <w:sz w:val="32"/>
          <w:szCs w:val="32"/>
        </w:rPr>
      </w:pPr>
      <w:r>
        <w:rPr>
          <w:rFonts w:hint="eastAsia" w:ascii="宋体" w:hAnsi="宋体" w:eastAsia="宋体" w:cs="宋体"/>
          <w:sz w:val="32"/>
          <w:szCs w:val="32"/>
        </w:rPr>
        <w:t>项目名称</w:t>
      </w:r>
    </w:p>
    <w:p w14:paraId="73B87DEB">
      <w:pPr>
        <w:spacing w:line="360" w:lineRule="auto"/>
        <w:ind w:left="432"/>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eastAsia="宋体" w:cs="宋体"/>
        </w:rPr>
        <w:t>HPC一期高性能计算维保服务</w:t>
      </w:r>
      <w:r>
        <w:rPr>
          <w:rFonts w:hint="eastAsia" w:ascii="宋体" w:hAnsi="宋体" w:eastAsia="宋体" w:cs="宋体"/>
          <w:lang w:eastAsia="zh-CN"/>
        </w:rPr>
        <w:t>（</w:t>
      </w:r>
      <w:r>
        <w:rPr>
          <w:rFonts w:hint="eastAsia" w:ascii="宋体" w:hAnsi="宋体" w:eastAsia="宋体" w:cs="宋体"/>
          <w:lang w:val="en-US" w:eastAsia="zh-CN"/>
        </w:rPr>
        <w:t>2025-2026年度</w:t>
      </w:r>
      <w:r>
        <w:rPr>
          <w:rFonts w:hint="eastAsia" w:ascii="宋体" w:hAnsi="宋体" w:eastAsia="宋体" w:cs="宋体"/>
          <w:lang w:eastAsia="zh-CN"/>
        </w:rPr>
        <w:t>）</w:t>
      </w:r>
    </w:p>
    <w:p w14:paraId="2723F81E">
      <w:pPr>
        <w:spacing w:line="360" w:lineRule="auto"/>
        <w:ind w:left="432"/>
        <w:rPr>
          <w:rFonts w:hint="eastAsia" w:ascii="宋体" w:hAnsi="宋体" w:eastAsia="宋体" w:cs="宋体"/>
          <w:sz w:val="22"/>
        </w:rPr>
      </w:pPr>
    </w:p>
    <w:p w14:paraId="4770787F">
      <w:pPr>
        <w:pStyle w:val="2"/>
        <w:numPr>
          <w:ilvl w:val="0"/>
          <w:numId w:val="3"/>
        </w:numPr>
        <w:spacing w:before="0" w:after="0"/>
        <w:rPr>
          <w:rFonts w:hint="eastAsia" w:ascii="宋体" w:hAnsi="宋体" w:eastAsia="宋体" w:cs="宋体"/>
          <w:b/>
          <w:bCs/>
          <w:vanish/>
          <w:kern w:val="44"/>
          <w:szCs w:val="21"/>
        </w:rPr>
      </w:pPr>
      <w:r>
        <w:rPr>
          <w:rFonts w:hint="eastAsia" w:ascii="宋体" w:hAnsi="宋体" w:eastAsia="宋体" w:cs="宋体"/>
          <w:sz w:val="32"/>
          <w:szCs w:val="32"/>
          <w:lang w:val="en-US" w:eastAsia="zh-CN"/>
        </w:rPr>
        <w:t>项目背景</w:t>
      </w:r>
    </w:p>
    <w:p w14:paraId="1B2D9331">
      <w:pPr>
        <w:rPr>
          <w:rFonts w:hint="eastAsia" w:ascii="宋体" w:hAnsi="宋体" w:eastAsia="宋体" w:cs="宋体"/>
        </w:rPr>
      </w:pPr>
    </w:p>
    <w:p w14:paraId="351D356E">
      <w:pPr>
        <w:ind w:firstLine="420" w:firstLineChars="0"/>
        <w:rPr>
          <w:rFonts w:hint="eastAsia" w:ascii="宋体" w:hAnsi="宋体" w:eastAsia="宋体" w:cs="宋体"/>
          <w:kern w:val="0"/>
          <w:szCs w:val="21"/>
        </w:rPr>
      </w:pPr>
      <w:r>
        <w:rPr>
          <w:rFonts w:hint="eastAsia" w:ascii="宋体" w:hAnsi="宋体" w:eastAsia="宋体" w:cs="宋体"/>
          <w:kern w:val="0"/>
          <w:szCs w:val="21"/>
        </w:rPr>
        <w:t>目前我院高性能计算（HPC）</w:t>
      </w:r>
      <w:r>
        <w:rPr>
          <w:rFonts w:hint="eastAsia" w:ascii="宋体" w:hAnsi="宋体" w:eastAsia="宋体" w:cs="宋体"/>
          <w:kern w:val="0"/>
          <w:szCs w:val="21"/>
          <w:lang w:val="en-US" w:eastAsia="zh-CN"/>
        </w:rPr>
        <w:t>一</w:t>
      </w:r>
      <w:r>
        <w:rPr>
          <w:rFonts w:hint="eastAsia" w:ascii="宋体" w:hAnsi="宋体" w:eastAsia="宋体" w:cs="宋体"/>
          <w:kern w:val="0"/>
          <w:szCs w:val="21"/>
        </w:rPr>
        <w:t>期项目为各所院校师生、生物研究人员提供强大的计算、存储平台，实现面向大数据相关的科研共享</w:t>
      </w:r>
      <w:r>
        <w:rPr>
          <w:rFonts w:hint="eastAsia" w:ascii="宋体" w:hAnsi="宋体" w:eastAsia="宋体" w:cs="宋体"/>
          <w:kern w:val="0"/>
          <w:szCs w:val="21"/>
          <w:lang w:val="en-US" w:eastAsia="zh-CN"/>
        </w:rPr>
        <w:t>。</w:t>
      </w:r>
      <w:r>
        <w:rPr>
          <w:rFonts w:hint="eastAsia" w:ascii="宋体" w:hAnsi="宋体" w:eastAsia="宋体" w:cs="宋体"/>
          <w:kern w:val="0"/>
          <w:szCs w:val="21"/>
        </w:rPr>
        <w:t>自2022年1月上线后稳定运行至今，公共算力中心在用用户</w:t>
      </w:r>
      <w:r>
        <w:rPr>
          <w:rFonts w:hint="eastAsia" w:ascii="宋体" w:hAnsi="宋体" w:eastAsia="宋体" w:cs="宋体"/>
          <w:kern w:val="0"/>
          <w:szCs w:val="21"/>
          <w:lang w:val="en-US" w:eastAsia="zh-CN"/>
        </w:rPr>
        <w:t>将近100</w:t>
      </w:r>
      <w:r>
        <w:rPr>
          <w:rFonts w:hint="eastAsia" w:ascii="宋体" w:hAnsi="宋体" w:eastAsia="宋体" w:cs="宋体"/>
          <w:kern w:val="0"/>
          <w:szCs w:val="21"/>
        </w:rPr>
        <w:t>名，覆盖院内20</w:t>
      </w:r>
      <w:r>
        <w:rPr>
          <w:rFonts w:hint="eastAsia" w:ascii="宋体" w:hAnsi="宋体" w:eastAsia="宋体" w:cs="宋体"/>
          <w:kern w:val="0"/>
          <w:szCs w:val="21"/>
          <w:lang w:val="en-US" w:eastAsia="zh-CN"/>
        </w:rPr>
        <w:t>多</w:t>
      </w:r>
      <w:r>
        <w:rPr>
          <w:rFonts w:hint="eastAsia" w:ascii="宋体" w:hAnsi="宋体" w:eastAsia="宋体" w:cs="宋体"/>
          <w:kern w:val="0"/>
          <w:szCs w:val="21"/>
        </w:rPr>
        <w:t>个科研项目组，包括医学自然语言处理、医学影像、生物信息学研究、心电图研究、肾脏基因组学等。</w:t>
      </w:r>
    </w:p>
    <w:p w14:paraId="24E7ED63">
      <w:pPr>
        <w:ind w:firstLine="420" w:firstLineChars="0"/>
        <w:rPr>
          <w:rFonts w:hint="eastAsia" w:ascii="宋体" w:hAnsi="宋体" w:eastAsia="宋体" w:cs="宋体"/>
          <w:kern w:val="0"/>
          <w:szCs w:val="21"/>
          <w:lang w:eastAsia="zh-CN"/>
        </w:rPr>
      </w:pPr>
      <w:r>
        <w:rPr>
          <w:rFonts w:hint="eastAsia" w:ascii="宋体" w:hAnsi="宋体" w:eastAsia="宋体" w:cs="宋体"/>
          <w:kern w:val="0"/>
          <w:szCs w:val="21"/>
          <w:lang w:val="en-US" w:eastAsia="zh-CN"/>
        </w:rPr>
        <w:t>因现有运维服务将于近期陆续到期，为保障HPC一期平台持续稳定运行，</w:t>
      </w:r>
      <w:r>
        <w:rPr>
          <w:rFonts w:hint="eastAsia" w:ascii="宋体" w:hAnsi="宋体" w:eastAsia="宋体" w:cs="宋体"/>
          <w:kern w:val="0"/>
          <w:szCs w:val="21"/>
        </w:rPr>
        <w:t>拟计划采购</w:t>
      </w:r>
      <w:r>
        <w:rPr>
          <w:rFonts w:hint="eastAsia" w:ascii="宋体" w:hAnsi="宋体" w:eastAsia="宋体" w:cs="宋体"/>
          <w:kern w:val="0"/>
          <w:szCs w:val="21"/>
          <w:lang w:val="en-US" w:eastAsia="zh-CN"/>
        </w:rPr>
        <w:t>2025-2026共</w:t>
      </w:r>
      <w:r>
        <w:rPr>
          <w:rFonts w:hint="eastAsia" w:ascii="宋体" w:hAnsi="宋体" w:eastAsia="宋体" w:cs="宋体"/>
          <w:kern w:val="0"/>
          <w:szCs w:val="21"/>
        </w:rPr>
        <w:t>1</w:t>
      </w:r>
      <w:r>
        <w:rPr>
          <w:rFonts w:hint="eastAsia" w:ascii="宋体" w:hAnsi="宋体" w:eastAsia="宋体" w:cs="宋体"/>
          <w:kern w:val="0"/>
          <w:szCs w:val="21"/>
          <w:lang w:val="en-US" w:eastAsia="zh-CN"/>
        </w:rPr>
        <w:t>年度</w:t>
      </w:r>
      <w:r>
        <w:rPr>
          <w:rFonts w:hint="eastAsia" w:ascii="宋体" w:hAnsi="宋体" w:eastAsia="宋体" w:cs="宋体"/>
          <w:kern w:val="0"/>
          <w:szCs w:val="21"/>
        </w:rPr>
        <w:t>硬件、软件维护服务</w:t>
      </w:r>
      <w:r>
        <w:rPr>
          <w:rFonts w:hint="eastAsia" w:ascii="宋体" w:hAnsi="宋体" w:eastAsia="宋体" w:cs="宋体"/>
          <w:kern w:val="0"/>
          <w:szCs w:val="21"/>
          <w:lang w:eastAsia="zh-CN"/>
        </w:rPr>
        <w:t>，确保我院HPC</w:t>
      </w:r>
      <w:r>
        <w:rPr>
          <w:rFonts w:hint="eastAsia" w:ascii="宋体" w:hAnsi="宋体" w:eastAsia="宋体" w:cs="宋体"/>
          <w:kern w:val="0"/>
          <w:szCs w:val="21"/>
          <w:lang w:val="en-US" w:eastAsia="zh-CN"/>
        </w:rPr>
        <w:t>一</w:t>
      </w:r>
      <w:r>
        <w:rPr>
          <w:rFonts w:hint="eastAsia" w:ascii="宋体" w:hAnsi="宋体" w:eastAsia="宋体" w:cs="宋体"/>
          <w:kern w:val="0"/>
          <w:szCs w:val="21"/>
          <w:lang w:eastAsia="zh-CN"/>
        </w:rPr>
        <w:t>期</w:t>
      </w:r>
      <w:r>
        <w:rPr>
          <w:rFonts w:hint="eastAsia" w:ascii="宋体" w:hAnsi="宋体" w:eastAsia="宋体" w:cs="宋体"/>
          <w:kern w:val="0"/>
          <w:szCs w:val="21"/>
          <w:lang w:val="en-US" w:eastAsia="zh-CN"/>
        </w:rPr>
        <w:t>平台</w:t>
      </w:r>
      <w:r>
        <w:rPr>
          <w:rFonts w:hint="eastAsia" w:ascii="宋体" w:hAnsi="宋体" w:eastAsia="宋体" w:cs="宋体"/>
          <w:kern w:val="0"/>
          <w:szCs w:val="21"/>
          <w:lang w:eastAsia="zh-CN"/>
        </w:rPr>
        <w:t>的稳定运行，保障科研项目的顺利进行。维保服务期间，实现系统硬件、软件的日常维护和优化，提供及时</w:t>
      </w:r>
      <w:r>
        <w:rPr>
          <w:rFonts w:hint="eastAsia" w:ascii="宋体" w:hAnsi="宋体" w:eastAsia="宋体" w:cs="宋体"/>
          <w:kern w:val="0"/>
          <w:szCs w:val="21"/>
          <w:lang w:val="en-US" w:eastAsia="zh-CN"/>
        </w:rPr>
        <w:t>现场或远程</w:t>
      </w:r>
      <w:r>
        <w:rPr>
          <w:rFonts w:hint="eastAsia" w:ascii="宋体" w:hAnsi="宋体" w:eastAsia="宋体" w:cs="宋体"/>
          <w:kern w:val="0"/>
          <w:szCs w:val="21"/>
          <w:lang w:eastAsia="zh-CN"/>
        </w:rPr>
        <w:t>技术支持，提高系统可用性。</w:t>
      </w:r>
    </w:p>
    <w:p w14:paraId="64739A6C">
      <w:pPr>
        <w:rPr>
          <w:rFonts w:hint="eastAsia" w:ascii="宋体" w:hAnsi="宋体" w:eastAsia="宋体" w:cs="宋体"/>
          <w:kern w:val="0"/>
          <w:szCs w:val="21"/>
          <w:lang w:eastAsia="zh-CN"/>
        </w:rPr>
      </w:pPr>
    </w:p>
    <w:p w14:paraId="466E63E7">
      <w:pPr>
        <w:pStyle w:val="2"/>
        <w:numPr>
          <w:ilvl w:val="0"/>
          <w:numId w:val="3"/>
        </w:numPr>
        <w:spacing w:before="0" w:after="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维保清单</w:t>
      </w:r>
    </w:p>
    <w:p w14:paraId="0DA80518">
      <w:pPr>
        <w:pStyle w:val="58"/>
        <w:bidi w:val="0"/>
        <w:rPr>
          <w:rFonts w:hint="eastAsia"/>
          <w:lang w:val="en-US" w:eastAsia="zh-CN"/>
        </w:rPr>
      </w:pPr>
      <w:r>
        <w:rPr>
          <w:rFonts w:hint="eastAsia"/>
          <w:lang w:val="en-US" w:eastAsia="zh-CN"/>
        </w:rPr>
        <w:t>HPC平台硬件</w:t>
      </w:r>
    </w:p>
    <w:p w14:paraId="66A3F87B">
      <w:pPr>
        <w:ind w:firstLine="420" w:firstLineChars="0"/>
        <w:rPr>
          <w:rFonts w:hint="eastAsia" w:ascii="宋体" w:hAnsi="宋体" w:eastAsia="宋体" w:cs="宋体"/>
          <w:kern w:val="0"/>
          <w:szCs w:val="21"/>
          <w:lang w:eastAsia="zh-CN"/>
        </w:rPr>
      </w:pPr>
      <w:r>
        <w:rPr>
          <w:rFonts w:hint="eastAsia" w:ascii="宋体" w:hAnsi="宋体" w:eastAsia="宋体" w:cs="宋体"/>
          <w:lang w:val="en-US" w:eastAsia="zh-CN"/>
        </w:rPr>
        <w:t>采购下列设备的维保服务1年：</w:t>
      </w:r>
    </w:p>
    <w:tbl>
      <w:tblPr>
        <w:tblStyle w:val="24"/>
        <w:tblpPr w:leftFromText="180" w:rightFromText="180" w:vertAnchor="text" w:horzAnchor="page" w:tblpX="1484" w:tblpY="767"/>
        <w:tblOverlap w:val="never"/>
        <w:tblW w:w="4876" w:type="pct"/>
        <w:tblInd w:w="0" w:type="dxa"/>
        <w:tblLayout w:type="fixed"/>
        <w:tblCellMar>
          <w:top w:w="0" w:type="dxa"/>
          <w:left w:w="57" w:type="dxa"/>
          <w:bottom w:w="0" w:type="dxa"/>
          <w:right w:w="57" w:type="dxa"/>
        </w:tblCellMar>
      </w:tblPr>
      <w:tblGrid>
        <w:gridCol w:w="674"/>
        <w:gridCol w:w="1254"/>
        <w:gridCol w:w="921"/>
        <w:gridCol w:w="5351"/>
        <w:gridCol w:w="756"/>
      </w:tblGrid>
      <w:tr w14:paraId="775E6B3E">
        <w:tblPrEx>
          <w:tblCellMar>
            <w:top w:w="0" w:type="dxa"/>
            <w:left w:w="57" w:type="dxa"/>
            <w:bottom w:w="0" w:type="dxa"/>
            <w:right w:w="57" w:type="dxa"/>
          </w:tblCellMar>
        </w:tblPrEx>
        <w:trPr>
          <w:trHeight w:val="23" w:hRule="atLeast"/>
        </w:trPr>
        <w:tc>
          <w:tcPr>
            <w:tcW w:w="376" w:type="pct"/>
            <w:tcBorders>
              <w:top w:val="single" w:color="auto" w:sz="4" w:space="0"/>
              <w:left w:val="single" w:color="auto" w:sz="4" w:space="0"/>
              <w:bottom w:val="single" w:color="auto" w:sz="4" w:space="0"/>
              <w:right w:val="single" w:color="auto" w:sz="4" w:space="0"/>
            </w:tcBorders>
            <w:noWrap/>
            <w:vAlign w:val="center"/>
          </w:tcPr>
          <w:p w14:paraId="228D51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700" w:type="pct"/>
            <w:tcBorders>
              <w:top w:val="single" w:color="auto" w:sz="4" w:space="0"/>
              <w:left w:val="nil"/>
              <w:bottom w:val="single" w:color="auto" w:sz="4" w:space="0"/>
              <w:right w:val="single" w:color="auto" w:sz="4" w:space="0"/>
            </w:tcBorders>
            <w:noWrap/>
            <w:vAlign w:val="center"/>
          </w:tcPr>
          <w:p w14:paraId="092AA97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产品名称</w:t>
            </w:r>
          </w:p>
        </w:tc>
        <w:tc>
          <w:tcPr>
            <w:tcW w:w="514" w:type="pct"/>
            <w:tcBorders>
              <w:top w:val="single" w:color="auto" w:sz="4" w:space="0"/>
              <w:left w:val="nil"/>
              <w:bottom w:val="single" w:color="auto" w:sz="4" w:space="0"/>
              <w:right w:val="single" w:color="auto" w:sz="4" w:space="0"/>
            </w:tcBorders>
            <w:noWrap/>
            <w:vAlign w:val="center"/>
          </w:tcPr>
          <w:p w14:paraId="3A7339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型号</w:t>
            </w:r>
          </w:p>
        </w:tc>
        <w:tc>
          <w:tcPr>
            <w:tcW w:w="2987" w:type="pct"/>
            <w:tcBorders>
              <w:top w:val="single" w:color="auto" w:sz="4" w:space="0"/>
              <w:left w:val="nil"/>
              <w:bottom w:val="single" w:color="auto" w:sz="4" w:space="0"/>
              <w:right w:val="single" w:color="auto" w:sz="4" w:space="0"/>
            </w:tcBorders>
            <w:noWrap/>
            <w:vAlign w:val="center"/>
          </w:tcPr>
          <w:p w14:paraId="64F3B2D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描述</w:t>
            </w:r>
          </w:p>
        </w:tc>
        <w:tc>
          <w:tcPr>
            <w:tcW w:w="422" w:type="pct"/>
            <w:tcBorders>
              <w:top w:val="single" w:color="auto" w:sz="4" w:space="0"/>
              <w:left w:val="nil"/>
              <w:bottom w:val="single" w:color="auto" w:sz="4" w:space="0"/>
              <w:right w:val="single" w:color="auto" w:sz="4" w:space="0"/>
            </w:tcBorders>
            <w:shd w:val="clear" w:color="auto" w:fill="auto"/>
            <w:noWrap/>
            <w:vAlign w:val="center"/>
          </w:tcPr>
          <w:p w14:paraId="6E870A2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数量</w:t>
            </w:r>
          </w:p>
        </w:tc>
      </w:tr>
      <w:tr w14:paraId="5DB4600E">
        <w:tblPrEx>
          <w:tblCellMar>
            <w:top w:w="0" w:type="dxa"/>
            <w:left w:w="57" w:type="dxa"/>
            <w:bottom w:w="0" w:type="dxa"/>
            <w:right w:w="57" w:type="dxa"/>
          </w:tblCellMar>
        </w:tblPrEx>
        <w:trPr>
          <w:trHeight w:val="23" w:hRule="atLeast"/>
        </w:trPr>
        <w:tc>
          <w:tcPr>
            <w:tcW w:w="376" w:type="pct"/>
            <w:tcBorders>
              <w:top w:val="nil"/>
              <w:left w:val="single" w:color="auto" w:sz="4" w:space="0"/>
              <w:bottom w:val="single" w:color="auto" w:sz="4" w:space="0"/>
              <w:right w:val="single" w:color="auto" w:sz="4" w:space="0"/>
            </w:tcBorders>
            <w:noWrap/>
            <w:vAlign w:val="center"/>
          </w:tcPr>
          <w:p w14:paraId="5E6E88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0" w:type="pct"/>
            <w:tcBorders>
              <w:top w:val="nil"/>
              <w:left w:val="nil"/>
              <w:bottom w:val="single" w:color="auto" w:sz="4" w:space="0"/>
              <w:right w:val="single" w:color="auto" w:sz="4" w:space="0"/>
            </w:tcBorders>
            <w:noWrap w:val="0"/>
            <w:vAlign w:val="center"/>
          </w:tcPr>
          <w:p w14:paraId="49EF42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高性能计算大内存计算节点服务器</w:t>
            </w:r>
          </w:p>
        </w:tc>
        <w:tc>
          <w:tcPr>
            <w:tcW w:w="514" w:type="pct"/>
            <w:tcBorders>
              <w:top w:val="nil"/>
              <w:left w:val="nil"/>
              <w:bottom w:val="single" w:color="auto" w:sz="4" w:space="0"/>
              <w:right w:val="single" w:color="auto" w:sz="4" w:space="0"/>
            </w:tcBorders>
            <w:noWrap/>
            <w:vAlign w:val="center"/>
          </w:tcPr>
          <w:p w14:paraId="78D301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w:t>
            </w:r>
          </w:p>
          <w:p w14:paraId="0A3D4B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SR860</w:t>
            </w:r>
          </w:p>
        </w:tc>
        <w:tc>
          <w:tcPr>
            <w:tcW w:w="2987" w:type="pct"/>
            <w:tcBorders>
              <w:top w:val="nil"/>
              <w:left w:val="nil"/>
              <w:bottom w:val="single" w:color="auto" w:sz="4" w:space="0"/>
              <w:right w:val="single" w:color="auto" w:sz="4" w:space="0"/>
            </w:tcBorders>
            <w:noWrap w:val="0"/>
            <w:vAlign w:val="center"/>
          </w:tcPr>
          <w:p w14:paraId="7E9A20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CPU：4*Intel Xeon Gold 6230N 20C 2.3GHz 150W处理，Intel C624芯片组 ；                                               内存：2TB DDR4 2933 MHz RDIMM；                      </w:t>
            </w:r>
          </w:p>
          <w:p w14:paraId="55DAE6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硬盘：2*960GB企业级2.5寸SSD盘；                                                     IB卡： 1x100GbE/EDR IB QSFP28 VPI 适配器；                                                                                                                        网卡：2个万兆光端口网卡及2个光模块；                                            管理模块：企业版；                                                   电源：实配电源2个80+铂金电源                                                         </w:t>
            </w:r>
          </w:p>
        </w:tc>
        <w:tc>
          <w:tcPr>
            <w:tcW w:w="422" w:type="pct"/>
            <w:tcBorders>
              <w:top w:val="nil"/>
              <w:left w:val="nil"/>
              <w:bottom w:val="single" w:color="auto" w:sz="4" w:space="0"/>
              <w:right w:val="single" w:color="auto" w:sz="4" w:space="0"/>
            </w:tcBorders>
            <w:shd w:val="clear" w:color="auto" w:fill="auto"/>
            <w:noWrap/>
            <w:vAlign w:val="center"/>
          </w:tcPr>
          <w:p w14:paraId="58C32F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3</w:t>
            </w:r>
          </w:p>
        </w:tc>
      </w:tr>
      <w:tr w14:paraId="7F6560C6">
        <w:tblPrEx>
          <w:tblCellMar>
            <w:top w:w="0" w:type="dxa"/>
            <w:left w:w="57" w:type="dxa"/>
            <w:bottom w:w="0" w:type="dxa"/>
            <w:right w:w="57" w:type="dxa"/>
          </w:tblCellMar>
        </w:tblPrEx>
        <w:trPr>
          <w:trHeight w:val="23" w:hRule="atLeast"/>
        </w:trPr>
        <w:tc>
          <w:tcPr>
            <w:tcW w:w="376" w:type="pct"/>
            <w:tcBorders>
              <w:top w:val="nil"/>
              <w:left w:val="single" w:color="auto" w:sz="4" w:space="0"/>
              <w:bottom w:val="single" w:color="auto" w:sz="4" w:space="0"/>
              <w:right w:val="single" w:color="auto" w:sz="4" w:space="0"/>
            </w:tcBorders>
            <w:noWrap/>
            <w:vAlign w:val="center"/>
          </w:tcPr>
          <w:p w14:paraId="1C09E7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00" w:type="pct"/>
            <w:tcBorders>
              <w:top w:val="nil"/>
              <w:left w:val="nil"/>
              <w:bottom w:val="single" w:color="auto" w:sz="4" w:space="0"/>
              <w:right w:val="single" w:color="auto" w:sz="4" w:space="0"/>
            </w:tcBorders>
            <w:noWrap w:val="0"/>
            <w:vAlign w:val="center"/>
          </w:tcPr>
          <w:p w14:paraId="2833FF3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高性能计算管理登录服务器节点服务器</w:t>
            </w:r>
          </w:p>
        </w:tc>
        <w:tc>
          <w:tcPr>
            <w:tcW w:w="514" w:type="pct"/>
            <w:tcBorders>
              <w:top w:val="nil"/>
              <w:left w:val="nil"/>
              <w:bottom w:val="single" w:color="auto" w:sz="4" w:space="0"/>
              <w:right w:val="single" w:color="auto" w:sz="4" w:space="0"/>
            </w:tcBorders>
            <w:noWrap/>
            <w:vAlign w:val="center"/>
          </w:tcPr>
          <w:p w14:paraId="619C26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w:t>
            </w:r>
          </w:p>
          <w:p w14:paraId="584DBD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SR650</w:t>
            </w:r>
          </w:p>
        </w:tc>
        <w:tc>
          <w:tcPr>
            <w:tcW w:w="2987" w:type="pct"/>
            <w:tcBorders>
              <w:top w:val="nil"/>
              <w:left w:val="nil"/>
              <w:bottom w:val="single" w:color="auto" w:sz="4" w:space="0"/>
              <w:right w:val="single" w:color="auto" w:sz="4" w:space="0"/>
            </w:tcBorders>
            <w:noWrap w:val="0"/>
            <w:vAlign w:val="center"/>
          </w:tcPr>
          <w:p w14:paraId="1F597A3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CPU：2*Intel Xeon Gold 6230N 20C 2.3GHz 处理器                    </w:t>
            </w:r>
          </w:p>
          <w:p w14:paraId="66D30F9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内存：12*16G DDR4 2933 MHz RDIMM 配置；                                                                                       硬盘：2*960GB企业级2.5寸SSD盘；                                               阵列卡：配置RAID0/1/5带 2GB 闪存 PCIe 12Gb 适配器；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IB卡: Mellanox ConnectX-4 1x100GbE/EDR IB QSFP28 VPI 适配器；                                                                                                                         网卡：10Gb 2个 SFP+端口；                                     管理模块：企业版；                                                                                                   </w:t>
            </w:r>
          </w:p>
        </w:tc>
        <w:tc>
          <w:tcPr>
            <w:tcW w:w="422" w:type="pct"/>
            <w:tcBorders>
              <w:top w:val="nil"/>
              <w:left w:val="nil"/>
              <w:bottom w:val="single" w:color="auto" w:sz="4" w:space="0"/>
              <w:right w:val="single" w:color="auto" w:sz="4" w:space="0"/>
            </w:tcBorders>
            <w:shd w:val="clear" w:color="auto" w:fill="auto"/>
            <w:noWrap/>
            <w:vAlign w:val="center"/>
          </w:tcPr>
          <w:p w14:paraId="4FA829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2</w:t>
            </w:r>
          </w:p>
        </w:tc>
      </w:tr>
      <w:tr w14:paraId="60D0EE8E">
        <w:tblPrEx>
          <w:tblCellMar>
            <w:top w:w="0" w:type="dxa"/>
            <w:left w:w="57" w:type="dxa"/>
            <w:bottom w:w="0" w:type="dxa"/>
            <w:right w:w="57" w:type="dxa"/>
          </w:tblCellMar>
        </w:tblPrEx>
        <w:trPr>
          <w:trHeight w:val="23" w:hRule="atLeast"/>
        </w:trPr>
        <w:tc>
          <w:tcPr>
            <w:tcW w:w="376" w:type="pct"/>
            <w:tcBorders>
              <w:top w:val="nil"/>
              <w:left w:val="single" w:color="auto" w:sz="4" w:space="0"/>
              <w:bottom w:val="single" w:color="auto" w:sz="4" w:space="0"/>
              <w:right w:val="single" w:color="auto" w:sz="4" w:space="0"/>
            </w:tcBorders>
            <w:noWrap/>
            <w:vAlign w:val="center"/>
          </w:tcPr>
          <w:p w14:paraId="2B2604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700" w:type="pct"/>
            <w:tcBorders>
              <w:top w:val="nil"/>
              <w:left w:val="nil"/>
              <w:bottom w:val="single" w:color="auto" w:sz="4" w:space="0"/>
              <w:right w:val="single" w:color="auto" w:sz="4" w:space="0"/>
            </w:tcBorders>
            <w:noWrap w:val="0"/>
            <w:vAlign w:val="center"/>
          </w:tcPr>
          <w:p w14:paraId="0BC20D1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高性能计算GPU计算集群</w:t>
            </w:r>
          </w:p>
        </w:tc>
        <w:tc>
          <w:tcPr>
            <w:tcW w:w="514" w:type="pct"/>
            <w:tcBorders>
              <w:top w:val="nil"/>
              <w:left w:val="nil"/>
              <w:bottom w:val="single" w:color="auto" w:sz="4" w:space="0"/>
              <w:right w:val="single" w:color="auto" w:sz="4" w:space="0"/>
            </w:tcBorders>
            <w:noWrap w:val="0"/>
            <w:vAlign w:val="center"/>
          </w:tcPr>
          <w:p w14:paraId="00FAF4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w:t>
            </w:r>
          </w:p>
          <w:p w14:paraId="11A7DE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SR670</w:t>
            </w:r>
          </w:p>
        </w:tc>
        <w:tc>
          <w:tcPr>
            <w:tcW w:w="2987" w:type="pct"/>
            <w:tcBorders>
              <w:top w:val="nil"/>
              <w:left w:val="nil"/>
              <w:bottom w:val="single" w:color="auto" w:sz="4" w:space="0"/>
              <w:right w:val="single" w:color="auto" w:sz="4" w:space="0"/>
            </w:tcBorders>
            <w:noWrap w:val="0"/>
            <w:vAlign w:val="center"/>
          </w:tcPr>
          <w:p w14:paraId="6DF874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2个节点,每个节点配置如下：                                                  CPU：2*Intel Xeon Gold 6230R 26C 2.1GHz 处理器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内存：12*32G DDR4 2933 MHz RDIMM，采用六通道配置；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硬盘：2*960GB企业级2.5寸SSD盘；                                                        IB卡: Mellanox ConnectX-4 1x100GbE/EDR IB QSFP28 VPI 适配器；                                                                    GPU卡：4*NVIDIA Tesla V100S 32GB PCIe 被动式 GPU                                                                                    网卡：10Gb 2个 SFP+端口；                                     管理模块：企业版；                                                         </w:t>
            </w:r>
          </w:p>
        </w:tc>
        <w:tc>
          <w:tcPr>
            <w:tcW w:w="422" w:type="pct"/>
            <w:tcBorders>
              <w:top w:val="nil"/>
              <w:left w:val="nil"/>
              <w:bottom w:val="single" w:color="auto" w:sz="4" w:space="0"/>
              <w:right w:val="single" w:color="auto" w:sz="4" w:space="0"/>
            </w:tcBorders>
            <w:shd w:val="clear" w:color="auto" w:fill="auto"/>
            <w:noWrap/>
            <w:vAlign w:val="center"/>
          </w:tcPr>
          <w:p w14:paraId="1226CB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1</w:t>
            </w:r>
          </w:p>
        </w:tc>
      </w:tr>
      <w:tr w14:paraId="1A825C50">
        <w:tblPrEx>
          <w:tblCellMar>
            <w:top w:w="0" w:type="dxa"/>
            <w:left w:w="57" w:type="dxa"/>
            <w:bottom w:w="0" w:type="dxa"/>
            <w:right w:w="57" w:type="dxa"/>
          </w:tblCellMar>
        </w:tblPrEx>
        <w:trPr>
          <w:trHeight w:val="23" w:hRule="atLeast"/>
        </w:trPr>
        <w:tc>
          <w:tcPr>
            <w:tcW w:w="376" w:type="pct"/>
            <w:tcBorders>
              <w:top w:val="nil"/>
              <w:left w:val="single" w:color="auto" w:sz="4" w:space="0"/>
              <w:bottom w:val="single" w:color="auto" w:sz="4" w:space="0"/>
              <w:right w:val="single" w:color="auto" w:sz="4" w:space="0"/>
            </w:tcBorders>
            <w:shd w:val="clear" w:color="auto" w:fill="auto"/>
            <w:noWrap/>
            <w:vAlign w:val="center"/>
          </w:tcPr>
          <w:p w14:paraId="7CE539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4</w:t>
            </w:r>
          </w:p>
        </w:tc>
        <w:tc>
          <w:tcPr>
            <w:tcW w:w="700" w:type="pct"/>
            <w:tcBorders>
              <w:top w:val="nil"/>
              <w:left w:val="nil"/>
              <w:bottom w:val="single" w:color="auto" w:sz="4" w:space="0"/>
              <w:right w:val="single" w:color="auto" w:sz="4" w:space="0"/>
            </w:tcBorders>
            <w:noWrap w:val="0"/>
            <w:vAlign w:val="center"/>
          </w:tcPr>
          <w:p w14:paraId="5A36337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刀片机箱</w:t>
            </w:r>
          </w:p>
        </w:tc>
        <w:tc>
          <w:tcPr>
            <w:tcW w:w="514" w:type="pct"/>
            <w:tcBorders>
              <w:top w:val="nil"/>
              <w:left w:val="nil"/>
              <w:bottom w:val="single" w:color="auto" w:sz="4" w:space="0"/>
              <w:right w:val="single" w:color="auto" w:sz="4" w:space="0"/>
            </w:tcBorders>
            <w:noWrap/>
            <w:vAlign w:val="center"/>
          </w:tcPr>
          <w:p w14:paraId="3743D3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w:t>
            </w:r>
          </w:p>
          <w:p w14:paraId="15BF1D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D2</w:t>
            </w:r>
          </w:p>
        </w:tc>
        <w:tc>
          <w:tcPr>
            <w:tcW w:w="2987" w:type="pct"/>
            <w:tcBorders>
              <w:top w:val="nil"/>
              <w:left w:val="nil"/>
              <w:bottom w:val="single" w:color="auto" w:sz="4" w:space="0"/>
              <w:right w:val="single" w:color="auto" w:sz="4" w:space="0"/>
            </w:tcBorders>
            <w:noWrap w:val="0"/>
            <w:vAlign w:val="center"/>
          </w:tcPr>
          <w:p w14:paraId="1649046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全模块化设计；                                                            节点在机箱前部安装，支持节点前维护；                                         IO/散热/电源与节点完全解耦式设计，与节点分离安装；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网卡：配置4个管理端口；                                            </w:t>
            </w:r>
          </w:p>
        </w:tc>
        <w:tc>
          <w:tcPr>
            <w:tcW w:w="422" w:type="pct"/>
            <w:tcBorders>
              <w:top w:val="nil"/>
              <w:left w:val="nil"/>
              <w:bottom w:val="single" w:color="auto" w:sz="4" w:space="0"/>
              <w:right w:val="single" w:color="auto" w:sz="4" w:space="0"/>
            </w:tcBorders>
            <w:shd w:val="clear" w:color="auto" w:fill="auto"/>
            <w:noWrap/>
            <w:vAlign w:val="center"/>
          </w:tcPr>
          <w:p w14:paraId="3F2328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10</w:t>
            </w:r>
          </w:p>
        </w:tc>
      </w:tr>
      <w:tr w14:paraId="5B233B4E">
        <w:tblPrEx>
          <w:tblCellMar>
            <w:top w:w="0" w:type="dxa"/>
            <w:left w:w="57" w:type="dxa"/>
            <w:bottom w:w="0" w:type="dxa"/>
            <w:right w:w="57" w:type="dxa"/>
          </w:tblCellMar>
        </w:tblPrEx>
        <w:trPr>
          <w:trHeight w:val="23" w:hRule="atLeast"/>
        </w:trPr>
        <w:tc>
          <w:tcPr>
            <w:tcW w:w="376" w:type="pct"/>
            <w:tcBorders>
              <w:top w:val="nil"/>
              <w:left w:val="single" w:color="auto" w:sz="4" w:space="0"/>
              <w:bottom w:val="single" w:color="auto" w:sz="4" w:space="0"/>
              <w:right w:val="single" w:color="auto" w:sz="4" w:space="0"/>
            </w:tcBorders>
            <w:shd w:val="clear" w:color="auto" w:fill="auto"/>
            <w:noWrap/>
            <w:vAlign w:val="center"/>
          </w:tcPr>
          <w:p w14:paraId="405EDD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5</w:t>
            </w:r>
          </w:p>
        </w:tc>
        <w:tc>
          <w:tcPr>
            <w:tcW w:w="700" w:type="pct"/>
            <w:tcBorders>
              <w:top w:val="nil"/>
              <w:left w:val="nil"/>
              <w:bottom w:val="single" w:color="auto" w:sz="4" w:space="0"/>
              <w:right w:val="single" w:color="auto" w:sz="4" w:space="0"/>
            </w:tcBorders>
            <w:noWrap w:val="0"/>
            <w:vAlign w:val="center"/>
          </w:tcPr>
          <w:p w14:paraId="46DF3F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高性能计算刀片计算节点服务器</w:t>
            </w:r>
          </w:p>
        </w:tc>
        <w:tc>
          <w:tcPr>
            <w:tcW w:w="514" w:type="pct"/>
            <w:tcBorders>
              <w:top w:val="nil"/>
              <w:left w:val="nil"/>
              <w:bottom w:val="single" w:color="auto" w:sz="4" w:space="0"/>
              <w:right w:val="single" w:color="auto" w:sz="4" w:space="0"/>
            </w:tcBorders>
            <w:noWrap/>
            <w:vAlign w:val="center"/>
          </w:tcPr>
          <w:p w14:paraId="1A0461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联想SD530 </w:t>
            </w:r>
          </w:p>
        </w:tc>
        <w:tc>
          <w:tcPr>
            <w:tcW w:w="2987" w:type="pct"/>
            <w:tcBorders>
              <w:top w:val="nil"/>
              <w:left w:val="nil"/>
              <w:bottom w:val="single" w:color="auto" w:sz="4" w:space="0"/>
              <w:right w:val="single" w:color="auto" w:sz="4" w:space="0"/>
            </w:tcBorders>
            <w:noWrap w:val="0"/>
            <w:vAlign w:val="center"/>
          </w:tcPr>
          <w:p w14:paraId="58D7B36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CPU：2*Intel Xeon Gold 6230N 20C 125W 2.3GHz处理器；                                                                        内存：12*16G DDR4 2933 MHz RDIMM，采用六通道配置；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硬盘：2*960GB企业级2.5寸SSD盘；                                                      IB卡: Mellanox ConnectX-4 1x100GbE/EDR IB QSFP28 VPI 适配器；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网卡：10Gb 2 SFP+端口                                                                                                         管理模块：企业版；                                                              </w:t>
            </w:r>
          </w:p>
        </w:tc>
        <w:tc>
          <w:tcPr>
            <w:tcW w:w="422" w:type="pct"/>
            <w:tcBorders>
              <w:top w:val="nil"/>
              <w:left w:val="nil"/>
              <w:bottom w:val="single" w:color="auto" w:sz="4" w:space="0"/>
              <w:right w:val="single" w:color="auto" w:sz="4" w:space="0"/>
            </w:tcBorders>
            <w:shd w:val="clear" w:color="auto" w:fill="auto"/>
            <w:noWrap/>
            <w:vAlign w:val="center"/>
          </w:tcPr>
          <w:p w14:paraId="012444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40</w:t>
            </w:r>
          </w:p>
        </w:tc>
      </w:tr>
      <w:tr w14:paraId="03B82F0B">
        <w:tblPrEx>
          <w:tblCellMar>
            <w:top w:w="0" w:type="dxa"/>
            <w:left w:w="57" w:type="dxa"/>
            <w:bottom w:w="0" w:type="dxa"/>
            <w:right w:w="57" w:type="dxa"/>
          </w:tblCellMar>
        </w:tblPrEx>
        <w:trPr>
          <w:trHeight w:val="23" w:hRule="atLeast"/>
        </w:trPr>
        <w:tc>
          <w:tcPr>
            <w:tcW w:w="376" w:type="pct"/>
            <w:tcBorders>
              <w:top w:val="nil"/>
              <w:left w:val="single" w:color="auto" w:sz="4" w:space="0"/>
              <w:bottom w:val="single" w:color="auto" w:sz="4" w:space="0"/>
              <w:right w:val="single" w:color="auto" w:sz="4" w:space="0"/>
            </w:tcBorders>
            <w:shd w:val="clear" w:color="auto" w:fill="auto"/>
            <w:noWrap/>
            <w:vAlign w:val="center"/>
          </w:tcPr>
          <w:p w14:paraId="570065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6</w:t>
            </w:r>
          </w:p>
        </w:tc>
        <w:tc>
          <w:tcPr>
            <w:tcW w:w="700" w:type="pct"/>
            <w:tcBorders>
              <w:top w:val="nil"/>
              <w:left w:val="nil"/>
              <w:bottom w:val="single" w:color="auto" w:sz="4" w:space="0"/>
              <w:right w:val="single" w:color="auto" w:sz="4" w:space="0"/>
            </w:tcBorders>
            <w:noWrap w:val="0"/>
            <w:vAlign w:val="center"/>
          </w:tcPr>
          <w:p w14:paraId="0D4EBB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高性能计算GPU计算节点服务器</w:t>
            </w:r>
          </w:p>
        </w:tc>
        <w:tc>
          <w:tcPr>
            <w:tcW w:w="514" w:type="pct"/>
            <w:tcBorders>
              <w:top w:val="nil"/>
              <w:left w:val="nil"/>
              <w:bottom w:val="single" w:color="auto" w:sz="4" w:space="0"/>
              <w:right w:val="single" w:color="auto" w:sz="4" w:space="0"/>
            </w:tcBorders>
            <w:noWrap/>
            <w:vAlign w:val="center"/>
          </w:tcPr>
          <w:p w14:paraId="234B54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联想SR650</w:t>
            </w:r>
          </w:p>
        </w:tc>
        <w:tc>
          <w:tcPr>
            <w:tcW w:w="2987" w:type="pct"/>
            <w:tcBorders>
              <w:top w:val="nil"/>
              <w:left w:val="nil"/>
              <w:bottom w:val="single" w:color="auto" w:sz="4" w:space="0"/>
              <w:right w:val="single" w:color="auto" w:sz="4" w:space="0"/>
            </w:tcBorders>
            <w:noWrap w:val="0"/>
            <w:vAlign w:val="center"/>
          </w:tcPr>
          <w:p w14:paraId="4109AD9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CPU：2*Intel Xeon Gold 6230R 26C 2.1GHz 处理器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内存：12*32G DDR4 2933 MHz RDIMM，采用六通道配置；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硬盘：2*960GB企业级2.5寸SSD盘；                                                        IB卡: Mellanox ConnectX-4 1x100GbE/EDR IB QSFP28 VPI 适配器；                                                                    GPU卡：2*NVIDIA Tesla V100s  32GB PCIe 被动式 GPU                                                                             网卡：10Gb 2个 SFP+端口；                                     管理模块：企业版；                                                        </w:t>
            </w:r>
          </w:p>
        </w:tc>
        <w:tc>
          <w:tcPr>
            <w:tcW w:w="422" w:type="pct"/>
            <w:tcBorders>
              <w:top w:val="nil"/>
              <w:left w:val="nil"/>
              <w:bottom w:val="single" w:color="auto" w:sz="4" w:space="0"/>
              <w:right w:val="single" w:color="auto" w:sz="4" w:space="0"/>
            </w:tcBorders>
            <w:shd w:val="clear" w:color="auto" w:fill="auto"/>
            <w:noWrap/>
            <w:vAlign w:val="center"/>
          </w:tcPr>
          <w:p w14:paraId="2C40D6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14</w:t>
            </w:r>
          </w:p>
        </w:tc>
      </w:tr>
      <w:tr w14:paraId="14DC9E89">
        <w:tblPrEx>
          <w:tblCellMar>
            <w:top w:w="0" w:type="dxa"/>
            <w:left w:w="57" w:type="dxa"/>
            <w:bottom w:w="0" w:type="dxa"/>
            <w:right w:w="57" w:type="dxa"/>
          </w:tblCellMar>
        </w:tblPrEx>
        <w:trPr>
          <w:trHeight w:val="23" w:hRule="atLeast"/>
        </w:trPr>
        <w:tc>
          <w:tcPr>
            <w:tcW w:w="376" w:type="pct"/>
            <w:tcBorders>
              <w:top w:val="nil"/>
              <w:left w:val="single" w:color="auto" w:sz="4" w:space="0"/>
              <w:bottom w:val="single" w:color="auto" w:sz="4" w:space="0"/>
              <w:right w:val="single" w:color="auto" w:sz="4" w:space="0"/>
            </w:tcBorders>
            <w:shd w:val="clear" w:color="auto" w:fill="auto"/>
            <w:noWrap/>
            <w:vAlign w:val="center"/>
          </w:tcPr>
          <w:p w14:paraId="4A8280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7</w:t>
            </w:r>
          </w:p>
        </w:tc>
        <w:tc>
          <w:tcPr>
            <w:tcW w:w="700" w:type="pct"/>
            <w:tcBorders>
              <w:top w:val="nil"/>
              <w:left w:val="nil"/>
              <w:bottom w:val="single" w:color="auto" w:sz="4" w:space="0"/>
              <w:right w:val="single" w:color="auto" w:sz="4" w:space="0"/>
            </w:tcBorders>
            <w:noWrap w:val="0"/>
            <w:vAlign w:val="center"/>
          </w:tcPr>
          <w:p w14:paraId="4B633A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高性能存储及并行文件系统</w:t>
            </w:r>
          </w:p>
        </w:tc>
        <w:tc>
          <w:tcPr>
            <w:tcW w:w="514" w:type="pct"/>
            <w:tcBorders>
              <w:top w:val="nil"/>
              <w:left w:val="nil"/>
              <w:bottom w:val="single" w:color="auto" w:sz="4" w:space="0"/>
              <w:right w:val="single" w:color="auto" w:sz="4" w:space="0"/>
            </w:tcBorders>
            <w:noWrap/>
            <w:vAlign w:val="center"/>
          </w:tcPr>
          <w:p w14:paraId="0545B4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联想DSS-G</w:t>
            </w:r>
          </w:p>
        </w:tc>
        <w:tc>
          <w:tcPr>
            <w:tcW w:w="2987" w:type="pct"/>
            <w:tcBorders>
              <w:top w:val="nil"/>
              <w:left w:val="nil"/>
              <w:bottom w:val="single" w:color="auto" w:sz="4" w:space="0"/>
              <w:right w:val="single" w:color="auto" w:sz="4" w:space="0"/>
            </w:tcBorders>
            <w:noWrap w:val="0"/>
            <w:vAlign w:val="center"/>
          </w:tcPr>
          <w:p w14:paraId="58F2CF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CPU：2*Intel Xeon Gold 6240 18C 150W 2.6GHz；                                                                           内存：12*16GB DDR4 2933 MHz RDIMM；                                 系统盘：2*300GB 10K SAS 12Gb热插拔；                                          存储硬盘：418 * 8TB 7.2K NL-SAS；                              阵列卡：配置RAID0/1/5阵列卡带2GB 闪存 PCIe 12Gb 适配器；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IB卡: 2*Mellanox ConnectX-5 EDR IB VPI Dual-port x16 PCIe 3.0 HCA；                                                                                                                             网卡：1Gb 2个 电口端口；                                                    电源：2*1100W白金级热插拔电源；                                           软件：并行文件系统，非开源；                               </w:t>
            </w:r>
          </w:p>
        </w:tc>
        <w:tc>
          <w:tcPr>
            <w:tcW w:w="422" w:type="pct"/>
            <w:tcBorders>
              <w:top w:val="nil"/>
              <w:left w:val="nil"/>
              <w:bottom w:val="single" w:color="auto" w:sz="4" w:space="0"/>
              <w:right w:val="single" w:color="auto" w:sz="4" w:space="0"/>
            </w:tcBorders>
            <w:shd w:val="clear" w:color="auto" w:fill="auto"/>
            <w:noWrap/>
            <w:vAlign w:val="center"/>
          </w:tcPr>
          <w:p w14:paraId="7281C3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1</w:t>
            </w:r>
          </w:p>
        </w:tc>
      </w:tr>
      <w:tr w14:paraId="7316222B">
        <w:tblPrEx>
          <w:tblCellMar>
            <w:top w:w="0" w:type="dxa"/>
            <w:left w:w="57" w:type="dxa"/>
            <w:bottom w:w="0" w:type="dxa"/>
            <w:right w:w="57" w:type="dxa"/>
          </w:tblCellMar>
        </w:tblPrEx>
        <w:trPr>
          <w:trHeight w:val="23" w:hRule="atLeast"/>
        </w:trPr>
        <w:tc>
          <w:tcPr>
            <w:tcW w:w="376" w:type="pct"/>
            <w:tcBorders>
              <w:top w:val="nil"/>
              <w:left w:val="single" w:color="auto" w:sz="4" w:space="0"/>
              <w:bottom w:val="single" w:color="auto" w:sz="4" w:space="0"/>
              <w:right w:val="single" w:color="auto" w:sz="4" w:space="0"/>
            </w:tcBorders>
            <w:shd w:val="clear" w:color="auto" w:fill="auto"/>
            <w:noWrap/>
            <w:vAlign w:val="center"/>
          </w:tcPr>
          <w:p w14:paraId="2A7A4C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8</w:t>
            </w:r>
          </w:p>
        </w:tc>
        <w:tc>
          <w:tcPr>
            <w:tcW w:w="700" w:type="pct"/>
            <w:tcBorders>
              <w:top w:val="nil"/>
              <w:left w:val="nil"/>
              <w:bottom w:val="single" w:color="auto" w:sz="4" w:space="0"/>
              <w:right w:val="single" w:color="auto" w:sz="4" w:space="0"/>
            </w:tcBorders>
            <w:noWrap w:val="0"/>
            <w:vAlign w:val="center"/>
          </w:tcPr>
          <w:p w14:paraId="591E79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计算网络交换机</w:t>
            </w:r>
          </w:p>
        </w:tc>
        <w:tc>
          <w:tcPr>
            <w:tcW w:w="514" w:type="pct"/>
            <w:tcBorders>
              <w:top w:val="nil"/>
              <w:left w:val="nil"/>
              <w:bottom w:val="single" w:color="auto" w:sz="4" w:space="0"/>
              <w:right w:val="single" w:color="auto" w:sz="4" w:space="0"/>
            </w:tcBorders>
            <w:noWrap/>
            <w:vAlign w:val="center"/>
          </w:tcPr>
          <w:p w14:paraId="6266D22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0"/>
                <w:szCs w:val="20"/>
                <w:u w:val="single"/>
              </w:rPr>
            </w:pPr>
            <w:r>
              <w:rPr>
                <w:rFonts w:hint="eastAsia" w:ascii="宋体" w:hAnsi="宋体" w:eastAsia="宋体" w:cs="宋体"/>
                <w:color w:val="000000"/>
                <w:kern w:val="0"/>
                <w:sz w:val="20"/>
                <w:szCs w:val="20"/>
                <w:u w:val="single"/>
              </w:rPr>
              <w:t>Mellanox</w:t>
            </w:r>
            <w:r>
              <w:rPr>
                <w:rFonts w:hint="eastAsia" w:ascii="宋体" w:hAnsi="宋体" w:eastAsia="宋体" w:cs="宋体"/>
                <w:color w:val="000000"/>
                <w:kern w:val="0"/>
                <w:sz w:val="20"/>
                <w:szCs w:val="20"/>
                <w:u w:val="single"/>
                <w:lang w:val="en-US" w:eastAsia="zh-CN"/>
              </w:rPr>
              <w:t xml:space="preserve"> </w:t>
            </w:r>
            <w:r>
              <w:rPr>
                <w:rFonts w:hint="eastAsia" w:ascii="宋体" w:hAnsi="宋体" w:eastAsia="宋体" w:cs="宋体"/>
                <w:color w:val="000000"/>
                <w:kern w:val="0"/>
                <w:sz w:val="20"/>
                <w:szCs w:val="20"/>
                <w:u w:val="single"/>
              </w:rPr>
              <w:t>SB7890</w:t>
            </w:r>
          </w:p>
        </w:tc>
        <w:tc>
          <w:tcPr>
            <w:tcW w:w="2987" w:type="pct"/>
            <w:tcBorders>
              <w:top w:val="nil"/>
              <w:left w:val="nil"/>
              <w:bottom w:val="single" w:color="auto" w:sz="4" w:space="0"/>
              <w:right w:val="single" w:color="auto" w:sz="4" w:space="0"/>
            </w:tcBorders>
            <w:noWrap w:val="0"/>
            <w:vAlign w:val="center"/>
          </w:tcPr>
          <w:p w14:paraId="15F75C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u w:val="single"/>
              </w:rPr>
            </w:pPr>
            <w:r>
              <w:rPr>
                <w:rFonts w:hint="eastAsia" w:ascii="宋体" w:hAnsi="宋体" w:eastAsia="宋体" w:cs="宋体"/>
                <w:color w:val="000000"/>
                <w:kern w:val="0"/>
                <w:sz w:val="20"/>
                <w:szCs w:val="20"/>
                <w:u w:val="none"/>
              </w:rPr>
              <w:t xml:space="preserve">端口：36Port EDR 100Gb/s Infiniband智能交换机；                                                                                               线缆：25条3米 Mellanox EDR IB QSFP28 铜缆，4条10米 Mellanox EDR IB QSFP28 主动光缆；                                  </w:t>
            </w:r>
            <w:r>
              <w:rPr>
                <w:rFonts w:hint="eastAsia" w:ascii="宋体" w:hAnsi="宋体" w:eastAsia="宋体" w:cs="宋体"/>
                <w:color w:val="000000"/>
                <w:kern w:val="0"/>
                <w:sz w:val="20"/>
                <w:szCs w:val="20"/>
                <w:u w:val="single"/>
              </w:rPr>
              <w:t xml:space="preserve"> </w:t>
            </w:r>
          </w:p>
        </w:tc>
        <w:tc>
          <w:tcPr>
            <w:tcW w:w="422" w:type="pct"/>
            <w:tcBorders>
              <w:top w:val="nil"/>
              <w:left w:val="nil"/>
              <w:bottom w:val="single" w:color="auto" w:sz="4" w:space="0"/>
              <w:right w:val="single" w:color="auto" w:sz="4" w:space="0"/>
            </w:tcBorders>
            <w:shd w:val="clear" w:color="auto" w:fill="auto"/>
            <w:noWrap/>
            <w:vAlign w:val="center"/>
          </w:tcPr>
          <w:p w14:paraId="32D3FB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3</w:t>
            </w:r>
          </w:p>
        </w:tc>
      </w:tr>
      <w:tr w14:paraId="12F7887B">
        <w:tblPrEx>
          <w:tblCellMar>
            <w:top w:w="0" w:type="dxa"/>
            <w:left w:w="57" w:type="dxa"/>
            <w:bottom w:w="0" w:type="dxa"/>
            <w:right w:w="57" w:type="dxa"/>
          </w:tblCellMar>
        </w:tblPrEx>
        <w:trPr>
          <w:trHeight w:val="23" w:hRule="atLeast"/>
        </w:trPr>
        <w:tc>
          <w:tcPr>
            <w:tcW w:w="376" w:type="pct"/>
            <w:vMerge w:val="restart"/>
            <w:tcBorders>
              <w:top w:val="nil"/>
              <w:left w:val="single" w:color="auto" w:sz="4" w:space="0"/>
              <w:right w:val="single" w:color="auto" w:sz="4" w:space="0"/>
            </w:tcBorders>
            <w:shd w:val="clear" w:color="auto" w:fill="auto"/>
            <w:noWrap/>
            <w:vAlign w:val="center"/>
          </w:tcPr>
          <w:p w14:paraId="4757106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9</w:t>
            </w:r>
          </w:p>
          <w:p w14:paraId="04CA9AB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p>
        </w:tc>
        <w:tc>
          <w:tcPr>
            <w:tcW w:w="700" w:type="pct"/>
            <w:vMerge w:val="restart"/>
            <w:tcBorders>
              <w:top w:val="nil"/>
              <w:left w:val="nil"/>
              <w:right w:val="single" w:color="auto" w:sz="4" w:space="0"/>
            </w:tcBorders>
            <w:noWrap w:val="0"/>
            <w:vAlign w:val="center"/>
          </w:tcPr>
          <w:p w14:paraId="392351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千兆以太网交换机及万兆光口交换机</w:t>
            </w:r>
          </w:p>
          <w:p w14:paraId="40C0B0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514" w:type="pct"/>
            <w:tcBorders>
              <w:top w:val="nil"/>
              <w:left w:val="nil"/>
              <w:bottom w:val="single" w:color="auto" w:sz="4" w:space="0"/>
              <w:right w:val="single" w:color="auto" w:sz="4" w:space="0"/>
            </w:tcBorders>
            <w:noWrap w:val="0"/>
            <w:vAlign w:val="center"/>
          </w:tcPr>
          <w:p w14:paraId="2CA663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锐捷</w:t>
            </w:r>
          </w:p>
          <w:p w14:paraId="2BB792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RG-2910</w:t>
            </w:r>
          </w:p>
        </w:tc>
        <w:tc>
          <w:tcPr>
            <w:tcW w:w="2987" w:type="pct"/>
            <w:tcBorders>
              <w:top w:val="nil"/>
              <w:left w:val="nil"/>
              <w:bottom w:val="single" w:color="auto" w:sz="4" w:space="0"/>
              <w:right w:val="single" w:color="auto" w:sz="4" w:space="0"/>
            </w:tcBorders>
            <w:noWrap w:val="0"/>
            <w:vAlign w:val="center"/>
          </w:tcPr>
          <w:p w14:paraId="146CAC6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千兆交换机：端口：48Port 1Gb，带4个10Gb上行端口；</w:t>
            </w:r>
            <w:r>
              <w:rPr>
                <w:rFonts w:hint="eastAsia" w:ascii="宋体" w:hAnsi="宋体" w:eastAsia="宋体" w:cs="宋体"/>
                <w:color w:val="000000"/>
                <w:kern w:val="0"/>
                <w:sz w:val="20"/>
                <w:szCs w:val="20"/>
                <w:lang w:val="en-US" w:eastAsia="zh-CN"/>
              </w:rPr>
              <w:t>千兆交换机线缆配置4条5m进口原装OM3LC-LC光纤；48条3米CAT6千兆网线</w:t>
            </w:r>
          </w:p>
        </w:tc>
        <w:tc>
          <w:tcPr>
            <w:tcW w:w="422" w:type="pct"/>
            <w:tcBorders>
              <w:top w:val="nil"/>
              <w:left w:val="nil"/>
              <w:bottom w:val="single" w:color="auto" w:sz="4" w:space="0"/>
              <w:right w:val="single" w:color="auto" w:sz="4" w:space="0"/>
            </w:tcBorders>
            <w:shd w:val="clear" w:color="auto" w:fill="auto"/>
            <w:noWrap/>
            <w:vAlign w:val="center"/>
          </w:tcPr>
          <w:p w14:paraId="05A86F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4</w:t>
            </w:r>
          </w:p>
        </w:tc>
      </w:tr>
      <w:tr w14:paraId="177C29AF">
        <w:tblPrEx>
          <w:tblCellMar>
            <w:top w:w="0" w:type="dxa"/>
            <w:left w:w="57" w:type="dxa"/>
            <w:bottom w:w="0" w:type="dxa"/>
            <w:right w:w="57" w:type="dxa"/>
          </w:tblCellMar>
        </w:tblPrEx>
        <w:trPr>
          <w:trHeight w:val="23" w:hRule="atLeast"/>
        </w:trPr>
        <w:tc>
          <w:tcPr>
            <w:tcW w:w="376" w:type="pct"/>
            <w:vMerge w:val="continue"/>
            <w:tcBorders>
              <w:left w:val="single" w:color="auto" w:sz="4" w:space="0"/>
              <w:bottom w:val="single" w:color="auto" w:sz="4" w:space="0"/>
              <w:right w:val="single" w:color="auto" w:sz="4" w:space="0"/>
            </w:tcBorders>
            <w:noWrap/>
            <w:vAlign w:val="center"/>
          </w:tcPr>
          <w:p w14:paraId="6B47FA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p>
        </w:tc>
        <w:tc>
          <w:tcPr>
            <w:tcW w:w="700" w:type="pct"/>
            <w:vMerge w:val="continue"/>
            <w:tcBorders>
              <w:left w:val="nil"/>
              <w:bottom w:val="single" w:color="auto" w:sz="4" w:space="0"/>
              <w:right w:val="single" w:color="auto" w:sz="4" w:space="0"/>
            </w:tcBorders>
            <w:noWrap w:val="0"/>
            <w:vAlign w:val="center"/>
          </w:tcPr>
          <w:p w14:paraId="432AAE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514" w:type="pct"/>
            <w:tcBorders>
              <w:top w:val="nil"/>
              <w:left w:val="nil"/>
              <w:bottom w:val="single" w:color="auto" w:sz="4" w:space="0"/>
              <w:right w:val="single" w:color="auto" w:sz="4" w:space="0"/>
            </w:tcBorders>
            <w:noWrap w:val="0"/>
            <w:vAlign w:val="center"/>
          </w:tcPr>
          <w:p w14:paraId="045411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锐捷</w:t>
            </w:r>
          </w:p>
          <w:p w14:paraId="73D328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RG-6250</w:t>
            </w:r>
          </w:p>
        </w:tc>
        <w:tc>
          <w:tcPr>
            <w:tcW w:w="2987" w:type="pct"/>
            <w:tcBorders>
              <w:top w:val="nil"/>
              <w:left w:val="nil"/>
              <w:bottom w:val="single" w:color="auto" w:sz="4" w:space="0"/>
              <w:right w:val="single" w:color="auto" w:sz="4" w:space="0"/>
            </w:tcBorders>
            <w:noWrap w:val="0"/>
            <w:vAlign w:val="center"/>
          </w:tcPr>
          <w:p w14:paraId="6E7C329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万兆交换机：48Port 10Gb万兆交换机；</w:t>
            </w:r>
            <w:r>
              <w:rPr>
                <w:rFonts w:hint="eastAsia" w:ascii="宋体" w:hAnsi="宋体" w:eastAsia="宋体" w:cs="宋体"/>
                <w:color w:val="000000"/>
                <w:kern w:val="0"/>
                <w:sz w:val="20"/>
                <w:szCs w:val="20"/>
                <w:lang w:val="en-US" w:eastAsia="zh-CN"/>
              </w:rPr>
              <w:t>万兆交换机线缆配置：每台交换机配置48条5m原装OM3LC-LC光纤</w:t>
            </w: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 xml:space="preserve">                                                                                                                                                      </w:t>
            </w:r>
          </w:p>
        </w:tc>
        <w:tc>
          <w:tcPr>
            <w:tcW w:w="422" w:type="pct"/>
            <w:tcBorders>
              <w:top w:val="nil"/>
              <w:left w:val="nil"/>
              <w:bottom w:val="single" w:color="auto" w:sz="4" w:space="0"/>
              <w:right w:val="single" w:color="auto" w:sz="4" w:space="0"/>
            </w:tcBorders>
            <w:shd w:val="clear" w:color="auto" w:fill="auto"/>
            <w:noWrap/>
            <w:vAlign w:val="center"/>
          </w:tcPr>
          <w:p w14:paraId="71E274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2</w:t>
            </w:r>
          </w:p>
        </w:tc>
      </w:tr>
      <w:tr w14:paraId="4A22F505">
        <w:tblPrEx>
          <w:tblCellMar>
            <w:top w:w="0" w:type="dxa"/>
            <w:left w:w="57" w:type="dxa"/>
            <w:bottom w:w="0" w:type="dxa"/>
            <w:right w:w="57" w:type="dxa"/>
          </w:tblCellMar>
        </w:tblPrEx>
        <w:trPr>
          <w:trHeight w:val="23" w:hRule="atLeast"/>
        </w:trPr>
        <w:tc>
          <w:tcPr>
            <w:tcW w:w="376" w:type="pct"/>
            <w:tcBorders>
              <w:top w:val="nil"/>
              <w:left w:val="single" w:color="auto" w:sz="4" w:space="0"/>
              <w:bottom w:val="single" w:color="auto" w:sz="4" w:space="0"/>
              <w:right w:val="single" w:color="auto" w:sz="4" w:space="0"/>
            </w:tcBorders>
            <w:shd w:val="clear" w:color="auto" w:fill="auto"/>
            <w:noWrap/>
            <w:vAlign w:val="center"/>
          </w:tcPr>
          <w:p w14:paraId="355CE5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10</w:t>
            </w:r>
          </w:p>
        </w:tc>
        <w:tc>
          <w:tcPr>
            <w:tcW w:w="700" w:type="pct"/>
            <w:tcBorders>
              <w:top w:val="nil"/>
              <w:left w:val="nil"/>
              <w:bottom w:val="single" w:color="auto" w:sz="4" w:space="0"/>
              <w:right w:val="single" w:color="auto" w:sz="4" w:space="0"/>
            </w:tcBorders>
            <w:noWrap w:val="0"/>
            <w:vAlign w:val="center"/>
          </w:tcPr>
          <w:p w14:paraId="351C52E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万兆下一代防火墙</w:t>
            </w:r>
          </w:p>
        </w:tc>
        <w:tc>
          <w:tcPr>
            <w:tcW w:w="514" w:type="pct"/>
            <w:tcBorders>
              <w:top w:val="nil"/>
              <w:left w:val="nil"/>
              <w:bottom w:val="single" w:color="auto" w:sz="4" w:space="0"/>
              <w:right w:val="single" w:color="auto" w:sz="4" w:space="0"/>
            </w:tcBorders>
            <w:noWrap w:val="0"/>
            <w:vAlign w:val="center"/>
          </w:tcPr>
          <w:p w14:paraId="290FB6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网御星云PowerV6000-F3810E</w:t>
            </w:r>
          </w:p>
        </w:tc>
        <w:tc>
          <w:tcPr>
            <w:tcW w:w="2987" w:type="pct"/>
            <w:tcBorders>
              <w:top w:val="nil"/>
              <w:left w:val="nil"/>
              <w:bottom w:val="single" w:color="auto" w:sz="4" w:space="0"/>
              <w:right w:val="single" w:color="auto" w:sz="4" w:space="0"/>
            </w:tcBorders>
            <w:noWrap w:val="0"/>
            <w:vAlign w:val="center"/>
          </w:tcPr>
          <w:p w14:paraId="286174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高度：标准2U；                                                                 接口：8个10/1000M Base-TX和4个SFP接口，4个SFP+万兆接口，2个扩展槽位；                                                                    支持IPSec VPN和SSL VPN模块：200个并发用户；                         </w:t>
            </w:r>
          </w:p>
          <w:p w14:paraId="46F6F01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性能：最大整机吞吐：40Gbps；                                                 每秒新建连接数：18万；                                                   最大并发连接数：1000万；                                                           </w:t>
            </w:r>
          </w:p>
        </w:tc>
        <w:tc>
          <w:tcPr>
            <w:tcW w:w="422" w:type="pct"/>
            <w:tcBorders>
              <w:top w:val="nil"/>
              <w:left w:val="nil"/>
              <w:bottom w:val="single" w:color="auto" w:sz="4" w:space="0"/>
              <w:right w:val="single" w:color="auto" w:sz="4" w:space="0"/>
            </w:tcBorders>
            <w:shd w:val="clear" w:color="auto" w:fill="auto"/>
            <w:noWrap/>
            <w:vAlign w:val="center"/>
          </w:tcPr>
          <w:p w14:paraId="024210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2</w:t>
            </w:r>
          </w:p>
        </w:tc>
      </w:tr>
      <w:tr w14:paraId="23D4DCD0">
        <w:tblPrEx>
          <w:tblCellMar>
            <w:top w:w="0" w:type="dxa"/>
            <w:left w:w="57" w:type="dxa"/>
            <w:bottom w:w="0" w:type="dxa"/>
            <w:right w:w="57" w:type="dxa"/>
          </w:tblCellMar>
        </w:tblPrEx>
        <w:trPr>
          <w:trHeight w:val="23" w:hRule="atLeast"/>
        </w:trPr>
        <w:tc>
          <w:tcPr>
            <w:tcW w:w="376" w:type="pct"/>
            <w:tcBorders>
              <w:top w:val="nil"/>
              <w:left w:val="single" w:color="auto" w:sz="4" w:space="0"/>
              <w:bottom w:val="single" w:color="auto" w:sz="4" w:space="0"/>
              <w:right w:val="single" w:color="auto" w:sz="4" w:space="0"/>
            </w:tcBorders>
            <w:shd w:val="clear" w:color="auto" w:fill="auto"/>
            <w:noWrap/>
            <w:vAlign w:val="center"/>
          </w:tcPr>
          <w:p w14:paraId="083CBB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11</w:t>
            </w:r>
          </w:p>
        </w:tc>
        <w:tc>
          <w:tcPr>
            <w:tcW w:w="700" w:type="pct"/>
            <w:tcBorders>
              <w:top w:val="nil"/>
              <w:left w:val="nil"/>
              <w:bottom w:val="single" w:color="auto" w:sz="4" w:space="0"/>
              <w:right w:val="single" w:color="auto" w:sz="4" w:space="0"/>
            </w:tcBorders>
            <w:noWrap w:val="0"/>
            <w:vAlign w:val="center"/>
          </w:tcPr>
          <w:p w14:paraId="78735E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KVM切换器</w:t>
            </w:r>
          </w:p>
        </w:tc>
        <w:tc>
          <w:tcPr>
            <w:tcW w:w="514" w:type="pct"/>
            <w:tcBorders>
              <w:top w:val="nil"/>
              <w:left w:val="nil"/>
              <w:bottom w:val="single" w:color="auto" w:sz="4" w:space="0"/>
              <w:right w:val="single" w:color="auto" w:sz="4" w:space="0"/>
            </w:tcBorders>
            <w:noWrap/>
            <w:vAlign w:val="center"/>
          </w:tcPr>
          <w:p w14:paraId="6801B1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艾腾</w:t>
            </w:r>
          </w:p>
          <w:p w14:paraId="18814F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KN2124va</w:t>
            </w:r>
          </w:p>
        </w:tc>
        <w:tc>
          <w:tcPr>
            <w:tcW w:w="2987" w:type="pct"/>
            <w:tcBorders>
              <w:top w:val="nil"/>
              <w:left w:val="nil"/>
              <w:bottom w:val="single" w:color="auto" w:sz="4" w:space="0"/>
              <w:right w:val="single" w:color="auto" w:sz="4" w:space="0"/>
            </w:tcBorders>
            <w:noWrap w:val="0"/>
            <w:vAlign w:val="center"/>
          </w:tcPr>
          <w:p w14:paraId="1BA4703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24个RJ-45 接口的端口；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支持刀片服务器；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支持PS/2、USB、Sun Legacy及串口</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RS-232</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 xml:space="preserve"> 连接；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本地控制端支持USB 键盘与鼠标；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支持跨平台服务器环境                                                                </w:t>
            </w:r>
          </w:p>
        </w:tc>
        <w:tc>
          <w:tcPr>
            <w:tcW w:w="422" w:type="pct"/>
            <w:tcBorders>
              <w:top w:val="nil"/>
              <w:left w:val="nil"/>
              <w:bottom w:val="single" w:color="auto" w:sz="4" w:space="0"/>
              <w:right w:val="single" w:color="auto" w:sz="4" w:space="0"/>
            </w:tcBorders>
            <w:shd w:val="clear" w:color="auto" w:fill="auto"/>
            <w:noWrap/>
            <w:vAlign w:val="center"/>
          </w:tcPr>
          <w:p w14:paraId="02357B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1</w:t>
            </w:r>
          </w:p>
        </w:tc>
      </w:tr>
    </w:tbl>
    <w:p w14:paraId="108C2016">
      <w:pPr>
        <w:rPr>
          <w:rFonts w:hint="eastAsia" w:ascii="宋体" w:hAnsi="宋体" w:eastAsia="宋体" w:cs="宋体"/>
          <w:kern w:val="0"/>
          <w:szCs w:val="21"/>
          <w:lang w:val="en-US" w:eastAsia="zh-CN"/>
        </w:rPr>
      </w:pPr>
    </w:p>
    <w:p w14:paraId="345D2DB3">
      <w:pPr>
        <w:pStyle w:val="58"/>
        <w:bidi w:val="0"/>
        <w:rPr>
          <w:rFonts w:hint="eastAsia"/>
          <w:lang w:val="en-US" w:eastAsia="zh-CN"/>
        </w:rPr>
      </w:pPr>
      <w:r>
        <w:rPr>
          <w:rFonts w:hint="eastAsia"/>
          <w:lang w:val="en-US" w:eastAsia="zh-CN"/>
        </w:rPr>
        <w:t>HPC平台软件</w:t>
      </w:r>
    </w:p>
    <w:p w14:paraId="3461B52E">
      <w:pPr>
        <w:spacing w:line="240" w:lineRule="auto"/>
        <w:ind w:firstLine="420" w:firstLineChars="0"/>
        <w:jc w:val="left"/>
        <w:rPr>
          <w:rFonts w:hint="eastAsia" w:ascii="宋体" w:hAnsi="宋体" w:eastAsia="宋体" w:cs="宋体"/>
          <w:b/>
          <w:bCs/>
          <w:sz w:val="24"/>
          <w:szCs w:val="32"/>
          <w:lang w:val="en-US" w:eastAsia="zh-CN"/>
        </w:rPr>
      </w:pPr>
      <w:r>
        <w:rPr>
          <w:rFonts w:hint="eastAsia" w:ascii="宋体" w:hAnsi="宋体" w:eastAsia="宋体" w:cs="宋体"/>
          <w:lang w:val="en-US" w:eastAsia="zh-CN"/>
        </w:rPr>
        <w:t>采购下列软件的维保服务1年：</w:t>
      </w:r>
    </w:p>
    <w:tbl>
      <w:tblPr>
        <w:tblStyle w:val="24"/>
        <w:tblpPr w:leftFromText="180" w:rightFromText="180" w:vertAnchor="text" w:horzAnchor="page" w:tblpX="1600" w:tblpY="345"/>
        <w:tblOverlap w:val="never"/>
        <w:tblW w:w="48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879"/>
        <w:gridCol w:w="816"/>
        <w:gridCol w:w="4943"/>
        <w:gridCol w:w="672"/>
      </w:tblGrid>
      <w:tr w14:paraId="6B97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43" w:type="dxa"/>
            <w:tcBorders>
              <w:tl2br w:val="nil"/>
              <w:tr2bl w:val="nil"/>
            </w:tcBorders>
            <w:noWrap/>
            <w:vAlign w:val="center"/>
          </w:tcPr>
          <w:p w14:paraId="1A3E1E51">
            <w:pPr>
              <w:widowControl/>
              <w:spacing w:line="240" w:lineRule="auto"/>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879" w:type="dxa"/>
            <w:tcBorders>
              <w:tl2br w:val="nil"/>
              <w:tr2bl w:val="nil"/>
            </w:tcBorders>
            <w:noWrap/>
            <w:vAlign w:val="center"/>
          </w:tcPr>
          <w:p w14:paraId="516D3431">
            <w:pPr>
              <w:widowControl/>
              <w:spacing w:line="240" w:lineRule="auto"/>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产品名称</w:t>
            </w:r>
          </w:p>
        </w:tc>
        <w:tc>
          <w:tcPr>
            <w:tcW w:w="816" w:type="dxa"/>
            <w:tcBorders>
              <w:tl2br w:val="nil"/>
              <w:tr2bl w:val="nil"/>
            </w:tcBorders>
            <w:noWrap/>
            <w:vAlign w:val="center"/>
          </w:tcPr>
          <w:p w14:paraId="4183BDF7">
            <w:pPr>
              <w:widowControl/>
              <w:spacing w:line="240" w:lineRule="auto"/>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xml:space="preserve"> 型号</w:t>
            </w:r>
          </w:p>
        </w:tc>
        <w:tc>
          <w:tcPr>
            <w:tcW w:w="4943" w:type="dxa"/>
            <w:tcBorders>
              <w:tl2br w:val="nil"/>
              <w:tr2bl w:val="nil"/>
            </w:tcBorders>
            <w:noWrap/>
            <w:vAlign w:val="center"/>
          </w:tcPr>
          <w:p w14:paraId="4E423EAA">
            <w:pPr>
              <w:widowControl/>
              <w:spacing w:line="240" w:lineRule="auto"/>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描述</w:t>
            </w:r>
          </w:p>
        </w:tc>
        <w:tc>
          <w:tcPr>
            <w:tcW w:w="672" w:type="dxa"/>
            <w:tcBorders>
              <w:tl2br w:val="nil"/>
              <w:tr2bl w:val="nil"/>
            </w:tcBorders>
            <w:noWrap/>
            <w:vAlign w:val="center"/>
          </w:tcPr>
          <w:p w14:paraId="38272540">
            <w:pPr>
              <w:widowControl/>
              <w:spacing w:line="240" w:lineRule="auto"/>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数量</w:t>
            </w:r>
          </w:p>
        </w:tc>
      </w:tr>
      <w:tr w14:paraId="3566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43" w:type="dxa"/>
            <w:tcBorders>
              <w:tl2br w:val="nil"/>
              <w:tr2bl w:val="nil"/>
            </w:tcBorders>
            <w:noWrap/>
            <w:vAlign w:val="center"/>
          </w:tcPr>
          <w:p w14:paraId="74F784B7">
            <w:pPr>
              <w:widowControl/>
              <w:spacing w:line="240" w:lineRule="auto"/>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w:t>
            </w:r>
          </w:p>
        </w:tc>
        <w:tc>
          <w:tcPr>
            <w:tcW w:w="1879" w:type="dxa"/>
            <w:tcBorders>
              <w:tl2br w:val="nil"/>
              <w:tr2bl w:val="nil"/>
            </w:tcBorders>
            <w:noWrap/>
            <w:vAlign w:val="center"/>
          </w:tcPr>
          <w:p w14:paraId="78600C93">
            <w:pPr>
              <w:widowControl/>
              <w:spacing w:line="240" w:lineRule="auto"/>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高性能计算系统基础平台集群管理软件</w:t>
            </w:r>
          </w:p>
        </w:tc>
        <w:tc>
          <w:tcPr>
            <w:tcW w:w="816" w:type="dxa"/>
            <w:tcBorders>
              <w:tl2br w:val="nil"/>
              <w:tr2bl w:val="nil"/>
            </w:tcBorders>
            <w:noWrap/>
            <w:vAlign w:val="center"/>
          </w:tcPr>
          <w:p w14:paraId="714B18EF">
            <w:pPr>
              <w:widowControl/>
              <w:spacing w:line="240" w:lineRule="auto"/>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集群平台</w:t>
            </w:r>
          </w:p>
        </w:tc>
        <w:tc>
          <w:tcPr>
            <w:tcW w:w="4943" w:type="dxa"/>
            <w:tcBorders>
              <w:tl2br w:val="nil"/>
              <w:tr2bl w:val="nil"/>
            </w:tcBorders>
            <w:noWrap/>
            <w:vAlign w:val="center"/>
          </w:tcPr>
          <w:p w14:paraId="5E6B8D3F">
            <w:pPr>
              <w:widowControl/>
              <w:spacing w:line="240" w:lineRule="auto"/>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提供集群部署、集群管理、集群监控、告警处理、作业调度及管理、集群报表等功能</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集群管理软件Platform LSF</w:t>
            </w:r>
            <w:r>
              <w:rPr>
                <w:rFonts w:hint="eastAsia" w:ascii="宋体" w:hAnsi="宋体" w:eastAsia="宋体" w:cs="宋体"/>
                <w:color w:val="000000"/>
                <w:kern w:val="0"/>
                <w:sz w:val="20"/>
                <w:szCs w:val="20"/>
                <w:lang w:eastAsia="zh-CN"/>
              </w:rPr>
              <w:t xml:space="preserve">、GPFS) </w:t>
            </w:r>
          </w:p>
        </w:tc>
        <w:tc>
          <w:tcPr>
            <w:tcW w:w="672" w:type="dxa"/>
            <w:tcBorders>
              <w:tl2br w:val="nil"/>
              <w:tr2bl w:val="nil"/>
            </w:tcBorders>
            <w:noWrap/>
            <w:vAlign w:val="center"/>
          </w:tcPr>
          <w:p w14:paraId="4FE2019F">
            <w:pPr>
              <w:widowControl/>
              <w:spacing w:line="240" w:lineRule="auto"/>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1</w:t>
            </w:r>
          </w:p>
        </w:tc>
      </w:tr>
      <w:tr w14:paraId="7678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3" w:type="dxa"/>
            <w:tcBorders>
              <w:tl2br w:val="nil"/>
              <w:tr2bl w:val="nil"/>
            </w:tcBorders>
            <w:noWrap w:val="0"/>
            <w:vAlign w:val="center"/>
          </w:tcPr>
          <w:p w14:paraId="5AF306A8">
            <w:pPr>
              <w:widowControl/>
              <w:spacing w:line="240" w:lineRule="auto"/>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2</w:t>
            </w:r>
          </w:p>
        </w:tc>
        <w:tc>
          <w:tcPr>
            <w:tcW w:w="1879" w:type="dxa"/>
            <w:tcBorders>
              <w:tl2br w:val="nil"/>
              <w:tr2bl w:val="nil"/>
            </w:tcBorders>
            <w:noWrap w:val="0"/>
            <w:vAlign w:val="center"/>
          </w:tcPr>
          <w:p w14:paraId="60AABED5">
            <w:pPr>
              <w:widowControl/>
              <w:spacing w:line="240" w:lineRule="auto"/>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免疫组学、全基因组学等基于特征分析需要的生命科学相关的应用软件</w:t>
            </w:r>
          </w:p>
        </w:tc>
        <w:tc>
          <w:tcPr>
            <w:tcW w:w="816" w:type="dxa"/>
            <w:tcBorders>
              <w:tl2br w:val="nil"/>
              <w:tr2bl w:val="nil"/>
            </w:tcBorders>
            <w:noWrap w:val="0"/>
            <w:vAlign w:val="center"/>
          </w:tcPr>
          <w:p w14:paraId="1C7BFFE8">
            <w:pPr>
              <w:widowControl/>
              <w:spacing w:line="240" w:lineRule="auto"/>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w:t>
            </w:r>
          </w:p>
        </w:tc>
        <w:tc>
          <w:tcPr>
            <w:tcW w:w="4943" w:type="dxa"/>
            <w:tcBorders>
              <w:tl2br w:val="nil"/>
              <w:tr2bl w:val="nil"/>
            </w:tcBorders>
            <w:noWrap w:val="0"/>
            <w:vAlign w:val="center"/>
          </w:tcPr>
          <w:p w14:paraId="39FB0231">
            <w:pPr>
              <w:widowControl/>
              <w:spacing w:line="240" w:lineRule="auto"/>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维护</w:t>
            </w:r>
            <w:r>
              <w:rPr>
                <w:rFonts w:hint="eastAsia" w:ascii="宋体" w:hAnsi="宋体" w:eastAsia="宋体" w:cs="宋体"/>
                <w:color w:val="000000"/>
                <w:kern w:val="0"/>
                <w:sz w:val="20"/>
                <w:szCs w:val="20"/>
              </w:rPr>
              <w:t>免疫组学、全基因组学等基于特征分析需要的生命科学相关的应用软件</w:t>
            </w:r>
            <w:r>
              <w:rPr>
                <w:rFonts w:hint="eastAsia" w:ascii="宋体" w:hAnsi="宋体" w:eastAsia="宋体" w:cs="宋体"/>
                <w:color w:val="000000"/>
                <w:kern w:val="0"/>
                <w:sz w:val="20"/>
                <w:szCs w:val="20"/>
                <w:lang w:eastAsia="zh-CN"/>
              </w:rPr>
              <w:t>。</w:t>
            </w:r>
          </w:p>
        </w:tc>
        <w:tc>
          <w:tcPr>
            <w:tcW w:w="672" w:type="dxa"/>
            <w:tcBorders>
              <w:tl2br w:val="nil"/>
              <w:tr2bl w:val="nil"/>
            </w:tcBorders>
            <w:noWrap w:val="0"/>
            <w:vAlign w:val="center"/>
          </w:tcPr>
          <w:p w14:paraId="40946704">
            <w:pPr>
              <w:widowControl/>
              <w:spacing w:line="240" w:lineRule="auto"/>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1</w:t>
            </w:r>
          </w:p>
        </w:tc>
      </w:tr>
      <w:tr w14:paraId="6163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tcBorders>
              <w:tl2br w:val="nil"/>
              <w:tr2bl w:val="nil"/>
            </w:tcBorders>
            <w:noWrap w:val="0"/>
            <w:vAlign w:val="center"/>
          </w:tcPr>
          <w:p w14:paraId="6B11372C">
            <w:pPr>
              <w:widowControl/>
              <w:spacing w:line="240" w:lineRule="auto"/>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3</w:t>
            </w:r>
          </w:p>
        </w:tc>
        <w:tc>
          <w:tcPr>
            <w:tcW w:w="1879" w:type="dxa"/>
            <w:tcBorders>
              <w:tl2br w:val="nil"/>
              <w:tr2bl w:val="nil"/>
            </w:tcBorders>
            <w:noWrap w:val="0"/>
            <w:vAlign w:val="center"/>
          </w:tcPr>
          <w:p w14:paraId="11036AC8">
            <w:pPr>
              <w:widowControl/>
              <w:spacing w:line="240" w:lineRule="auto"/>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计算系统编译器和并行环境</w:t>
            </w:r>
          </w:p>
        </w:tc>
        <w:tc>
          <w:tcPr>
            <w:tcW w:w="816" w:type="dxa"/>
            <w:tcBorders>
              <w:tl2br w:val="nil"/>
              <w:tr2bl w:val="nil"/>
            </w:tcBorders>
            <w:noWrap w:val="0"/>
            <w:vAlign w:val="center"/>
          </w:tcPr>
          <w:p w14:paraId="1888A73F">
            <w:pPr>
              <w:widowControl/>
              <w:spacing w:line="240" w:lineRule="auto"/>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w:t>
            </w:r>
          </w:p>
        </w:tc>
        <w:tc>
          <w:tcPr>
            <w:tcW w:w="4943" w:type="dxa"/>
            <w:tcBorders>
              <w:tl2br w:val="nil"/>
              <w:tr2bl w:val="nil"/>
            </w:tcBorders>
            <w:noWrap w:val="0"/>
            <w:vAlign w:val="center"/>
          </w:tcPr>
          <w:p w14:paraId="360E5914">
            <w:pPr>
              <w:widowControl/>
              <w:spacing w:line="240" w:lineRule="auto"/>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Intel C/C++/Fortran,MKL,TBB,IPP、Advisor、Inspector、Vtune、MPI、Trace tool，Intel® Parallel Studio XE Cluster Edition for Linux, commercial edition</w:t>
            </w:r>
          </w:p>
        </w:tc>
        <w:tc>
          <w:tcPr>
            <w:tcW w:w="672" w:type="dxa"/>
            <w:tcBorders>
              <w:tl2br w:val="nil"/>
              <w:tr2bl w:val="nil"/>
            </w:tcBorders>
            <w:noWrap w:val="0"/>
            <w:vAlign w:val="center"/>
          </w:tcPr>
          <w:p w14:paraId="595A160E">
            <w:pPr>
              <w:widowControl/>
              <w:spacing w:line="240" w:lineRule="auto"/>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1</w:t>
            </w:r>
          </w:p>
        </w:tc>
      </w:tr>
      <w:tr w14:paraId="4547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tcBorders>
              <w:tl2br w:val="nil"/>
              <w:tr2bl w:val="nil"/>
            </w:tcBorders>
            <w:noWrap w:val="0"/>
            <w:vAlign w:val="center"/>
          </w:tcPr>
          <w:p w14:paraId="0AC9D7CD">
            <w:pPr>
              <w:widowControl/>
              <w:spacing w:line="240" w:lineRule="auto"/>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w:t>
            </w:r>
          </w:p>
        </w:tc>
        <w:tc>
          <w:tcPr>
            <w:tcW w:w="1879" w:type="dxa"/>
            <w:tcBorders>
              <w:tl2br w:val="nil"/>
              <w:tr2bl w:val="nil"/>
            </w:tcBorders>
            <w:noWrap w:val="0"/>
            <w:vAlign w:val="center"/>
          </w:tcPr>
          <w:p w14:paraId="70C472DB">
            <w:pPr>
              <w:widowControl/>
              <w:spacing w:line="240" w:lineRule="auto"/>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融合计算云平台管理软件</w:t>
            </w:r>
          </w:p>
        </w:tc>
        <w:tc>
          <w:tcPr>
            <w:tcW w:w="816" w:type="dxa"/>
            <w:tcBorders>
              <w:tl2br w:val="nil"/>
              <w:tr2bl w:val="nil"/>
            </w:tcBorders>
            <w:noWrap w:val="0"/>
            <w:vAlign w:val="center"/>
          </w:tcPr>
          <w:p w14:paraId="198D2874">
            <w:pPr>
              <w:widowControl/>
              <w:spacing w:line="240" w:lineRule="auto"/>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计算云平台</w:t>
            </w:r>
          </w:p>
        </w:tc>
        <w:tc>
          <w:tcPr>
            <w:tcW w:w="4943" w:type="dxa"/>
            <w:tcBorders>
              <w:tl2br w:val="nil"/>
              <w:tr2bl w:val="nil"/>
            </w:tcBorders>
            <w:noWrap w:val="0"/>
            <w:vAlign w:val="center"/>
          </w:tcPr>
          <w:p w14:paraId="4BC2DDBB">
            <w:pPr>
              <w:widowControl/>
              <w:spacing w:line="240" w:lineRule="auto"/>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虚拟化云平台，资源管理</w:t>
            </w:r>
          </w:p>
        </w:tc>
        <w:tc>
          <w:tcPr>
            <w:tcW w:w="672" w:type="dxa"/>
            <w:tcBorders>
              <w:tl2br w:val="nil"/>
              <w:tr2bl w:val="nil"/>
            </w:tcBorders>
            <w:noWrap w:val="0"/>
            <w:vAlign w:val="center"/>
          </w:tcPr>
          <w:p w14:paraId="1A034EAB">
            <w:pPr>
              <w:widowControl/>
              <w:spacing w:line="240" w:lineRule="auto"/>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3DFD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tcBorders>
              <w:tl2br w:val="nil"/>
              <w:tr2bl w:val="nil"/>
            </w:tcBorders>
            <w:noWrap w:val="0"/>
            <w:vAlign w:val="center"/>
          </w:tcPr>
          <w:p w14:paraId="09EE11E4">
            <w:pPr>
              <w:widowControl/>
              <w:spacing w:line="240" w:lineRule="auto"/>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highlight w:val="none"/>
                <w:lang w:val="en-US" w:eastAsia="zh-CN"/>
              </w:rPr>
              <w:t>5</w:t>
            </w:r>
          </w:p>
        </w:tc>
        <w:tc>
          <w:tcPr>
            <w:tcW w:w="1879" w:type="dxa"/>
            <w:tcBorders>
              <w:tl2br w:val="nil"/>
              <w:tr2bl w:val="nil"/>
            </w:tcBorders>
            <w:noWrap w:val="0"/>
            <w:vAlign w:val="center"/>
          </w:tcPr>
          <w:p w14:paraId="1EEDB195">
            <w:pPr>
              <w:widowControl/>
              <w:spacing w:line="240" w:lineRule="auto"/>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highlight w:val="none"/>
                <w:lang w:val="en-US" w:eastAsia="zh-CN"/>
              </w:rPr>
              <w:t>应用软件支持服务</w:t>
            </w:r>
          </w:p>
        </w:tc>
        <w:tc>
          <w:tcPr>
            <w:tcW w:w="816" w:type="dxa"/>
            <w:tcBorders>
              <w:tl2br w:val="nil"/>
              <w:tr2bl w:val="nil"/>
            </w:tcBorders>
            <w:noWrap w:val="0"/>
            <w:vAlign w:val="center"/>
          </w:tcPr>
          <w:p w14:paraId="6A917588">
            <w:pPr>
              <w:widowControl/>
              <w:spacing w:line="240" w:lineRule="auto"/>
              <w:jc w:val="center"/>
              <w:rPr>
                <w:rFonts w:hint="eastAsia" w:ascii="宋体" w:hAnsi="宋体" w:eastAsia="宋体" w:cs="宋体"/>
                <w:color w:val="000000"/>
                <w:kern w:val="0"/>
                <w:sz w:val="20"/>
                <w:szCs w:val="20"/>
              </w:rPr>
            </w:pPr>
          </w:p>
        </w:tc>
        <w:tc>
          <w:tcPr>
            <w:tcW w:w="4943" w:type="dxa"/>
            <w:tcBorders>
              <w:tl2br w:val="nil"/>
              <w:tr2bl w:val="nil"/>
            </w:tcBorders>
            <w:noWrap w:val="0"/>
            <w:vAlign w:val="center"/>
          </w:tcPr>
          <w:p w14:paraId="24C1AE0E">
            <w:pPr>
              <w:widowControl/>
              <w:spacing w:line="240" w:lineRule="auto"/>
              <w:jc w:val="left"/>
              <w:rPr>
                <w:rFonts w:hint="eastAsia" w:ascii="宋体" w:hAnsi="宋体" w:eastAsia="宋体" w:cs="宋体"/>
                <w:color w:val="000000"/>
                <w:kern w:val="0"/>
                <w:sz w:val="20"/>
                <w:szCs w:val="20"/>
              </w:rPr>
            </w:pPr>
            <w:r>
              <w:rPr>
                <w:rFonts w:hint="eastAsia" w:ascii="宋体" w:hAnsi="宋体" w:eastAsia="宋体" w:cs="宋体"/>
                <w:sz w:val="20"/>
                <w:szCs w:val="20"/>
                <w:highlight w:val="none"/>
              </w:rPr>
              <w:t>提供集群运维服务涉及到的协助安装应用软件（包含但不限于软件的衍生软件等）：autoconf/2.69(default) 、bedops/2.4.20(default)、bupc/2.20.2、fftw3/gnu/3.3.3、gnuplot/5.0.1(default)、 java/1.7.0_80、mkl/11.2(default)、 python/2.7.10(default)、 samtools/1.2、automake/1.15(default)、 blast/2.3.0(default)、 bwa/0.7.12(default)、fftw3/intel/3.3.3、htslib/1.3(default)、 java/1.8.0_60(default)、 novocraft/3.04.04(default) 、python/3.4.3、samtools/1.3(default)、bamtools/2.4.1(default)、 boost/1.44.0(default)、 fftw2/gnu/2.1.5、gcc/4.8.3、impi/5.0.2.044(default)、 libSBML/5.11.6(default)、 parallel/20150922(default)、R/3.2.2(default)、transvar/2.1.17(default)、bcftools/1.3(default)、 boost/1.59.0、fftw2/intel/2.1.5、gcc/4.9.4、intel/15.0.1(default)、meerkat/0.189(default)、 perl/5.22.0(default)、 R/3.4.3</w:t>
            </w:r>
          </w:p>
        </w:tc>
        <w:tc>
          <w:tcPr>
            <w:tcW w:w="672" w:type="dxa"/>
            <w:tcBorders>
              <w:tl2br w:val="nil"/>
              <w:tr2bl w:val="nil"/>
            </w:tcBorders>
            <w:noWrap w:val="0"/>
            <w:vAlign w:val="center"/>
          </w:tcPr>
          <w:p w14:paraId="18A9F147">
            <w:pPr>
              <w:widowControl/>
              <w:spacing w:line="240" w:lineRule="auto"/>
              <w:jc w:val="center"/>
              <w:rPr>
                <w:rFonts w:hint="eastAsia" w:ascii="宋体" w:hAnsi="宋体" w:eastAsia="宋体" w:cs="宋体"/>
                <w:color w:val="000000"/>
                <w:kern w:val="0"/>
                <w:sz w:val="20"/>
                <w:szCs w:val="20"/>
              </w:rPr>
            </w:pPr>
          </w:p>
        </w:tc>
      </w:tr>
    </w:tbl>
    <w:p w14:paraId="500A8041">
      <w:pPr>
        <w:numPr>
          <w:ilvl w:val="0"/>
          <w:numId w:val="0"/>
        </w:numPr>
        <w:tabs>
          <w:tab w:val="left" w:pos="420"/>
        </w:tabs>
        <w:rPr>
          <w:rFonts w:hint="eastAsia" w:ascii="宋体" w:hAnsi="宋体" w:eastAsia="宋体" w:cs="宋体"/>
          <w:sz w:val="21"/>
          <w:szCs w:val="21"/>
          <w:lang w:val="en-US" w:eastAsia="zh-CN"/>
        </w:rPr>
      </w:pPr>
    </w:p>
    <w:p w14:paraId="551FA0F3">
      <w:pPr>
        <w:pStyle w:val="2"/>
        <w:numPr>
          <w:ilvl w:val="0"/>
          <w:numId w:val="3"/>
        </w:numPr>
        <w:spacing w:before="0" w:after="0"/>
        <w:rPr>
          <w:rFonts w:hint="eastAsia" w:ascii="宋体" w:hAnsi="宋体" w:eastAsia="宋体" w:cs="宋体"/>
          <w:sz w:val="32"/>
          <w:szCs w:val="32"/>
        </w:rPr>
      </w:pPr>
      <w:bookmarkStart w:id="0" w:name="_6.1.2、容器服务器"/>
      <w:bookmarkEnd w:id="0"/>
      <w:bookmarkStart w:id="1" w:name="_6.1.1、大数据服务器"/>
      <w:bookmarkEnd w:id="1"/>
      <w:r>
        <w:rPr>
          <w:rFonts w:hint="eastAsia" w:ascii="宋体" w:hAnsi="宋体" w:eastAsia="宋体" w:cs="宋体"/>
          <w:sz w:val="32"/>
          <w:szCs w:val="32"/>
          <w:lang w:val="en-US" w:eastAsia="zh-CN"/>
        </w:rPr>
        <w:t>服务内容</w:t>
      </w:r>
    </w:p>
    <w:p w14:paraId="29CDDD14">
      <w:pPr>
        <w:ind w:firstLine="420" w:firstLineChars="0"/>
        <w:rPr>
          <w:rFonts w:hint="eastAsia" w:ascii="宋体" w:hAnsi="宋体" w:eastAsia="宋体" w:cs="宋体"/>
          <w:lang w:val="en-US" w:eastAsia="zh-CN"/>
        </w:rPr>
      </w:pPr>
      <w:r>
        <w:rPr>
          <w:rFonts w:hint="eastAsia" w:ascii="宋体" w:hAnsi="宋体" w:eastAsia="宋体" w:cs="宋体"/>
        </w:rPr>
        <w:t>为我院HPC高性能计算（HPC）</w:t>
      </w:r>
      <w:r>
        <w:rPr>
          <w:rFonts w:hint="eastAsia" w:ascii="宋体" w:hAnsi="宋体" w:eastAsia="宋体" w:cs="宋体"/>
          <w:lang w:val="en-US" w:eastAsia="zh-CN"/>
        </w:rPr>
        <w:t>一</w:t>
      </w:r>
      <w:r>
        <w:rPr>
          <w:rFonts w:hint="eastAsia" w:ascii="宋体" w:hAnsi="宋体" w:eastAsia="宋体" w:cs="宋体"/>
        </w:rPr>
        <w:t>期项目的硬件及软件提供为期一年维护服务</w:t>
      </w:r>
      <w:r>
        <w:rPr>
          <w:rFonts w:hint="eastAsia" w:ascii="宋体" w:hAnsi="宋体" w:eastAsia="宋体" w:cs="宋体"/>
          <w:lang w:val="en-US" w:eastAsia="zh-CN"/>
        </w:rPr>
        <w:t>,</w:t>
      </w:r>
      <w:r>
        <w:rPr>
          <w:rFonts w:hint="eastAsia" w:ascii="宋体" w:hAnsi="宋体" w:eastAsia="宋体" w:cs="宋体"/>
          <w:color w:val="000000" w:themeColor="text1"/>
          <w:szCs w:val="21"/>
          <w14:textFill>
            <w14:solidFill>
              <w14:schemeClr w14:val="tx1"/>
            </w14:solidFill>
          </w14:textFill>
        </w:rPr>
        <w:t>服务商成立专门的项目组开展工作，指派专人负责，按时完成工作内容</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lang w:val="en-US" w:eastAsia="zh-CN"/>
        </w:rPr>
        <w:t>维保服务内容如下所示：</w:t>
      </w:r>
    </w:p>
    <w:tbl>
      <w:tblPr>
        <w:tblStyle w:val="24"/>
        <w:tblW w:w="49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6"/>
        <w:gridCol w:w="1493"/>
        <w:gridCol w:w="6955"/>
      </w:tblGrid>
      <w:tr w14:paraId="1162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35" w:type="pct"/>
            <w:tcBorders>
              <w:tl2br w:val="nil"/>
            </w:tcBorders>
            <w:shd w:val="clear" w:color="auto" w:fill="auto"/>
            <w:noWrap w:val="0"/>
            <w:tcMar>
              <w:top w:w="20" w:type="dxa"/>
              <w:left w:w="20" w:type="dxa"/>
              <w:bottom w:w="72" w:type="dxa"/>
              <w:right w:w="20" w:type="dxa"/>
            </w:tcMar>
            <w:vAlign w:val="center"/>
          </w:tcPr>
          <w:p w14:paraId="48E6AD5B">
            <w:pPr>
              <w:spacing w:line="240" w:lineRule="auto"/>
              <w:jc w:val="center"/>
              <w:rPr>
                <w:rFonts w:hint="eastAsia" w:ascii="宋体" w:hAnsi="宋体" w:eastAsia="宋体" w:cs="宋体"/>
                <w:b/>
                <w:bCs/>
                <w:kern w:val="2"/>
                <w:sz w:val="20"/>
                <w:szCs w:val="20"/>
                <w:lang w:val="en-US" w:eastAsia="zh-CN" w:bidi="ar-SA"/>
              </w:rPr>
            </w:pPr>
            <w:r>
              <w:rPr>
                <w:rFonts w:hint="eastAsia" w:ascii="宋体" w:hAnsi="宋体" w:eastAsia="宋体" w:cs="宋体"/>
                <w:b/>
                <w:bCs/>
                <w:sz w:val="20"/>
                <w:szCs w:val="20"/>
              </w:rPr>
              <w:t>序号</w:t>
            </w:r>
          </w:p>
        </w:tc>
        <w:tc>
          <w:tcPr>
            <w:tcW w:w="824" w:type="pct"/>
            <w:shd w:val="clear" w:color="auto" w:fill="auto"/>
            <w:noWrap w:val="0"/>
            <w:tcMar>
              <w:top w:w="20" w:type="dxa"/>
              <w:left w:w="20" w:type="dxa"/>
              <w:bottom w:w="72" w:type="dxa"/>
              <w:right w:w="20" w:type="dxa"/>
            </w:tcMar>
            <w:vAlign w:val="center"/>
          </w:tcPr>
          <w:p w14:paraId="7E288C54">
            <w:pPr>
              <w:spacing w:line="240" w:lineRule="auto"/>
              <w:jc w:val="center"/>
              <w:rPr>
                <w:rFonts w:hint="eastAsia" w:ascii="宋体" w:hAnsi="宋体" w:eastAsia="宋体" w:cs="宋体"/>
                <w:b/>
                <w:bCs/>
                <w:kern w:val="2"/>
                <w:sz w:val="20"/>
                <w:szCs w:val="20"/>
                <w:lang w:val="en-US" w:eastAsia="zh-CN" w:bidi="ar-SA"/>
              </w:rPr>
            </w:pPr>
            <w:r>
              <w:rPr>
                <w:rFonts w:hint="eastAsia" w:ascii="宋体" w:hAnsi="宋体" w:eastAsia="宋体" w:cs="宋体"/>
                <w:b/>
                <w:bCs/>
                <w:sz w:val="20"/>
                <w:szCs w:val="20"/>
              </w:rPr>
              <w:t>指标项</w:t>
            </w:r>
          </w:p>
        </w:tc>
        <w:tc>
          <w:tcPr>
            <w:tcW w:w="3839" w:type="pct"/>
            <w:shd w:val="clear" w:color="auto" w:fill="auto"/>
            <w:noWrap w:val="0"/>
            <w:tcMar>
              <w:top w:w="20" w:type="dxa"/>
              <w:left w:w="20" w:type="dxa"/>
              <w:bottom w:w="72" w:type="dxa"/>
              <w:right w:w="20" w:type="dxa"/>
            </w:tcMar>
            <w:vAlign w:val="center"/>
          </w:tcPr>
          <w:p w14:paraId="477DEFBE">
            <w:pPr>
              <w:spacing w:line="240" w:lineRule="auto"/>
              <w:jc w:val="center"/>
              <w:rPr>
                <w:rFonts w:hint="eastAsia" w:ascii="宋体" w:hAnsi="宋体" w:eastAsia="宋体" w:cs="宋体"/>
                <w:b/>
                <w:bCs/>
                <w:kern w:val="2"/>
                <w:sz w:val="20"/>
                <w:szCs w:val="20"/>
                <w:lang w:val="en-US" w:eastAsia="zh-CN" w:bidi="ar-SA"/>
              </w:rPr>
            </w:pPr>
            <w:r>
              <w:rPr>
                <w:rFonts w:hint="eastAsia" w:ascii="宋体" w:hAnsi="宋体" w:eastAsia="宋体" w:cs="宋体"/>
                <w:b/>
                <w:bCs w:val="0"/>
                <w:color w:val="000000"/>
                <w:sz w:val="20"/>
                <w:szCs w:val="20"/>
                <w:lang w:val="en-US" w:eastAsia="zh-CN"/>
              </w:rPr>
              <w:t>服务要求/服务明细</w:t>
            </w:r>
          </w:p>
        </w:tc>
      </w:tr>
      <w:tr w14:paraId="5EEA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7" w:hRule="atLeast"/>
        </w:trPr>
        <w:tc>
          <w:tcPr>
            <w:tcW w:w="335" w:type="pct"/>
            <w:shd w:val="clear" w:color="auto" w:fill="FFFFFF"/>
            <w:noWrap w:val="0"/>
            <w:tcMar>
              <w:top w:w="20" w:type="dxa"/>
              <w:left w:w="20" w:type="dxa"/>
              <w:bottom w:w="72" w:type="dxa"/>
              <w:right w:w="20" w:type="dxa"/>
            </w:tcMar>
            <w:vAlign w:val="center"/>
          </w:tcPr>
          <w:p w14:paraId="106F0603">
            <w:pPr>
              <w:pStyle w:val="22"/>
              <w:keepNext w:val="0"/>
              <w:keepLines w:val="0"/>
              <w:pageBreakBefore w:val="0"/>
              <w:widowControl/>
              <w:suppressLineNumbers w:val="0"/>
              <w:kinsoku/>
              <w:wordWrap/>
              <w:overflowPunct/>
              <w:topLinePunct/>
              <w:autoSpaceDE/>
              <w:autoSpaceDN/>
              <w:bidi w:val="0"/>
              <w:adjustRightInd/>
              <w:snapToGrid/>
              <w:spacing w:line="240" w:lineRule="auto"/>
              <w:jc w:val="center"/>
              <w:textAlignment w:val="auto"/>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1</w:t>
            </w:r>
          </w:p>
        </w:tc>
        <w:tc>
          <w:tcPr>
            <w:tcW w:w="824" w:type="pct"/>
            <w:shd w:val="clear" w:color="auto" w:fill="auto"/>
            <w:noWrap w:val="0"/>
            <w:tcMar>
              <w:top w:w="20" w:type="dxa"/>
              <w:left w:w="20" w:type="dxa"/>
              <w:bottom w:w="72" w:type="dxa"/>
              <w:right w:w="20" w:type="dxa"/>
            </w:tcMar>
            <w:vAlign w:val="center"/>
          </w:tcPr>
          <w:p w14:paraId="27B398E3">
            <w:pPr>
              <w:spacing w:line="240" w:lineRule="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硬件运维服务</w:t>
            </w:r>
          </w:p>
        </w:tc>
        <w:tc>
          <w:tcPr>
            <w:tcW w:w="3839" w:type="pct"/>
            <w:shd w:val="clear" w:color="auto" w:fill="auto"/>
            <w:noWrap w:val="0"/>
            <w:tcMar>
              <w:top w:w="20" w:type="dxa"/>
              <w:left w:w="20" w:type="dxa"/>
              <w:bottom w:w="72" w:type="dxa"/>
              <w:right w:w="20" w:type="dxa"/>
            </w:tcMar>
            <w:vAlign w:val="center"/>
          </w:tcPr>
          <w:p w14:paraId="2B9EBB3E">
            <w:pPr>
              <w:spacing w:line="240" w:lineRule="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提供远程解决硬件故障和软件bug、定期协助测试linpack和集群测试，评估和调优集群性能，并确保机器稳定性、协助用户管理集群（操作系统、用户管理、硬件监控）、定期针对集群使用中遇到的问题进行远程培训；提供HPC硬件故障排除、诊断故障原因、提供解决方案、上门更换响应配件（提供更换的备件应包括：GPU、CPU、硬盘等关键部件，报价已包含全部更换费用，后续无任何附加收费。）</w:t>
            </w:r>
          </w:p>
        </w:tc>
      </w:tr>
      <w:tr w14:paraId="7B9A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35" w:type="pct"/>
            <w:shd w:val="clear" w:color="auto" w:fill="FFFFFF"/>
            <w:noWrap w:val="0"/>
            <w:tcMar>
              <w:top w:w="20" w:type="dxa"/>
              <w:left w:w="20" w:type="dxa"/>
              <w:bottom w:w="72" w:type="dxa"/>
              <w:right w:w="20" w:type="dxa"/>
            </w:tcMar>
            <w:vAlign w:val="center"/>
          </w:tcPr>
          <w:p w14:paraId="329BBAA7">
            <w:pPr>
              <w:pStyle w:val="22"/>
              <w:keepNext w:val="0"/>
              <w:keepLines w:val="0"/>
              <w:pageBreakBefore w:val="0"/>
              <w:widowControl/>
              <w:suppressLineNumbers w:val="0"/>
              <w:kinsoku/>
              <w:wordWrap/>
              <w:overflowPunct/>
              <w:topLinePunct/>
              <w:autoSpaceDE/>
              <w:autoSpaceDN/>
              <w:bidi w:val="0"/>
              <w:adjustRightInd/>
              <w:snapToGrid/>
              <w:spacing w:line="240" w:lineRule="auto"/>
              <w:jc w:val="center"/>
              <w:textAlignment w:val="auto"/>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2</w:t>
            </w:r>
          </w:p>
        </w:tc>
        <w:tc>
          <w:tcPr>
            <w:tcW w:w="824" w:type="pct"/>
            <w:shd w:val="clear" w:color="auto" w:fill="FFFFFF"/>
            <w:noWrap w:val="0"/>
            <w:tcMar>
              <w:top w:w="20" w:type="dxa"/>
              <w:left w:w="20" w:type="dxa"/>
              <w:bottom w:w="72" w:type="dxa"/>
              <w:right w:w="20" w:type="dxa"/>
            </w:tcMar>
            <w:vAlign w:val="center"/>
          </w:tcPr>
          <w:p w14:paraId="04AE8DAB">
            <w:pPr>
              <w:spacing w:line="240" w:lineRule="auto"/>
              <w:rPr>
                <w:rFonts w:hint="eastAsia" w:ascii="宋体" w:hAnsi="宋体" w:eastAsia="宋体" w:cs="宋体"/>
                <w:b w:val="0"/>
                <w:bCs w:val="0"/>
                <w:color w:val="000000"/>
                <w:sz w:val="20"/>
                <w:szCs w:val="20"/>
              </w:rPr>
            </w:pPr>
            <w:r>
              <w:rPr>
                <w:rFonts w:hint="eastAsia" w:ascii="宋体" w:hAnsi="宋体" w:eastAsia="宋体" w:cs="宋体"/>
                <w:sz w:val="20"/>
                <w:szCs w:val="20"/>
                <w:lang w:val="en-US" w:eastAsia="zh-CN"/>
              </w:rPr>
              <w:t>软件运维服务</w:t>
            </w:r>
          </w:p>
        </w:tc>
        <w:tc>
          <w:tcPr>
            <w:tcW w:w="3839" w:type="pct"/>
            <w:shd w:val="clear" w:color="auto" w:fill="FFFFFF"/>
            <w:noWrap w:val="0"/>
            <w:tcMar>
              <w:top w:w="20" w:type="dxa"/>
              <w:left w:w="20" w:type="dxa"/>
              <w:bottom w:w="72" w:type="dxa"/>
              <w:right w:w="20" w:type="dxa"/>
            </w:tcMar>
            <w:vAlign w:val="center"/>
          </w:tcPr>
          <w:p w14:paraId="3F40D428">
            <w:pPr>
              <w:spacing w:line="240" w:lineRule="auto"/>
              <w:rPr>
                <w:rFonts w:hint="eastAsia" w:ascii="宋体" w:hAnsi="宋体" w:eastAsia="宋体" w:cs="宋体"/>
                <w:b w:val="0"/>
                <w:bCs w:val="0"/>
                <w:color w:val="000000"/>
                <w:sz w:val="20"/>
                <w:szCs w:val="20"/>
              </w:rPr>
            </w:pPr>
            <w:r>
              <w:rPr>
                <w:rFonts w:hint="eastAsia" w:ascii="宋体" w:hAnsi="宋体" w:eastAsia="宋体" w:cs="宋体"/>
                <w:sz w:val="20"/>
                <w:szCs w:val="20"/>
              </w:rPr>
              <w:t>针对HPC集群在实际使用过程中遇到的应用软件安装需求，提供一整套的的软件技术支持，按照项目方提供的软件列表协助、安装和调试软件，完成但不仅限于HPC软件运维内容中的业务软件软件及其衍生版本的安装、调试，软件及应用的运维服务。</w:t>
            </w:r>
          </w:p>
        </w:tc>
      </w:tr>
      <w:tr w14:paraId="6F13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335" w:type="pct"/>
            <w:shd w:val="clear" w:color="auto" w:fill="FFFFFF"/>
            <w:noWrap w:val="0"/>
            <w:tcMar>
              <w:top w:w="20" w:type="dxa"/>
              <w:left w:w="20" w:type="dxa"/>
              <w:bottom w:w="72" w:type="dxa"/>
              <w:right w:w="20" w:type="dxa"/>
            </w:tcMar>
            <w:vAlign w:val="center"/>
          </w:tcPr>
          <w:p w14:paraId="6B3C0B17">
            <w:pPr>
              <w:pStyle w:val="22"/>
              <w:keepNext w:val="0"/>
              <w:keepLines w:val="0"/>
              <w:pageBreakBefore w:val="0"/>
              <w:widowControl/>
              <w:suppressLineNumbers w:val="0"/>
              <w:kinsoku/>
              <w:wordWrap/>
              <w:overflowPunct/>
              <w:topLinePunct/>
              <w:autoSpaceDE/>
              <w:autoSpaceDN/>
              <w:bidi w:val="0"/>
              <w:adjustRightInd/>
              <w:snapToGrid/>
              <w:spacing w:line="240" w:lineRule="auto"/>
              <w:jc w:val="center"/>
              <w:textAlignment w:val="auto"/>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3</w:t>
            </w:r>
          </w:p>
        </w:tc>
        <w:tc>
          <w:tcPr>
            <w:tcW w:w="824" w:type="pct"/>
            <w:shd w:val="clear" w:color="auto" w:fill="FFFFFF"/>
            <w:noWrap w:val="0"/>
            <w:tcMar>
              <w:top w:w="20" w:type="dxa"/>
              <w:left w:w="20" w:type="dxa"/>
              <w:bottom w:w="72" w:type="dxa"/>
              <w:right w:w="20" w:type="dxa"/>
            </w:tcMar>
            <w:vAlign w:val="center"/>
          </w:tcPr>
          <w:p w14:paraId="56048D81">
            <w:pPr>
              <w:pStyle w:val="22"/>
              <w:keepNext w:val="0"/>
              <w:keepLines w:val="0"/>
              <w:pageBreakBefore w:val="0"/>
              <w:widowControl/>
              <w:suppressLineNumbers w:val="0"/>
              <w:kinsoku/>
              <w:wordWrap/>
              <w:overflowPunct/>
              <w:topLinePunct/>
              <w:autoSpaceDE/>
              <w:autoSpaceDN/>
              <w:bidi w:val="0"/>
              <w:adjustRightInd/>
              <w:snapToGrid/>
              <w:spacing w:line="240" w:lineRule="auto"/>
              <w:jc w:val="center"/>
              <w:textAlignment w:val="auto"/>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sz w:val="20"/>
                <w:szCs w:val="20"/>
              </w:rPr>
              <w:t>巡检服务</w:t>
            </w:r>
          </w:p>
        </w:tc>
        <w:tc>
          <w:tcPr>
            <w:tcW w:w="3839" w:type="pct"/>
            <w:shd w:val="clear" w:color="auto" w:fill="FFFFFF"/>
            <w:noWrap w:val="0"/>
            <w:tcMar>
              <w:top w:w="20" w:type="dxa"/>
              <w:left w:w="20" w:type="dxa"/>
              <w:bottom w:w="72" w:type="dxa"/>
              <w:right w:w="20" w:type="dxa"/>
            </w:tcMar>
            <w:vAlign w:val="top"/>
          </w:tcPr>
          <w:p w14:paraId="09DBFBF7">
            <w:pPr>
              <w:pStyle w:val="22"/>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textAlignment w:val="auto"/>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1）</w:t>
            </w:r>
            <w:r>
              <w:rPr>
                <w:rFonts w:hint="eastAsia" w:ascii="宋体" w:hAnsi="宋体" w:eastAsia="宋体" w:cs="宋体"/>
                <w:b w:val="0"/>
                <w:bCs w:val="0"/>
                <w:color w:val="000000"/>
                <w:sz w:val="20"/>
                <w:szCs w:val="20"/>
              </w:rPr>
              <w:t>提供HPC平台硬件预防性健康检查服务，提供每季度一次的上门巡检，并提供详细的巡检报告，评估系统潜在的问题，推荐解决方案</w:t>
            </w:r>
            <w:r>
              <w:rPr>
                <w:rFonts w:hint="eastAsia" w:ascii="宋体" w:hAnsi="宋体" w:eastAsia="宋体" w:cs="宋体"/>
                <w:b w:val="0"/>
                <w:bCs w:val="0"/>
                <w:color w:val="000000"/>
                <w:sz w:val="20"/>
                <w:szCs w:val="20"/>
                <w:lang w:eastAsia="zh-CN"/>
              </w:rPr>
              <w:t>。</w:t>
            </w:r>
          </w:p>
          <w:p w14:paraId="1F25B9FF">
            <w:pPr>
              <w:pStyle w:val="22"/>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textAlignment w:val="auto"/>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2）</w:t>
            </w:r>
            <w:r>
              <w:rPr>
                <w:rFonts w:hint="eastAsia" w:ascii="宋体" w:hAnsi="宋体" w:eastAsia="宋体" w:cs="宋体"/>
                <w:b w:val="0"/>
                <w:bCs w:val="0"/>
                <w:color w:val="000000"/>
                <w:sz w:val="20"/>
                <w:szCs w:val="20"/>
              </w:rPr>
              <w:t>整理HPC整体使用情况并提供详细文档，文档内容包括：网络标签表、IP地址表、机柜上架图、软件需求及用户列表。</w:t>
            </w:r>
          </w:p>
          <w:p w14:paraId="16336671">
            <w:pPr>
              <w:pStyle w:val="22"/>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textAlignment w:val="auto"/>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3）各四季度上门巡检</w:t>
            </w:r>
            <w:r>
              <w:rPr>
                <w:rFonts w:hint="eastAsia" w:ascii="宋体" w:hAnsi="宋体" w:eastAsia="宋体" w:cs="宋体"/>
                <w:b w:val="0"/>
                <w:bCs w:val="0"/>
                <w:color w:val="000000"/>
                <w:sz w:val="20"/>
                <w:szCs w:val="20"/>
              </w:rPr>
              <w:t>报告</w:t>
            </w:r>
            <w:r>
              <w:rPr>
                <w:rFonts w:hint="eastAsia" w:ascii="宋体" w:hAnsi="宋体" w:eastAsia="宋体" w:cs="宋体"/>
                <w:b w:val="0"/>
                <w:bCs w:val="0"/>
                <w:color w:val="000000"/>
                <w:sz w:val="20"/>
                <w:szCs w:val="20"/>
                <w:lang w:val="en-US" w:eastAsia="zh-CN"/>
              </w:rPr>
              <w:t>完成时间如下：</w:t>
            </w:r>
          </w:p>
          <w:p w14:paraId="7E6A540F">
            <w:pPr>
              <w:pStyle w:val="22"/>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240" w:lineRule="auto"/>
              <w:textAlignment w:val="auto"/>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第一季度：2025年7月19日前完成；</w:t>
            </w:r>
          </w:p>
          <w:p w14:paraId="43A7385A">
            <w:pPr>
              <w:pStyle w:val="22"/>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240" w:lineRule="auto"/>
              <w:textAlignment w:val="auto"/>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第二季度：2025年10月19日前完成；</w:t>
            </w:r>
          </w:p>
          <w:p w14:paraId="5829385F">
            <w:pPr>
              <w:pStyle w:val="22"/>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240" w:lineRule="auto"/>
              <w:textAlignment w:val="auto"/>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第三季度：2026年1月19日前完成；</w:t>
            </w:r>
          </w:p>
          <w:p w14:paraId="4AB83401">
            <w:pPr>
              <w:pStyle w:val="22"/>
              <w:keepNext w:val="0"/>
              <w:keepLines w:val="0"/>
              <w:pageBreakBefore w:val="0"/>
              <w:widowControl/>
              <w:numPr>
                <w:ilvl w:val="0"/>
                <w:numId w:val="0"/>
              </w:numPr>
              <w:suppressLineNumbers w:val="0"/>
              <w:kinsoku/>
              <w:wordWrap/>
              <w:overflowPunct/>
              <w:topLinePunct/>
              <w:autoSpaceDE/>
              <w:autoSpaceDN/>
              <w:bidi w:val="0"/>
              <w:adjustRightInd/>
              <w:snapToGrid/>
              <w:spacing w:before="0" w:beforeAutospacing="0" w:after="0" w:afterAutospacing="0" w:line="240" w:lineRule="auto"/>
              <w:ind w:left="0" w:leftChars="0" w:firstLine="0" w:firstLineChars="0"/>
              <w:textAlignment w:val="auto"/>
              <w:rPr>
                <w:rFonts w:hint="eastAsia" w:ascii="宋体" w:hAnsi="宋体" w:eastAsia="宋体" w:cs="宋体"/>
                <w:b w:val="0"/>
                <w:bCs w:val="0"/>
                <w:color w:val="000000"/>
                <w:kern w:val="0"/>
                <w:sz w:val="20"/>
                <w:szCs w:val="20"/>
                <w:lang w:val="en-US" w:eastAsia="zh-CN" w:bidi="ar-SA"/>
              </w:rPr>
            </w:pPr>
            <w:r>
              <w:rPr>
                <w:rFonts w:hint="eastAsia" w:ascii="宋体" w:hAnsi="宋体" w:eastAsia="宋体" w:cs="宋体"/>
                <w:b w:val="0"/>
                <w:bCs w:val="0"/>
                <w:color w:val="000000"/>
                <w:sz w:val="20"/>
                <w:szCs w:val="20"/>
                <w:lang w:val="en-US" w:eastAsia="zh-CN"/>
              </w:rPr>
              <w:t>第四季度：2026年4月19日前完成。</w:t>
            </w:r>
          </w:p>
        </w:tc>
      </w:tr>
      <w:tr w14:paraId="20EB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rPr>
        <w:tc>
          <w:tcPr>
            <w:tcW w:w="335" w:type="pct"/>
            <w:shd w:val="clear" w:color="auto" w:fill="FFFFFF"/>
            <w:noWrap w:val="0"/>
            <w:tcMar>
              <w:top w:w="20" w:type="dxa"/>
              <w:left w:w="20" w:type="dxa"/>
              <w:bottom w:w="72" w:type="dxa"/>
              <w:right w:w="20" w:type="dxa"/>
            </w:tcMar>
            <w:vAlign w:val="center"/>
          </w:tcPr>
          <w:p w14:paraId="419793FB">
            <w:pPr>
              <w:pStyle w:val="22"/>
              <w:keepNext w:val="0"/>
              <w:keepLines w:val="0"/>
              <w:pageBreakBefore w:val="0"/>
              <w:widowControl/>
              <w:suppressLineNumbers w:val="0"/>
              <w:kinsoku/>
              <w:wordWrap/>
              <w:overflowPunct/>
              <w:topLinePunct/>
              <w:autoSpaceDE/>
              <w:autoSpaceDN/>
              <w:bidi w:val="0"/>
              <w:adjustRightInd/>
              <w:snapToGrid/>
              <w:spacing w:line="240" w:lineRule="auto"/>
              <w:jc w:val="center"/>
              <w:textAlignment w:val="auto"/>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4</w:t>
            </w:r>
          </w:p>
        </w:tc>
        <w:tc>
          <w:tcPr>
            <w:tcW w:w="824" w:type="pct"/>
            <w:shd w:val="clear" w:color="auto" w:fill="auto"/>
            <w:noWrap w:val="0"/>
            <w:tcMar>
              <w:top w:w="20" w:type="dxa"/>
              <w:left w:w="20" w:type="dxa"/>
              <w:bottom w:w="72" w:type="dxa"/>
              <w:right w:w="20" w:type="dxa"/>
            </w:tcMar>
            <w:vAlign w:val="center"/>
          </w:tcPr>
          <w:p w14:paraId="1133C68C">
            <w:pPr>
              <w:spacing w:line="240" w:lineRule="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应急响应</w:t>
            </w:r>
          </w:p>
        </w:tc>
        <w:tc>
          <w:tcPr>
            <w:tcW w:w="3839" w:type="pct"/>
            <w:shd w:val="clear" w:color="auto" w:fill="auto"/>
            <w:noWrap w:val="0"/>
            <w:tcMar>
              <w:top w:w="20" w:type="dxa"/>
              <w:left w:w="20" w:type="dxa"/>
              <w:bottom w:w="72" w:type="dxa"/>
              <w:right w:w="20" w:type="dxa"/>
            </w:tcMar>
            <w:vAlign w:val="center"/>
          </w:tcPr>
          <w:p w14:paraId="5CD45538">
            <w:pPr>
              <w:spacing w:line="240" w:lineRule="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（1）服务商应提供应急处理预案及应急措施。</w:t>
            </w:r>
          </w:p>
          <w:p w14:paraId="55724F8E">
            <w:pPr>
              <w:spacing w:line="240" w:lineRule="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服务商须在用户所在地设有备品备件库或售后服务站点，备品备件库或售后服务站点要求存放充足的各类各品各件，应包括：高性能计算大内存计算节点服务器、高性能计算管理登录服务器节点服务器、高性能计算GPU计算集群、高性能计算刀片计算节点服务器、高性能计算GPU计算节点服务器、高性能存储及并行文件系统等关键设备备品备件，能够实现最快速度解决故障，为售后技术支持以及用户工作的正常进行提供充足的备件保障。应具备备品备件库或售后服务站点场地租赁合同以及详细的备件库清单。</w:t>
            </w:r>
          </w:p>
          <w:p w14:paraId="177260BC">
            <w:pPr>
              <w:spacing w:line="240" w:lineRule="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（3）为确保设备故障时快速响应并缩短系统恢复时间，服务商须为本项目建立专用备件库，备件库应包含关键产品部件，以支持高效运维服务，提供的关键产品部件应包括：</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1、不少于≥4张NVIDIA Tesla V100S 32GB PCIe 被动式 GPU；</w:t>
            </w:r>
          </w:p>
          <w:p w14:paraId="396447D5">
            <w:pPr>
              <w:spacing w:line="240" w:lineRule="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2、不少于≥4颗Intel Xeon Gold 6230R 26C 2.1GHz 处理器；</w:t>
            </w:r>
          </w:p>
          <w:p w14:paraId="4FD9C44F">
            <w:pPr>
              <w:spacing w:line="240" w:lineRule="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3、不少于≥4颗Intel Xeon Gold 6230N 20C 2.3GHz 150W处理；</w:t>
            </w:r>
          </w:p>
          <w:p w14:paraId="0DA6F6FA">
            <w:pPr>
              <w:spacing w:line="240" w:lineRule="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4、不少于≥4颗Intel Xeon Gold 6240 18C 150W 2.6GHz处理器。</w:t>
            </w:r>
          </w:p>
          <w:p w14:paraId="41311371">
            <w:pPr>
              <w:spacing w:line="240" w:lineRule="auto"/>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4）设备出现故障，服务商必须及时提供型号性能同等或优于的服务器满足应急接管使用，如果不能在收到用户报障电话通知后按照合同约定的时间内到达故障现场，服务商需按次向甲方支付违约金。</w:t>
            </w:r>
          </w:p>
        </w:tc>
      </w:tr>
      <w:tr w14:paraId="3722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 w:hRule="atLeast"/>
        </w:trPr>
        <w:tc>
          <w:tcPr>
            <w:tcW w:w="335" w:type="pct"/>
            <w:shd w:val="clear" w:color="auto" w:fill="FFFFFF"/>
            <w:noWrap w:val="0"/>
            <w:tcMar>
              <w:top w:w="20" w:type="dxa"/>
              <w:left w:w="20" w:type="dxa"/>
              <w:bottom w:w="72" w:type="dxa"/>
              <w:right w:w="20" w:type="dxa"/>
            </w:tcMar>
            <w:vAlign w:val="center"/>
          </w:tcPr>
          <w:p w14:paraId="57BEDCBE">
            <w:pPr>
              <w:pStyle w:val="22"/>
              <w:keepNext w:val="0"/>
              <w:keepLines w:val="0"/>
              <w:pageBreakBefore w:val="0"/>
              <w:widowControl/>
              <w:suppressLineNumbers w:val="0"/>
              <w:kinsoku/>
              <w:wordWrap/>
              <w:overflowPunct/>
              <w:topLinePunct/>
              <w:autoSpaceDE/>
              <w:autoSpaceDN/>
              <w:bidi w:val="0"/>
              <w:adjustRightInd/>
              <w:snapToGrid/>
              <w:spacing w:line="240" w:lineRule="auto"/>
              <w:jc w:val="center"/>
              <w:textAlignment w:val="auto"/>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5</w:t>
            </w:r>
          </w:p>
        </w:tc>
        <w:tc>
          <w:tcPr>
            <w:tcW w:w="824" w:type="pct"/>
            <w:shd w:val="clear" w:color="auto" w:fill="auto"/>
            <w:noWrap w:val="0"/>
            <w:tcMar>
              <w:top w:w="20" w:type="dxa"/>
              <w:left w:w="20" w:type="dxa"/>
              <w:bottom w:w="72" w:type="dxa"/>
              <w:right w:w="20" w:type="dxa"/>
            </w:tcMar>
            <w:vAlign w:val="center"/>
          </w:tcPr>
          <w:p w14:paraId="14399794">
            <w:pPr>
              <w:spacing w:line="240" w:lineRule="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培训</w:t>
            </w:r>
            <w:r>
              <w:rPr>
                <w:rFonts w:hint="eastAsia" w:ascii="宋体" w:hAnsi="宋体" w:eastAsia="宋体" w:cs="宋体"/>
                <w:sz w:val="20"/>
                <w:szCs w:val="20"/>
                <w:lang w:val="en-US" w:eastAsia="zh-CN"/>
              </w:rPr>
              <w:t>服务</w:t>
            </w:r>
          </w:p>
        </w:tc>
        <w:tc>
          <w:tcPr>
            <w:tcW w:w="3839" w:type="pct"/>
            <w:shd w:val="clear" w:color="auto" w:fill="auto"/>
            <w:noWrap w:val="0"/>
            <w:tcMar>
              <w:top w:w="20" w:type="dxa"/>
              <w:left w:w="20" w:type="dxa"/>
              <w:bottom w:w="72" w:type="dxa"/>
              <w:right w:w="20" w:type="dxa"/>
            </w:tcMar>
            <w:vAlign w:val="center"/>
          </w:tcPr>
          <w:p w14:paraId="3249A9F2">
            <w:pPr>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提供不少于1天不少于3人的工程师</w:t>
            </w:r>
            <w:r>
              <w:rPr>
                <w:rFonts w:hint="eastAsia" w:ascii="宋体" w:hAnsi="宋体" w:eastAsia="宋体" w:cs="宋体"/>
                <w:sz w:val="20"/>
                <w:szCs w:val="20"/>
                <w:lang w:val="en-US" w:eastAsia="zh-CN"/>
              </w:rPr>
              <w:t>的</w:t>
            </w:r>
            <w:r>
              <w:rPr>
                <w:rFonts w:hint="eastAsia" w:ascii="宋体" w:hAnsi="宋体" w:eastAsia="宋体" w:cs="宋体"/>
                <w:sz w:val="20"/>
                <w:szCs w:val="20"/>
              </w:rPr>
              <w:t>培训课程</w:t>
            </w:r>
            <w:r>
              <w:rPr>
                <w:rFonts w:hint="eastAsia" w:ascii="宋体" w:hAnsi="宋体" w:eastAsia="宋体" w:cs="宋体"/>
                <w:sz w:val="20"/>
                <w:szCs w:val="20"/>
                <w:lang w:eastAsia="zh-CN"/>
              </w:rPr>
              <w:t>。</w:t>
            </w:r>
            <w:r>
              <w:rPr>
                <w:rFonts w:hint="eastAsia" w:ascii="宋体" w:hAnsi="宋体" w:eastAsia="宋体" w:cs="宋体"/>
                <w:sz w:val="20"/>
                <w:szCs w:val="20"/>
              </w:rPr>
              <w:t>场地、交通等与培训相关的费用均由</w:t>
            </w:r>
            <w:r>
              <w:rPr>
                <w:rFonts w:hint="eastAsia" w:ascii="宋体" w:hAnsi="宋体" w:eastAsia="宋体" w:cs="宋体"/>
                <w:sz w:val="20"/>
                <w:szCs w:val="20"/>
                <w:lang w:val="en-US" w:eastAsia="zh-CN"/>
              </w:rPr>
              <w:t>服务商</w:t>
            </w:r>
            <w:r>
              <w:rPr>
                <w:rFonts w:hint="eastAsia" w:ascii="宋体" w:hAnsi="宋体" w:eastAsia="宋体" w:cs="宋体"/>
                <w:sz w:val="20"/>
                <w:szCs w:val="20"/>
              </w:rPr>
              <w:t>承担。</w:t>
            </w:r>
            <w:r>
              <w:rPr>
                <w:rFonts w:hint="eastAsia" w:ascii="宋体" w:hAnsi="宋体" w:eastAsia="宋体" w:cs="宋体"/>
                <w:sz w:val="20"/>
                <w:szCs w:val="20"/>
                <w:lang w:val="en-US" w:eastAsia="zh-CN"/>
              </w:rPr>
              <w:t>培训内容应包括：</w:t>
            </w:r>
          </w:p>
          <w:p w14:paraId="743C96C6">
            <w:pPr>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1、高性能集群管理员培训并提供相关的培训资料；</w:t>
            </w:r>
          </w:p>
          <w:p w14:paraId="215F4364">
            <w:pPr>
              <w:spacing w:line="240" w:lineRule="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2、高性能集群用户培训并提供相关的培训资料；</w:t>
            </w:r>
          </w:p>
        </w:tc>
      </w:tr>
    </w:tbl>
    <w:p w14:paraId="74E0F2F2">
      <w:pPr>
        <w:rPr>
          <w:rFonts w:hint="eastAsia" w:ascii="宋体" w:hAnsi="宋体" w:eastAsia="宋体" w:cs="宋体"/>
        </w:rPr>
      </w:pPr>
    </w:p>
    <w:p w14:paraId="39A28F93">
      <w:pPr>
        <w:pStyle w:val="2"/>
        <w:numPr>
          <w:ilvl w:val="0"/>
          <w:numId w:val="3"/>
        </w:numPr>
        <w:spacing w:before="0" w:after="0"/>
        <w:rPr>
          <w:rFonts w:hint="eastAsia" w:ascii="宋体" w:hAnsi="宋体" w:eastAsia="宋体" w:cs="宋体"/>
          <w:sz w:val="32"/>
          <w:szCs w:val="32"/>
        </w:rPr>
      </w:pPr>
      <w:r>
        <w:rPr>
          <w:rFonts w:hint="eastAsia" w:ascii="宋体" w:hAnsi="宋体" w:eastAsia="宋体" w:cs="宋体"/>
          <w:sz w:val="32"/>
          <w:szCs w:val="32"/>
          <w:lang w:val="en-US" w:eastAsia="zh-CN"/>
        </w:rPr>
        <w:t>服务期限</w:t>
      </w:r>
    </w:p>
    <w:p w14:paraId="3D70A17E">
      <w:pPr>
        <w:bidi w:val="0"/>
        <w:rPr>
          <w:rFonts w:hint="eastAsia" w:ascii="宋体" w:hAnsi="宋体" w:eastAsia="宋体" w:cs="宋体"/>
        </w:rPr>
      </w:pPr>
      <w:r>
        <w:rPr>
          <w:rFonts w:hint="eastAsia" w:ascii="宋体" w:hAnsi="宋体" w:eastAsia="宋体" w:cs="宋体"/>
          <w:lang w:val="en-US" w:eastAsia="zh-CN"/>
        </w:rPr>
        <w:tab/>
      </w:r>
      <w:r>
        <w:rPr>
          <w:rFonts w:hint="eastAsia" w:ascii="宋体" w:hAnsi="宋体" w:eastAsia="宋体" w:cs="宋体"/>
        </w:rPr>
        <w:t>合同签订日</w:t>
      </w:r>
      <w:r>
        <w:rPr>
          <w:rFonts w:hint="eastAsia" w:ascii="宋体" w:hAnsi="宋体" w:eastAsia="宋体" w:cs="宋体"/>
          <w:lang w:val="en-US" w:eastAsia="zh-CN"/>
        </w:rPr>
        <w:t>起，服务期为2025年4月20日至2026年4月19日</w:t>
      </w:r>
      <w:r>
        <w:rPr>
          <w:rFonts w:hint="eastAsia" w:ascii="宋体" w:hAnsi="宋体" w:eastAsia="宋体" w:cs="宋体"/>
        </w:rPr>
        <w:t>。</w:t>
      </w:r>
    </w:p>
    <w:p w14:paraId="3371BD7B">
      <w:pPr>
        <w:bidi w:val="0"/>
        <w:rPr>
          <w:rFonts w:hint="eastAsia" w:ascii="宋体" w:hAnsi="宋体" w:eastAsia="宋体" w:cs="宋体"/>
        </w:rPr>
      </w:pPr>
    </w:p>
    <w:p w14:paraId="7EDDC7E4">
      <w:pPr>
        <w:pStyle w:val="2"/>
        <w:numPr>
          <w:ilvl w:val="0"/>
          <w:numId w:val="3"/>
        </w:numPr>
        <w:spacing w:before="0" w:after="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服务总体要求</w:t>
      </w:r>
    </w:p>
    <w:p w14:paraId="3372EBD7">
      <w:pPr>
        <w:pStyle w:val="58"/>
        <w:numPr>
          <w:ilvl w:val="1"/>
          <w:numId w:val="4"/>
        </w:numPr>
        <w:bidi w:val="0"/>
        <w:rPr>
          <w:rFonts w:hint="eastAsia"/>
          <w:lang w:val="en-US" w:eastAsia="zh-CN"/>
        </w:rPr>
      </w:pPr>
      <w:r>
        <w:rPr>
          <w:rFonts w:hint="eastAsia"/>
          <w:lang w:val="en-US" w:eastAsia="zh-CN"/>
        </w:rPr>
        <w:t>日常维护响应</w:t>
      </w:r>
    </w:p>
    <w:p w14:paraId="6B7B9C78">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1</w:t>
      </w:r>
      <w:r>
        <w:rPr>
          <w:rFonts w:hint="eastAsia" w:ascii="宋体" w:hAnsi="宋体" w:eastAsia="宋体" w:cs="宋体"/>
          <w:kern w:val="0"/>
          <w:szCs w:val="21"/>
          <w:lang w:eastAsia="zh-CN"/>
        </w:rPr>
        <w:t>）</w:t>
      </w:r>
      <w:r>
        <w:rPr>
          <w:rFonts w:hint="eastAsia" w:ascii="宋体" w:hAnsi="宋体" w:eastAsia="宋体" w:cs="宋体"/>
          <w:kern w:val="0"/>
          <w:szCs w:val="21"/>
        </w:rPr>
        <w:t>要求提供一年硬件维保软技术服务支持。</w:t>
      </w:r>
    </w:p>
    <w:p w14:paraId="300D1E63">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2</w:t>
      </w:r>
      <w:r>
        <w:rPr>
          <w:rFonts w:hint="eastAsia" w:ascii="宋体" w:hAnsi="宋体" w:eastAsia="宋体" w:cs="宋体"/>
          <w:kern w:val="0"/>
          <w:szCs w:val="21"/>
          <w:lang w:eastAsia="zh-CN"/>
        </w:rPr>
        <w:t>）</w:t>
      </w:r>
      <w:r>
        <w:rPr>
          <w:rFonts w:hint="eastAsia" w:ascii="宋体" w:hAnsi="宋体" w:eastAsia="宋体" w:cs="宋体"/>
          <w:kern w:val="0"/>
          <w:szCs w:val="21"/>
        </w:rPr>
        <w:t>服务范围包括免费硬件更换维修、系统健康性检查、硬件微码升级、操作系统升级、系统环境变更等。集群平台系统提供季度巡检，并撰写巡检和健康状态报告提供报告。</w:t>
      </w:r>
    </w:p>
    <w:p w14:paraId="381CA8C9">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3</w:t>
      </w:r>
      <w:r>
        <w:rPr>
          <w:rFonts w:hint="eastAsia" w:ascii="宋体" w:hAnsi="宋体" w:eastAsia="宋体" w:cs="宋体"/>
          <w:kern w:val="0"/>
          <w:szCs w:val="21"/>
          <w:lang w:eastAsia="zh-CN"/>
        </w:rPr>
        <w:t>）</w:t>
      </w:r>
      <w:r>
        <w:rPr>
          <w:rFonts w:hint="eastAsia" w:ascii="宋体" w:hAnsi="宋体" w:eastAsia="宋体" w:cs="宋体"/>
          <w:kern w:val="0"/>
          <w:szCs w:val="21"/>
        </w:rPr>
        <w:t>提供电话、远程支持和现场服务支持，并在规定的时间内完成。</w:t>
      </w:r>
    </w:p>
    <w:p w14:paraId="7F682B10">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4</w:t>
      </w:r>
      <w:r>
        <w:rPr>
          <w:rFonts w:hint="eastAsia" w:ascii="宋体" w:hAnsi="宋体" w:eastAsia="宋体" w:cs="宋体"/>
          <w:kern w:val="0"/>
          <w:szCs w:val="21"/>
          <w:lang w:eastAsia="zh-CN"/>
        </w:rPr>
        <w:t>）</w:t>
      </w:r>
      <w:r>
        <w:rPr>
          <w:rFonts w:hint="eastAsia" w:ascii="宋体" w:hAnsi="宋体" w:eastAsia="宋体" w:cs="宋体"/>
          <w:kern w:val="0"/>
          <w:szCs w:val="21"/>
        </w:rPr>
        <w:t>在服务期内，对设备进行定期巡检保养，及时发现并排除设备故障，确保设备及系统的正常运行。</w:t>
      </w:r>
    </w:p>
    <w:p w14:paraId="1192162E">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5</w:t>
      </w:r>
      <w:r>
        <w:rPr>
          <w:rFonts w:hint="eastAsia" w:ascii="宋体" w:hAnsi="宋体" w:eastAsia="宋体" w:cs="宋体"/>
          <w:kern w:val="0"/>
          <w:szCs w:val="21"/>
          <w:lang w:eastAsia="zh-CN"/>
        </w:rPr>
        <w:t>）</w:t>
      </w:r>
      <w:r>
        <w:rPr>
          <w:rFonts w:hint="eastAsia" w:ascii="宋体" w:hAnsi="宋体" w:eastAsia="宋体" w:cs="宋体"/>
          <w:kern w:val="0"/>
          <w:szCs w:val="21"/>
        </w:rPr>
        <w:t>例行巡检报告及故障备件更换报告，针对被服务方设备运行状况，提出相应的优化建议。</w:t>
      </w:r>
    </w:p>
    <w:p w14:paraId="4A9BB258">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6</w:t>
      </w:r>
      <w:r>
        <w:rPr>
          <w:rFonts w:hint="eastAsia" w:ascii="宋体" w:hAnsi="宋体" w:eastAsia="宋体" w:cs="宋体"/>
          <w:kern w:val="0"/>
          <w:szCs w:val="21"/>
          <w:lang w:eastAsia="zh-CN"/>
        </w:rPr>
        <w:t>）</w:t>
      </w:r>
      <w:r>
        <w:rPr>
          <w:rFonts w:hint="eastAsia" w:ascii="宋体" w:hAnsi="宋体" w:eastAsia="宋体" w:cs="宋体"/>
          <w:kern w:val="0"/>
          <w:szCs w:val="21"/>
        </w:rPr>
        <w:t>保证所提供的所有备件为原厂备件。</w:t>
      </w:r>
    </w:p>
    <w:p w14:paraId="522B6427">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7</w:t>
      </w:r>
      <w:r>
        <w:rPr>
          <w:rFonts w:hint="eastAsia" w:ascii="宋体" w:hAnsi="宋体" w:eastAsia="宋体" w:cs="宋体"/>
          <w:kern w:val="0"/>
          <w:szCs w:val="21"/>
          <w:lang w:eastAsia="zh-CN"/>
        </w:rPr>
        <w:t>）</w:t>
      </w:r>
      <w:r>
        <w:rPr>
          <w:rFonts w:hint="eastAsia" w:ascii="宋体" w:hAnsi="宋体" w:eastAsia="宋体" w:cs="宋体"/>
          <w:kern w:val="0"/>
          <w:szCs w:val="21"/>
        </w:rPr>
        <w:t>若用户有需要，提供设备搬迁、演练、系统变更与优化等服务并且配合提供合理的方案，服务期间提供工程师的现场支持，协助完成系统变更。</w:t>
      </w:r>
    </w:p>
    <w:p w14:paraId="706ED875">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8</w:t>
      </w:r>
      <w:r>
        <w:rPr>
          <w:rFonts w:hint="eastAsia" w:ascii="宋体" w:hAnsi="宋体" w:eastAsia="宋体" w:cs="宋体"/>
          <w:kern w:val="0"/>
          <w:szCs w:val="21"/>
          <w:lang w:eastAsia="zh-CN"/>
        </w:rPr>
        <w:t>）</w:t>
      </w:r>
      <w:r>
        <w:rPr>
          <w:rFonts w:hint="eastAsia" w:ascii="宋体" w:hAnsi="宋体" w:eastAsia="宋体" w:cs="宋体"/>
          <w:kern w:val="0"/>
          <w:szCs w:val="21"/>
        </w:rPr>
        <w:t>用户关键系统及设备进行维护保养时，事先安排好应急演练措施及流程，并和用户确认后方可进行。</w:t>
      </w:r>
    </w:p>
    <w:p w14:paraId="4D726EFA">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9</w:t>
      </w:r>
      <w:r>
        <w:rPr>
          <w:rFonts w:hint="eastAsia" w:ascii="宋体" w:hAnsi="宋体" w:eastAsia="宋体" w:cs="宋体"/>
          <w:kern w:val="0"/>
          <w:szCs w:val="21"/>
          <w:lang w:eastAsia="zh-CN"/>
        </w:rPr>
        <w:t>）</w:t>
      </w:r>
      <w:r>
        <w:rPr>
          <w:rFonts w:hint="eastAsia" w:ascii="宋体" w:hAnsi="宋体" w:eastAsia="宋体" w:cs="宋体"/>
          <w:kern w:val="0"/>
          <w:szCs w:val="21"/>
        </w:rPr>
        <w:t>投标人应全程监控维保服务实施质量、详细的故障事件跟踪、升级系统或流程，详细记录故障解决步骤、时间、人员等信息。</w:t>
      </w:r>
    </w:p>
    <w:p w14:paraId="0095A6A7">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10</w:t>
      </w:r>
      <w:r>
        <w:rPr>
          <w:rFonts w:hint="eastAsia" w:ascii="宋体" w:hAnsi="宋体" w:eastAsia="宋体" w:cs="宋体"/>
          <w:kern w:val="0"/>
          <w:szCs w:val="21"/>
          <w:lang w:eastAsia="zh-CN"/>
        </w:rPr>
        <w:t>）</w:t>
      </w:r>
      <w:r>
        <w:rPr>
          <w:rFonts w:hint="eastAsia" w:ascii="宋体" w:hAnsi="宋体" w:eastAsia="宋体" w:cs="宋体"/>
          <w:kern w:val="0"/>
          <w:szCs w:val="21"/>
        </w:rPr>
        <w:t>提供HPC集群软件平台免费电话咨询、免费现场支持服务，即售后技术支持服务、平台支持服务、平台软件BUG排除、提供集群维护记录表，如远程无法排除故障，则会及时安排工程师现场解决集群软件及已有的运行应用软件。</w:t>
      </w:r>
    </w:p>
    <w:p w14:paraId="053A9A14">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11</w:t>
      </w:r>
      <w:r>
        <w:rPr>
          <w:rFonts w:hint="eastAsia" w:ascii="宋体" w:hAnsi="宋体" w:eastAsia="宋体" w:cs="宋体"/>
          <w:kern w:val="0"/>
          <w:szCs w:val="21"/>
          <w:lang w:eastAsia="zh-CN"/>
        </w:rPr>
        <w:t>）服务商</w:t>
      </w:r>
      <w:r>
        <w:rPr>
          <w:rFonts w:hint="eastAsia" w:ascii="宋体" w:hAnsi="宋体" w:eastAsia="宋体" w:cs="宋体"/>
          <w:kern w:val="0"/>
          <w:szCs w:val="21"/>
        </w:rPr>
        <w:t>周期性对HPC高性能硬件平台的运转状况进行跟踪、分析，科学地预测和掌握主机应用系统的性能状态，以保证能适时提出合理的扩充和升级计划，经甲方同意后予以实施，使该系统能够满足不断增长的业务应用需要。</w:t>
      </w:r>
    </w:p>
    <w:p w14:paraId="41B61005">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12</w:t>
      </w:r>
      <w:r>
        <w:rPr>
          <w:rFonts w:hint="eastAsia" w:ascii="宋体" w:hAnsi="宋体" w:eastAsia="宋体" w:cs="宋体"/>
          <w:kern w:val="0"/>
          <w:szCs w:val="21"/>
          <w:lang w:eastAsia="zh-CN"/>
        </w:rPr>
        <w:t>）</w:t>
      </w:r>
      <w:r>
        <w:rPr>
          <w:rFonts w:hint="eastAsia" w:ascii="宋体" w:hAnsi="宋体" w:eastAsia="宋体" w:cs="宋体"/>
          <w:kern w:val="0"/>
          <w:szCs w:val="21"/>
        </w:rPr>
        <w:t>应定期组织技术交流及工作汇报会，向甲方提供技术资料共享服务。</w:t>
      </w:r>
    </w:p>
    <w:p w14:paraId="78BB174C">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13</w:t>
      </w:r>
      <w:r>
        <w:rPr>
          <w:rFonts w:hint="eastAsia" w:ascii="宋体" w:hAnsi="宋体" w:eastAsia="宋体" w:cs="宋体"/>
          <w:kern w:val="0"/>
          <w:szCs w:val="21"/>
          <w:lang w:eastAsia="zh-CN"/>
        </w:rPr>
        <w:t>）</w:t>
      </w:r>
      <w:r>
        <w:rPr>
          <w:rFonts w:hint="eastAsia" w:ascii="宋体" w:hAnsi="宋体" w:eastAsia="宋体" w:cs="宋体"/>
          <w:kern w:val="0"/>
          <w:szCs w:val="21"/>
        </w:rPr>
        <w:t>针对用户在实际使用过程中遇到的应用软件安装需求，提供一整套的的软件技术支持，协助采购人完成但不仅限于HPC软件运维内容中的业务软件软件及其衍生版本的安装、调试及运维服务。</w:t>
      </w:r>
    </w:p>
    <w:p w14:paraId="30D13B56">
      <w:pPr>
        <w:pStyle w:val="58"/>
        <w:numPr>
          <w:ilvl w:val="1"/>
          <w:numId w:val="4"/>
        </w:numPr>
        <w:bidi w:val="0"/>
        <w:rPr>
          <w:rFonts w:hint="eastAsia"/>
          <w:lang w:val="en-US" w:eastAsia="zh-CN"/>
        </w:rPr>
      </w:pPr>
      <w:r>
        <w:rPr>
          <w:rFonts w:hint="eastAsia"/>
          <w:lang w:val="en-US" w:eastAsia="zh-CN"/>
        </w:rPr>
        <w:t>响应时间要求</w:t>
      </w:r>
    </w:p>
    <w:p w14:paraId="2D1DFC51">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1</w:t>
      </w:r>
      <w:r>
        <w:rPr>
          <w:rFonts w:hint="eastAsia" w:ascii="宋体" w:hAnsi="宋体" w:eastAsia="宋体" w:cs="宋体"/>
          <w:kern w:val="0"/>
          <w:szCs w:val="21"/>
          <w:lang w:eastAsia="zh-CN"/>
        </w:rPr>
        <w:t>）服务商</w:t>
      </w:r>
      <w:r>
        <w:rPr>
          <w:rFonts w:hint="eastAsia" w:ascii="宋体" w:hAnsi="宋体" w:eastAsia="宋体" w:cs="宋体"/>
          <w:kern w:val="0"/>
          <w:szCs w:val="21"/>
        </w:rPr>
        <w:t>应作出无推诿承诺：即</w:t>
      </w:r>
      <w:r>
        <w:rPr>
          <w:rFonts w:hint="eastAsia" w:ascii="宋体" w:hAnsi="宋体" w:eastAsia="宋体" w:cs="宋体"/>
          <w:kern w:val="0"/>
          <w:szCs w:val="21"/>
          <w:lang w:eastAsia="zh-CN"/>
        </w:rPr>
        <w:t>服务商</w:t>
      </w:r>
      <w:r>
        <w:rPr>
          <w:rFonts w:hint="eastAsia" w:ascii="宋体" w:hAnsi="宋体" w:eastAsia="宋体" w:cs="宋体"/>
          <w:kern w:val="0"/>
          <w:szCs w:val="21"/>
        </w:rPr>
        <w:t>在收到院方报修通知及要求后，须立即派技术人员到场，全力协助、使系统尽快恢复正常。</w:t>
      </w:r>
    </w:p>
    <w:p w14:paraId="7CB24B0A">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2</w:t>
      </w:r>
      <w:r>
        <w:rPr>
          <w:rFonts w:hint="eastAsia" w:ascii="宋体" w:hAnsi="宋体" w:eastAsia="宋体" w:cs="宋体"/>
          <w:kern w:val="0"/>
          <w:szCs w:val="21"/>
          <w:lang w:eastAsia="zh-CN"/>
        </w:rPr>
        <w:t>）服务商</w:t>
      </w:r>
      <w:r>
        <w:rPr>
          <w:rFonts w:hint="eastAsia" w:ascii="宋体" w:hAnsi="宋体" w:eastAsia="宋体" w:cs="宋体"/>
          <w:kern w:val="0"/>
          <w:szCs w:val="21"/>
        </w:rPr>
        <w:t>承诺设立7×24小时服务热线和7×24小时专人手机值班，在甲方的硬件平台系统有日常故障问题均可以打电话方式寻求帮助，</w:t>
      </w:r>
      <w:r>
        <w:rPr>
          <w:rFonts w:hint="eastAsia" w:ascii="宋体" w:hAnsi="宋体" w:eastAsia="宋体" w:cs="宋体"/>
          <w:kern w:val="0"/>
          <w:szCs w:val="21"/>
          <w:lang w:eastAsia="zh-CN"/>
        </w:rPr>
        <w:t>服务商</w:t>
      </w:r>
      <w:r>
        <w:rPr>
          <w:rFonts w:hint="eastAsia" w:ascii="宋体" w:hAnsi="宋体" w:eastAsia="宋体" w:cs="宋体"/>
          <w:kern w:val="0"/>
          <w:szCs w:val="21"/>
        </w:rPr>
        <w:t>必须立即予以响应并跟踪，直到问题得到解决。</w:t>
      </w:r>
    </w:p>
    <w:p w14:paraId="453CB58C">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3</w:t>
      </w:r>
      <w:r>
        <w:rPr>
          <w:rFonts w:hint="eastAsia" w:ascii="宋体" w:hAnsi="宋体" w:eastAsia="宋体" w:cs="宋体"/>
          <w:kern w:val="0"/>
          <w:szCs w:val="21"/>
          <w:lang w:eastAsia="zh-CN"/>
        </w:rPr>
        <w:t>）服务商</w:t>
      </w:r>
      <w:r>
        <w:rPr>
          <w:rFonts w:hint="eastAsia" w:ascii="宋体" w:hAnsi="宋体" w:eastAsia="宋体" w:cs="宋体"/>
          <w:kern w:val="0"/>
          <w:szCs w:val="21"/>
        </w:rPr>
        <w:t>提供现场技术支持，工作期间（正常工作日8：00-18：00）HPC集群平台故障响应时间不超过0.5小时，到达现场时间不超过1小时。</w:t>
      </w:r>
    </w:p>
    <w:p w14:paraId="32B2DDF3">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4</w:t>
      </w:r>
      <w:r>
        <w:rPr>
          <w:rFonts w:hint="eastAsia" w:ascii="宋体" w:hAnsi="宋体" w:eastAsia="宋体" w:cs="宋体"/>
          <w:kern w:val="0"/>
          <w:szCs w:val="21"/>
          <w:lang w:eastAsia="zh-CN"/>
        </w:rPr>
        <w:t>）</w:t>
      </w:r>
      <w:r>
        <w:rPr>
          <w:rFonts w:hint="eastAsia" w:ascii="宋体" w:hAnsi="宋体" w:eastAsia="宋体" w:cs="宋体"/>
          <w:kern w:val="0"/>
          <w:szCs w:val="21"/>
        </w:rPr>
        <w:t>非工作期间，信息系统故障响应时间不超过1小时到达现场时间不超过2小时。</w:t>
      </w:r>
    </w:p>
    <w:p w14:paraId="09040BD4">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5</w:t>
      </w:r>
      <w:r>
        <w:rPr>
          <w:rFonts w:hint="eastAsia" w:ascii="宋体" w:hAnsi="宋体" w:eastAsia="宋体" w:cs="宋体"/>
          <w:kern w:val="0"/>
          <w:szCs w:val="21"/>
          <w:lang w:eastAsia="zh-CN"/>
        </w:rPr>
        <w:t>）服务商</w:t>
      </w:r>
      <w:r>
        <w:rPr>
          <w:rFonts w:hint="eastAsia" w:ascii="宋体" w:hAnsi="宋体" w:eastAsia="宋体" w:cs="宋体"/>
          <w:kern w:val="0"/>
          <w:szCs w:val="21"/>
        </w:rPr>
        <w:t>应提出故障解决方案，工作至故障修妥完全恢复正常服务为止，修复时间不超过2个工作日。</w:t>
      </w:r>
    </w:p>
    <w:p w14:paraId="4F83BF6B">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6</w:t>
      </w:r>
      <w:r>
        <w:rPr>
          <w:rFonts w:hint="eastAsia" w:ascii="宋体" w:hAnsi="宋体" w:eastAsia="宋体" w:cs="宋体"/>
          <w:kern w:val="0"/>
          <w:szCs w:val="21"/>
          <w:lang w:eastAsia="zh-CN"/>
        </w:rPr>
        <w:t>）</w:t>
      </w:r>
      <w:r>
        <w:rPr>
          <w:rFonts w:hint="eastAsia" w:ascii="宋体" w:hAnsi="宋体" w:eastAsia="宋体" w:cs="宋体"/>
          <w:kern w:val="0"/>
          <w:szCs w:val="21"/>
        </w:rPr>
        <w:t>对于核心系统关键备件（严重影响设备运行或导致设备宕机的备件），应在4小时内到达。非核心系统关键备件，应根据客户要求和实际情况，24小时内送达现场。若出现本地备件库没有备件的情况，应根据故障情况和客户要求，采取专人专送的方式将备件送达客户现场。</w:t>
      </w:r>
    </w:p>
    <w:p w14:paraId="0AA3EF2D">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7</w:t>
      </w:r>
      <w:r>
        <w:rPr>
          <w:rFonts w:hint="eastAsia" w:ascii="宋体" w:hAnsi="宋体" w:eastAsia="宋体" w:cs="宋体"/>
          <w:kern w:val="0"/>
          <w:szCs w:val="21"/>
          <w:lang w:eastAsia="zh-CN"/>
        </w:rPr>
        <w:t>）</w:t>
      </w:r>
      <w:r>
        <w:rPr>
          <w:rFonts w:hint="eastAsia" w:ascii="宋体" w:hAnsi="宋体" w:eastAsia="宋体" w:cs="宋体"/>
          <w:kern w:val="0"/>
          <w:szCs w:val="21"/>
        </w:rPr>
        <w:t>在故障处理完成后1个工作日内应提供阶段性报告，并及时根据实际情况更新。</w:t>
      </w:r>
    </w:p>
    <w:p w14:paraId="49D5B6BF">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8</w:t>
      </w:r>
      <w:r>
        <w:rPr>
          <w:rFonts w:hint="eastAsia" w:ascii="宋体" w:hAnsi="宋体" w:eastAsia="宋体" w:cs="宋体"/>
          <w:kern w:val="0"/>
          <w:szCs w:val="21"/>
          <w:lang w:eastAsia="zh-CN"/>
        </w:rPr>
        <w:t>）</w:t>
      </w:r>
      <w:r>
        <w:rPr>
          <w:rFonts w:hint="eastAsia" w:ascii="宋体" w:hAnsi="宋体" w:eastAsia="宋体" w:cs="宋体"/>
          <w:kern w:val="0"/>
          <w:szCs w:val="21"/>
        </w:rPr>
        <w:t>在每一年服务结束时，提供的维护服务报告。</w:t>
      </w:r>
    </w:p>
    <w:p w14:paraId="1D16A282">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9</w:t>
      </w:r>
      <w:r>
        <w:rPr>
          <w:rFonts w:hint="eastAsia" w:ascii="宋体" w:hAnsi="宋体" w:eastAsia="宋体" w:cs="宋体"/>
          <w:kern w:val="0"/>
          <w:szCs w:val="21"/>
          <w:lang w:eastAsia="zh-CN"/>
        </w:rPr>
        <w:t>）</w:t>
      </w:r>
      <w:r>
        <w:rPr>
          <w:rFonts w:hint="eastAsia" w:ascii="宋体" w:hAnsi="宋体" w:eastAsia="宋体" w:cs="宋体"/>
          <w:kern w:val="0"/>
          <w:szCs w:val="21"/>
        </w:rPr>
        <w:t>重大节日（如十一、五一、春节）期间用户如需要值守服务，投标人需提供提供现场支持工作服务。</w:t>
      </w:r>
    </w:p>
    <w:p w14:paraId="683E625B">
      <w:pPr>
        <w:pStyle w:val="58"/>
        <w:numPr>
          <w:ilvl w:val="1"/>
          <w:numId w:val="4"/>
        </w:numPr>
        <w:bidi w:val="0"/>
        <w:rPr>
          <w:rFonts w:hint="eastAsia"/>
          <w:lang w:val="en-US" w:eastAsia="zh-CN"/>
        </w:rPr>
      </w:pPr>
      <w:r>
        <w:rPr>
          <w:rFonts w:hint="eastAsia"/>
          <w:lang w:val="en-US" w:eastAsia="zh-CN"/>
        </w:rPr>
        <w:t>系统维护工作要求</w:t>
      </w:r>
    </w:p>
    <w:p w14:paraId="3D3DF2C2">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1</w:t>
      </w:r>
      <w:r>
        <w:rPr>
          <w:rFonts w:hint="eastAsia" w:ascii="宋体" w:hAnsi="宋体" w:eastAsia="宋体" w:cs="宋体"/>
          <w:kern w:val="0"/>
          <w:szCs w:val="21"/>
          <w:lang w:eastAsia="zh-CN"/>
        </w:rPr>
        <w:t>）</w:t>
      </w:r>
      <w:r>
        <w:rPr>
          <w:rFonts w:hint="eastAsia" w:ascii="宋体" w:hAnsi="宋体" w:eastAsia="宋体" w:cs="宋体"/>
          <w:kern w:val="0"/>
          <w:szCs w:val="21"/>
        </w:rPr>
        <w:t>服务商须有完整的维护记录管理，确保所有问题提出及处理有记录，有供双方共同记录反馈的简捷的操作方式，达到经双方确认真实可信，可跟踪问题解决情况，查询所有维护记录，并可作为验收依据。</w:t>
      </w:r>
    </w:p>
    <w:p w14:paraId="62E864D0">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2</w:t>
      </w:r>
      <w:r>
        <w:rPr>
          <w:rFonts w:hint="eastAsia" w:ascii="宋体" w:hAnsi="宋体" w:eastAsia="宋体" w:cs="宋体"/>
          <w:kern w:val="0"/>
          <w:szCs w:val="21"/>
          <w:lang w:eastAsia="zh-CN"/>
        </w:rPr>
        <w:t>）</w:t>
      </w:r>
      <w:r>
        <w:rPr>
          <w:rFonts w:hint="eastAsia" w:ascii="宋体" w:hAnsi="宋体" w:eastAsia="宋体" w:cs="宋体"/>
          <w:kern w:val="0"/>
          <w:szCs w:val="21"/>
        </w:rPr>
        <w:t>服务商需根据院方要求，安排维护人员使用院方项目管理平台系统中的需求管理模块和缺陷（报障）管理模块，接收院方相关报障及需求信息，并反馈相应处理信息，该维护记录可作为维保履约证明。</w:t>
      </w:r>
    </w:p>
    <w:p w14:paraId="2AF65258">
      <w:pPr>
        <w:ind w:firstLine="420" w:firstLineChars="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3</w:t>
      </w:r>
      <w:r>
        <w:rPr>
          <w:rFonts w:hint="eastAsia" w:ascii="宋体" w:hAnsi="宋体" w:eastAsia="宋体" w:cs="宋体"/>
          <w:kern w:val="0"/>
          <w:szCs w:val="21"/>
          <w:lang w:eastAsia="zh-CN"/>
        </w:rPr>
        <w:t>）</w:t>
      </w:r>
      <w:r>
        <w:rPr>
          <w:rFonts w:hint="eastAsia" w:ascii="宋体" w:hAnsi="宋体" w:eastAsia="宋体" w:cs="宋体"/>
          <w:kern w:val="0"/>
          <w:szCs w:val="21"/>
        </w:rPr>
        <w:t>定期每季度进行系统巡检，对系统运行的软硬件情况（尤其是数据库环境）进行监控，并出具巡检报告，针对潜在的风险应提供解决方案并实施。</w:t>
      </w:r>
    </w:p>
    <w:p w14:paraId="223C6558">
      <w:pPr>
        <w:pStyle w:val="58"/>
        <w:numPr>
          <w:ilvl w:val="1"/>
          <w:numId w:val="4"/>
        </w:numPr>
        <w:bidi w:val="0"/>
        <w:rPr>
          <w:rFonts w:hint="eastAsia"/>
          <w:lang w:val="en-US" w:eastAsia="zh-CN"/>
        </w:rPr>
      </w:pPr>
      <w:r>
        <w:rPr>
          <w:rFonts w:hint="eastAsia"/>
          <w:lang w:val="en-US" w:eastAsia="zh-CN"/>
        </w:rPr>
        <w:t>服务人员要求</w:t>
      </w:r>
    </w:p>
    <w:p w14:paraId="121AE3C4">
      <w:pPr>
        <w:ind w:firstLine="420"/>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1</w:t>
      </w:r>
      <w:r>
        <w:rPr>
          <w:rFonts w:hint="eastAsia" w:ascii="宋体" w:hAnsi="宋体" w:eastAsia="宋体" w:cs="宋体"/>
          <w:kern w:val="0"/>
          <w:szCs w:val="21"/>
          <w:lang w:eastAsia="zh-CN"/>
        </w:rPr>
        <w:t>）服务商</w:t>
      </w:r>
      <w:r>
        <w:rPr>
          <w:rFonts w:hint="eastAsia" w:ascii="宋体" w:hAnsi="宋体" w:eastAsia="宋体" w:cs="宋体"/>
          <w:kern w:val="0"/>
          <w:szCs w:val="21"/>
        </w:rPr>
        <w:t>应有专门的维护部门并指定固定技术力量用于信息系统维护，并向用户提供详细的维护人员清单及其联系方式。</w:t>
      </w:r>
    </w:p>
    <w:p w14:paraId="0D882644">
      <w:pPr>
        <w:ind w:firstLine="420"/>
        <w:rPr>
          <w:rFonts w:hint="eastAsia" w:ascii="宋体" w:hAnsi="宋体" w:eastAsia="宋体" w:cs="宋体"/>
          <w:sz w:val="24"/>
          <w:lang w:eastAsia="zh-CN"/>
        </w:rPr>
      </w:pPr>
      <w:r>
        <w:rPr>
          <w:rFonts w:hint="eastAsia" w:ascii="宋体" w:hAnsi="宋体" w:eastAsia="宋体" w:cs="宋体"/>
          <w:kern w:val="0"/>
          <w:szCs w:val="21"/>
          <w:lang w:eastAsia="zh-CN"/>
        </w:rPr>
        <w:t>（</w:t>
      </w:r>
      <w:r>
        <w:rPr>
          <w:rFonts w:hint="eastAsia" w:ascii="宋体" w:hAnsi="宋体" w:eastAsia="宋体" w:cs="宋体"/>
          <w:kern w:val="0"/>
          <w:szCs w:val="21"/>
        </w:rPr>
        <w:t>2</w:t>
      </w:r>
      <w:r>
        <w:rPr>
          <w:rFonts w:hint="eastAsia" w:ascii="宋体" w:hAnsi="宋体" w:eastAsia="宋体" w:cs="宋体"/>
          <w:kern w:val="0"/>
          <w:szCs w:val="21"/>
          <w:lang w:eastAsia="zh-CN"/>
        </w:rPr>
        <w:t>）</w:t>
      </w:r>
      <w:r>
        <w:rPr>
          <w:rFonts w:hint="eastAsia" w:ascii="宋体" w:hAnsi="宋体" w:eastAsia="宋体" w:cs="宋体"/>
          <w:kern w:val="0"/>
          <w:szCs w:val="21"/>
        </w:rPr>
        <w:t>成立专项维护人员小组必须由不少于5名技术支持工程师组成，且要有相应专业资质或资历。</w:t>
      </w:r>
      <w:r>
        <w:rPr>
          <w:rFonts w:hint="eastAsia" w:ascii="宋体" w:hAnsi="宋体" w:eastAsia="宋体" w:cs="宋体"/>
          <w:sz w:val="24"/>
        </w:rPr>
        <w:t>服务小组人员资格要求必须满足下表</w:t>
      </w:r>
      <w:r>
        <w:rPr>
          <w:rFonts w:hint="eastAsia" w:ascii="宋体" w:hAnsi="宋体" w:eastAsia="宋体" w:cs="宋体"/>
          <w:sz w:val="24"/>
          <w:lang w:eastAsia="zh-CN"/>
        </w:rPr>
        <w:t>：</w:t>
      </w:r>
    </w:p>
    <w:tbl>
      <w:tblPr>
        <w:tblStyle w:val="24"/>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760"/>
        <w:gridCol w:w="6560"/>
      </w:tblGrid>
      <w:tr w14:paraId="5F8C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52" w:type="pct"/>
            <w:shd w:val="clear" w:color="auto" w:fill="auto"/>
            <w:vAlign w:val="center"/>
          </w:tcPr>
          <w:p w14:paraId="40DDCAA8">
            <w:pPr>
              <w:spacing w:line="240" w:lineRule="auto"/>
              <w:jc w:val="center"/>
              <w:rPr>
                <w:rFonts w:hint="eastAsia" w:ascii="宋体" w:hAnsi="宋体" w:eastAsia="宋体" w:cs="宋体"/>
                <w:b/>
                <w:bCs/>
                <w:sz w:val="20"/>
                <w:szCs w:val="20"/>
              </w:rPr>
            </w:pPr>
            <w:r>
              <w:rPr>
                <w:rFonts w:hint="eastAsia" w:ascii="宋体" w:hAnsi="宋体" w:eastAsia="宋体" w:cs="宋体"/>
                <w:b/>
                <w:bCs/>
                <w:sz w:val="20"/>
                <w:szCs w:val="20"/>
              </w:rPr>
              <w:t>序号</w:t>
            </w:r>
          </w:p>
        </w:tc>
        <w:tc>
          <w:tcPr>
            <w:tcW w:w="962" w:type="pct"/>
            <w:shd w:val="clear" w:color="auto" w:fill="auto"/>
            <w:vAlign w:val="center"/>
          </w:tcPr>
          <w:p w14:paraId="0F82AC79">
            <w:pPr>
              <w:spacing w:line="240" w:lineRule="auto"/>
              <w:jc w:val="center"/>
              <w:rPr>
                <w:rFonts w:hint="eastAsia" w:ascii="宋体" w:hAnsi="宋体" w:eastAsia="宋体" w:cs="宋体"/>
                <w:b/>
                <w:bCs/>
                <w:sz w:val="20"/>
                <w:szCs w:val="20"/>
              </w:rPr>
            </w:pPr>
            <w:r>
              <w:rPr>
                <w:rFonts w:hint="eastAsia" w:ascii="宋体" w:hAnsi="宋体" w:eastAsia="宋体" w:cs="宋体"/>
                <w:b/>
                <w:bCs/>
                <w:sz w:val="20"/>
                <w:szCs w:val="20"/>
              </w:rPr>
              <w:t>指标项</w:t>
            </w:r>
          </w:p>
        </w:tc>
        <w:tc>
          <w:tcPr>
            <w:tcW w:w="3585" w:type="pct"/>
            <w:shd w:val="clear" w:color="auto" w:fill="auto"/>
            <w:vAlign w:val="center"/>
          </w:tcPr>
          <w:p w14:paraId="7060F24F">
            <w:pPr>
              <w:spacing w:line="240" w:lineRule="auto"/>
              <w:jc w:val="center"/>
              <w:rPr>
                <w:rFonts w:hint="eastAsia" w:ascii="宋体" w:hAnsi="宋体" w:eastAsia="宋体" w:cs="宋体"/>
                <w:b/>
                <w:bCs/>
                <w:sz w:val="20"/>
                <w:szCs w:val="20"/>
              </w:rPr>
            </w:pPr>
            <w:r>
              <w:rPr>
                <w:rFonts w:hint="eastAsia" w:ascii="宋体" w:hAnsi="宋体" w:eastAsia="宋体" w:cs="宋体"/>
                <w:b/>
                <w:bCs w:val="0"/>
                <w:color w:val="000000"/>
                <w:sz w:val="20"/>
                <w:szCs w:val="20"/>
                <w:lang w:val="en-US" w:eastAsia="zh-CN"/>
              </w:rPr>
              <w:t>服务要求/服务明细</w:t>
            </w:r>
          </w:p>
        </w:tc>
      </w:tr>
      <w:tr w14:paraId="60AF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452" w:type="pct"/>
            <w:shd w:val="clear" w:color="auto" w:fill="auto"/>
            <w:vAlign w:val="center"/>
          </w:tcPr>
          <w:p w14:paraId="119FA735">
            <w:pPr>
              <w:pStyle w:val="56"/>
              <w:numPr>
                <w:ilvl w:val="0"/>
                <w:numId w:val="0"/>
              </w:numPr>
              <w:spacing w:line="240" w:lineRule="auto"/>
              <w:ind w:firstLineChars="0"/>
              <w:jc w:val="center"/>
              <w:rPr>
                <w:rFonts w:hint="eastAsia" w:ascii="宋体" w:hAnsi="宋体" w:eastAsia="宋体" w:cs="宋体"/>
                <w:sz w:val="20"/>
                <w:szCs w:val="20"/>
              </w:rPr>
            </w:pPr>
            <w:r>
              <w:rPr>
                <w:rFonts w:hint="eastAsia" w:ascii="宋体" w:hAnsi="宋体" w:eastAsia="宋体" w:cs="宋体"/>
                <w:kern w:val="2"/>
                <w:sz w:val="20"/>
                <w:szCs w:val="20"/>
                <w:lang w:val="zh-CN" w:eastAsia="zh-CN" w:bidi="ar-SA"/>
              </w:rPr>
              <w:t>1.</w:t>
            </w:r>
          </w:p>
        </w:tc>
        <w:tc>
          <w:tcPr>
            <w:tcW w:w="962" w:type="pct"/>
            <w:shd w:val="clear" w:color="auto" w:fill="auto"/>
            <w:vAlign w:val="center"/>
          </w:tcPr>
          <w:p w14:paraId="2F330DEF">
            <w:pPr>
              <w:spacing w:line="240" w:lineRule="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维保服务主管</w:t>
            </w:r>
          </w:p>
        </w:tc>
        <w:tc>
          <w:tcPr>
            <w:tcW w:w="3585" w:type="pct"/>
            <w:shd w:val="clear" w:color="auto" w:fill="auto"/>
            <w:vAlign w:val="center"/>
          </w:tcPr>
          <w:p w14:paraId="42375784">
            <w:pPr>
              <w:spacing w:line="240" w:lineRule="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提供专业的维保服务团队，设立专门的维保服务主管，负责维保团队的日常管理，包括任务分配、绩效考核、技能培训等，确保团队高效运作。制定客户维保服务标准、流程优化方案，提升服务响应速度和客户满意度。维保服务主管应同时具备≥8年同类经验、</w:t>
            </w:r>
            <w:r>
              <w:rPr>
                <w:rFonts w:hint="eastAsia" w:ascii="宋体" w:hAnsi="宋体" w:eastAsia="宋体" w:cs="宋体"/>
                <w:sz w:val="20"/>
                <w:szCs w:val="20"/>
                <w:lang w:val="en-US" w:eastAsia="zh-CN"/>
              </w:rPr>
              <w:t>具备</w:t>
            </w:r>
            <w:r>
              <w:rPr>
                <w:rFonts w:hint="eastAsia" w:ascii="宋体" w:hAnsi="宋体" w:eastAsia="宋体" w:cs="宋体"/>
                <w:kern w:val="2"/>
                <w:sz w:val="20"/>
                <w:szCs w:val="20"/>
                <w:lang w:val="en-US" w:eastAsia="zh-CN" w:bidi="ar-SA"/>
              </w:rPr>
              <w:t>IT服务项目经理（ITSS认证）、IT服务工程师（ITSS认证）。</w:t>
            </w:r>
          </w:p>
        </w:tc>
      </w:tr>
      <w:tr w14:paraId="2E1E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452" w:type="pct"/>
            <w:shd w:val="clear" w:color="auto" w:fill="auto"/>
            <w:vAlign w:val="center"/>
          </w:tcPr>
          <w:p w14:paraId="6D79CD6F">
            <w:pPr>
              <w:pStyle w:val="56"/>
              <w:numPr>
                <w:ilvl w:val="0"/>
                <w:numId w:val="0"/>
              </w:numPr>
              <w:spacing w:line="240" w:lineRule="auto"/>
              <w:ind w:firstLineChars="0"/>
              <w:jc w:val="center"/>
              <w:rPr>
                <w:rFonts w:hint="eastAsia" w:ascii="宋体" w:hAnsi="宋体" w:eastAsia="宋体" w:cs="宋体"/>
                <w:sz w:val="20"/>
                <w:szCs w:val="20"/>
              </w:rPr>
            </w:pPr>
            <w:r>
              <w:rPr>
                <w:rFonts w:hint="eastAsia" w:ascii="宋体" w:hAnsi="宋体" w:eastAsia="宋体" w:cs="宋体"/>
                <w:kern w:val="2"/>
                <w:sz w:val="20"/>
                <w:szCs w:val="20"/>
                <w:lang w:val="zh-CN" w:eastAsia="zh-CN" w:bidi="ar-SA"/>
              </w:rPr>
              <w:t>2.</w:t>
            </w:r>
          </w:p>
        </w:tc>
        <w:tc>
          <w:tcPr>
            <w:tcW w:w="962" w:type="pct"/>
            <w:shd w:val="clear" w:color="auto" w:fill="auto"/>
            <w:vAlign w:val="center"/>
          </w:tcPr>
          <w:p w14:paraId="25890490">
            <w:pPr>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资深支持工程师</w:t>
            </w:r>
          </w:p>
        </w:tc>
        <w:tc>
          <w:tcPr>
            <w:tcW w:w="3585" w:type="pct"/>
            <w:shd w:val="clear" w:color="auto" w:fill="auto"/>
            <w:vAlign w:val="center"/>
          </w:tcPr>
          <w:p w14:paraId="3118560E">
            <w:pPr>
              <w:spacing w:line="240" w:lineRule="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提供专业的维保服务团队，提供≥3名</w:t>
            </w:r>
            <w:r>
              <w:rPr>
                <w:rFonts w:hint="eastAsia" w:ascii="宋体" w:hAnsi="宋体" w:eastAsia="宋体" w:cs="宋体"/>
                <w:sz w:val="20"/>
                <w:szCs w:val="20"/>
                <w:lang w:val="en-US" w:eastAsia="zh-CN"/>
              </w:rPr>
              <w:t>资深支持工程师</w:t>
            </w:r>
            <w:r>
              <w:rPr>
                <w:rFonts w:hint="eastAsia" w:ascii="宋体" w:hAnsi="宋体" w:eastAsia="宋体" w:cs="宋体"/>
                <w:kern w:val="2"/>
                <w:sz w:val="20"/>
                <w:szCs w:val="20"/>
                <w:lang w:val="en-US" w:eastAsia="zh-CN" w:bidi="ar-SA"/>
              </w:rPr>
              <w:t>，负责处理高难度技术故障（如HPC服务器硬件/HPC平台软件模块问题），提供远程或现场技术支持。针对复杂系统问题设计修复方案或优化建议（如性能调优、故障预防），提供技术培训或故障处理指导，降低重复问题发生率。</w:t>
            </w:r>
          </w:p>
          <w:p w14:paraId="1BA471EA">
            <w:pPr>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资深支持工程师应具备</w:t>
            </w:r>
            <w:r>
              <w:rPr>
                <w:rFonts w:hint="eastAsia" w:ascii="宋体" w:hAnsi="宋体" w:eastAsia="宋体" w:cs="宋体"/>
                <w:kern w:val="2"/>
                <w:sz w:val="20"/>
                <w:szCs w:val="20"/>
                <w:lang w:val="en-US" w:eastAsia="zh-CN" w:bidi="ar-SA"/>
              </w:rPr>
              <w:t>≥</w:t>
            </w:r>
            <w:r>
              <w:rPr>
                <w:rFonts w:hint="eastAsia" w:ascii="宋体" w:hAnsi="宋体" w:eastAsia="宋体" w:cs="宋体"/>
                <w:sz w:val="20"/>
                <w:szCs w:val="20"/>
                <w:lang w:val="en-US" w:eastAsia="zh-CN"/>
              </w:rPr>
              <w:t>5年专业实践经验、具备联想认证工程师证书或HPC认证证书。</w:t>
            </w:r>
          </w:p>
        </w:tc>
      </w:tr>
      <w:tr w14:paraId="1B0E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452" w:type="pct"/>
            <w:shd w:val="clear" w:color="auto" w:fill="auto"/>
            <w:vAlign w:val="center"/>
          </w:tcPr>
          <w:p w14:paraId="504F8606">
            <w:pPr>
              <w:pStyle w:val="56"/>
              <w:numPr>
                <w:ilvl w:val="-1"/>
                <w:numId w:val="0"/>
              </w:numPr>
              <w:spacing w:line="240" w:lineRule="auto"/>
              <w:ind w:left="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962" w:type="pct"/>
            <w:shd w:val="clear" w:color="auto" w:fill="auto"/>
            <w:vAlign w:val="center"/>
          </w:tcPr>
          <w:p w14:paraId="406C0F14">
            <w:pPr>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项目管理工程师</w:t>
            </w:r>
          </w:p>
        </w:tc>
        <w:tc>
          <w:tcPr>
            <w:tcW w:w="3585" w:type="pct"/>
            <w:shd w:val="clear" w:color="auto" w:fill="auto"/>
            <w:vAlign w:val="center"/>
          </w:tcPr>
          <w:p w14:paraId="6DA22A76">
            <w:pPr>
              <w:spacing w:line="240" w:lineRule="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提供专业的维保服务团队，提供≥2名</w:t>
            </w:r>
            <w:r>
              <w:rPr>
                <w:rFonts w:hint="eastAsia" w:ascii="宋体" w:hAnsi="宋体" w:eastAsia="宋体" w:cs="宋体"/>
                <w:sz w:val="20"/>
                <w:szCs w:val="20"/>
                <w:lang w:val="en-US" w:eastAsia="zh-CN"/>
              </w:rPr>
              <w:t>项目管理工程师</w:t>
            </w:r>
            <w:r>
              <w:rPr>
                <w:rFonts w:hint="eastAsia" w:ascii="宋体" w:hAnsi="宋体" w:eastAsia="宋体" w:cs="宋体"/>
                <w:kern w:val="2"/>
                <w:sz w:val="20"/>
                <w:szCs w:val="20"/>
                <w:lang w:val="en-US" w:eastAsia="zh-CN" w:bidi="ar-SA"/>
              </w:rPr>
              <w:t>，负责制定项目计划（时间表、资源分配等），监控维保服务进度并确保巡检报告或其他维保服务应提供的资料按时交付。协调维保服务期间资源情况，解决项目中的技术或沟通障碍，并定期汇报维保服务进展。</w:t>
            </w:r>
          </w:p>
          <w:p w14:paraId="43849820">
            <w:pPr>
              <w:spacing w:line="240" w:lineRule="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项目管理工程师应具备</w:t>
            </w:r>
            <w:r>
              <w:rPr>
                <w:rFonts w:hint="eastAsia" w:ascii="宋体" w:hAnsi="宋体" w:eastAsia="宋体" w:cs="宋体"/>
                <w:kern w:val="2"/>
                <w:sz w:val="20"/>
                <w:szCs w:val="20"/>
                <w:lang w:val="en-US" w:eastAsia="zh-CN" w:bidi="ar-SA"/>
              </w:rPr>
              <w:t>≥</w:t>
            </w:r>
            <w:r>
              <w:rPr>
                <w:rFonts w:hint="eastAsia" w:ascii="宋体" w:hAnsi="宋体" w:eastAsia="宋体" w:cs="宋体"/>
                <w:sz w:val="20"/>
                <w:szCs w:val="20"/>
                <w:lang w:val="en-US" w:eastAsia="zh-CN"/>
              </w:rPr>
              <w:t>5年专业实践经验、具备项目管理专业认证。</w:t>
            </w:r>
          </w:p>
        </w:tc>
      </w:tr>
      <w:tr w14:paraId="2421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452" w:type="pct"/>
            <w:shd w:val="clear" w:color="auto" w:fill="auto"/>
            <w:vAlign w:val="center"/>
          </w:tcPr>
          <w:p w14:paraId="3F4B60BC">
            <w:pPr>
              <w:pStyle w:val="56"/>
              <w:numPr>
                <w:ilvl w:val="-1"/>
                <w:numId w:val="0"/>
              </w:numPr>
              <w:spacing w:line="240" w:lineRule="auto"/>
              <w:ind w:left="0" w:firstLine="0" w:firstLine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962" w:type="pct"/>
            <w:shd w:val="clear" w:color="auto" w:fill="auto"/>
            <w:vAlign w:val="center"/>
          </w:tcPr>
          <w:p w14:paraId="79365EF3">
            <w:pPr>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维保服务资质</w:t>
            </w:r>
          </w:p>
        </w:tc>
        <w:tc>
          <w:tcPr>
            <w:tcW w:w="3585" w:type="pct"/>
            <w:shd w:val="clear" w:color="auto" w:fill="auto"/>
            <w:vAlign w:val="center"/>
          </w:tcPr>
          <w:p w14:paraId="55653AD6">
            <w:pPr>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执行巡检的工程师须具备高性能计算（HPC）系统架构、集群管理及故障诊断领域的专业资质，并在服务实施前向用户出示以下有效认证文件：HPC认证</w:t>
            </w:r>
            <w:r>
              <w:rPr>
                <w:rFonts w:hint="eastAsia" w:ascii="宋体" w:hAnsi="宋体" w:eastAsia="宋体" w:cs="宋体"/>
                <w:sz w:val="20"/>
                <w:szCs w:val="20"/>
                <w:lang w:eastAsia="zh-CN"/>
              </w:rPr>
              <w:t>、</w:t>
            </w:r>
            <w:r>
              <w:rPr>
                <w:rFonts w:hint="eastAsia" w:ascii="宋体" w:hAnsi="宋体" w:eastAsia="宋体" w:cs="宋体"/>
                <w:sz w:val="20"/>
                <w:szCs w:val="20"/>
              </w:rPr>
              <w:t>网络设备认证</w:t>
            </w:r>
            <w:r>
              <w:rPr>
                <w:rFonts w:hint="eastAsia" w:ascii="宋体" w:hAnsi="宋体" w:eastAsia="宋体" w:cs="宋体"/>
                <w:sz w:val="20"/>
                <w:szCs w:val="20"/>
                <w:lang w:eastAsia="zh-CN"/>
              </w:rPr>
              <w:t>、</w:t>
            </w:r>
            <w:r>
              <w:rPr>
                <w:rFonts w:hint="eastAsia" w:ascii="宋体" w:hAnsi="宋体" w:eastAsia="宋体" w:cs="宋体"/>
                <w:sz w:val="20"/>
                <w:szCs w:val="20"/>
              </w:rPr>
              <w:t>防火墙安全认证</w:t>
            </w:r>
            <w:r>
              <w:rPr>
                <w:rFonts w:hint="eastAsia" w:ascii="宋体" w:hAnsi="宋体" w:eastAsia="宋体" w:cs="宋体"/>
                <w:sz w:val="20"/>
                <w:szCs w:val="20"/>
                <w:lang w:eastAsia="zh-CN"/>
              </w:rPr>
              <w:t>；</w:t>
            </w:r>
            <w:r>
              <w:rPr>
                <w:rFonts w:hint="eastAsia" w:ascii="宋体" w:hAnsi="宋体" w:eastAsia="宋体" w:cs="宋体"/>
                <w:sz w:val="20"/>
                <w:szCs w:val="20"/>
              </w:rPr>
              <w:t>上述证书副本需提前提交用户备案；服务过程中需严格遵循用户内部流程，经用户审核确认工程师资质及巡检方案后方可执行现场操作。</w:t>
            </w:r>
          </w:p>
        </w:tc>
      </w:tr>
    </w:tbl>
    <w:p w14:paraId="05D59FCA">
      <w:pPr>
        <w:bidi w:val="0"/>
        <w:rPr>
          <w:rFonts w:hint="eastAsia" w:ascii="宋体" w:hAnsi="宋体" w:eastAsia="宋体" w:cs="宋体"/>
        </w:rPr>
      </w:pPr>
    </w:p>
    <w:p w14:paraId="6B6F4963">
      <w:pPr>
        <w:pStyle w:val="2"/>
        <w:numPr>
          <w:ilvl w:val="0"/>
          <w:numId w:val="3"/>
        </w:numPr>
        <w:spacing w:before="0" w:after="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服务验收</w:t>
      </w:r>
    </w:p>
    <w:p w14:paraId="275F52B4">
      <w:pPr>
        <w:numPr>
          <w:ilvl w:val="0"/>
          <w:numId w:val="5"/>
        </w:numPr>
        <w:tabs>
          <w:tab w:val="left" w:pos="0"/>
          <w:tab w:val="left" w:pos="210"/>
          <w:tab w:val="left" w:pos="567"/>
        </w:tabs>
        <w:spacing w:line="360" w:lineRule="auto"/>
        <w:ind w:left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验收时间：</w:t>
      </w:r>
      <w:r>
        <w:rPr>
          <w:rFonts w:hint="eastAsia" w:ascii="宋体" w:hAnsi="宋体" w:eastAsia="宋体" w:cs="宋体"/>
          <w:color w:val="000000" w:themeColor="text1"/>
          <w:szCs w:val="21"/>
          <w:lang w:val="en-US" w:eastAsia="zh-CN"/>
          <w14:textFill>
            <w14:solidFill>
              <w14:schemeClr w14:val="tx1"/>
            </w14:solidFill>
          </w14:textFill>
        </w:rPr>
        <w:t>按双方共同确认的四个季度巡检报告和HPC平台软硬件相关维护记录后</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在最后一个季度服务结束后</w:t>
      </w:r>
      <w:r>
        <w:rPr>
          <w:rFonts w:hint="eastAsia" w:ascii="宋体" w:hAnsi="宋体" w:eastAsia="宋体" w:cs="宋体"/>
          <w:color w:val="000000" w:themeColor="text1"/>
          <w:szCs w:val="21"/>
          <w14:textFill>
            <w14:solidFill>
              <w14:schemeClr w14:val="tx1"/>
            </w14:solidFill>
          </w14:textFill>
        </w:rPr>
        <w:t>30个工作日内</w:t>
      </w:r>
      <w:r>
        <w:rPr>
          <w:rFonts w:hint="eastAsia" w:ascii="宋体" w:hAnsi="宋体" w:eastAsia="宋体" w:cs="宋体"/>
          <w:color w:val="000000" w:themeColor="text1"/>
          <w:szCs w:val="21"/>
          <w:lang w:val="en-US" w:eastAsia="zh-CN"/>
          <w14:textFill>
            <w14:solidFill>
              <w14:schemeClr w14:val="tx1"/>
            </w14:solidFill>
          </w14:textFill>
        </w:rPr>
        <w:t>由</w:t>
      </w:r>
      <w:r>
        <w:rPr>
          <w:rFonts w:hint="eastAsia" w:ascii="宋体" w:hAnsi="宋体" w:eastAsia="宋体" w:cs="宋体"/>
          <w:color w:val="000000" w:themeColor="text1"/>
          <w:szCs w:val="21"/>
          <w14:textFill>
            <w14:solidFill>
              <w14:schemeClr w14:val="tx1"/>
            </w14:solidFill>
          </w14:textFill>
        </w:rPr>
        <w:t>院方启动验收。</w:t>
      </w:r>
    </w:p>
    <w:p w14:paraId="0EF4810F">
      <w:pPr>
        <w:numPr>
          <w:ilvl w:val="0"/>
          <w:numId w:val="5"/>
        </w:numPr>
        <w:tabs>
          <w:tab w:val="left" w:pos="0"/>
          <w:tab w:val="left" w:pos="210"/>
          <w:tab w:val="left" w:pos="567"/>
        </w:tabs>
        <w:spacing w:line="360" w:lineRule="auto"/>
        <w:ind w:left="480" w:leftChars="200" w:firstLine="0" w:firstLine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验收人员：双方相关人员。</w:t>
      </w:r>
    </w:p>
    <w:p w14:paraId="5507E2BB">
      <w:pPr>
        <w:numPr>
          <w:ilvl w:val="0"/>
          <w:numId w:val="5"/>
        </w:numPr>
        <w:tabs>
          <w:tab w:val="left" w:pos="0"/>
          <w:tab w:val="left" w:pos="210"/>
          <w:tab w:val="left" w:pos="567"/>
        </w:tabs>
        <w:spacing w:line="360" w:lineRule="auto"/>
        <w:ind w:left="480" w:leftChars="200" w:firstLine="0" w:firstLine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验收标准</w:t>
      </w:r>
      <w:r>
        <w:rPr>
          <w:rFonts w:hint="eastAsia" w:ascii="宋体" w:hAnsi="宋体" w:eastAsia="宋体" w:cs="宋体"/>
          <w:color w:val="000000" w:themeColor="text1"/>
          <w:szCs w:val="21"/>
          <w:lang w:eastAsia="zh-CN"/>
          <w14:textFill>
            <w14:solidFill>
              <w14:schemeClr w14:val="tx1"/>
            </w14:solidFill>
          </w14:textFill>
        </w:rPr>
        <w:t>：</w:t>
      </w:r>
    </w:p>
    <w:p w14:paraId="3F67CEAF">
      <w:pPr>
        <w:numPr>
          <w:ilvl w:val="0"/>
          <w:numId w:val="6"/>
        </w:numPr>
        <w:tabs>
          <w:tab w:val="left" w:pos="0"/>
          <w:tab w:val="left" w:pos="210"/>
          <w:tab w:val="left" w:pos="567"/>
        </w:tabs>
        <w:spacing w:line="360" w:lineRule="auto"/>
        <w:ind w:left="420" w:leftChars="0" w:firstLine="0" w:firstLineChars="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巡检服务：双方共同确认的四个季度巡检报告和HPC平台软硬件相关维护记录。</w:t>
      </w:r>
    </w:p>
    <w:p w14:paraId="37487E7F">
      <w:pPr>
        <w:numPr>
          <w:ilvl w:val="0"/>
          <w:numId w:val="6"/>
        </w:numPr>
        <w:tabs>
          <w:tab w:val="left" w:pos="0"/>
          <w:tab w:val="left" w:pos="210"/>
          <w:tab w:val="left" w:pos="567"/>
        </w:tabs>
        <w:spacing w:line="360" w:lineRule="auto"/>
        <w:ind w:left="0" w:leftChars="0" w:firstLine="420" w:firstLineChars="175"/>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HPC集群平台运维服务：</w:t>
      </w:r>
      <w:r>
        <w:rPr>
          <w:rFonts w:hint="eastAsia" w:ascii="宋体" w:hAnsi="宋体" w:eastAsia="宋体" w:cs="宋体"/>
          <w:color w:val="000000" w:themeColor="text1"/>
          <w:szCs w:val="21"/>
          <w14:textFill>
            <w14:solidFill>
              <w14:schemeClr w14:val="tx1"/>
            </w14:solidFill>
          </w14:textFill>
        </w:rPr>
        <w:t>服务商提供维护记录（系统错误修复、系统数据修复、系统集成）经院方审核确认后验收。</w:t>
      </w:r>
    </w:p>
    <w:p w14:paraId="44FDF0B5">
      <w:pPr>
        <w:numPr>
          <w:ilvl w:val="0"/>
          <w:numId w:val="5"/>
        </w:numPr>
        <w:tabs>
          <w:tab w:val="left" w:pos="0"/>
          <w:tab w:val="left" w:pos="420"/>
        </w:tabs>
        <w:spacing w:line="360" w:lineRule="auto"/>
        <w:ind w:left="0" w:leftChars="0" w:firstLine="480" w:firstLineChars="200"/>
        <w:outlineLvl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验收交付资料：验收资料包括经审核的巡检报告以及HPC集群管理员手册、HPC集群用户操作手册、Platform  LSF 调度软件管理员手册。</w:t>
      </w:r>
    </w:p>
    <w:p w14:paraId="52C7D346">
      <w:pPr>
        <w:numPr>
          <w:ilvl w:val="0"/>
          <w:numId w:val="0"/>
        </w:numPr>
        <w:tabs>
          <w:tab w:val="left" w:pos="0"/>
          <w:tab w:val="left" w:pos="420"/>
        </w:tabs>
        <w:spacing w:line="360" w:lineRule="auto"/>
        <w:outlineLvl w:val="0"/>
        <w:rPr>
          <w:rFonts w:hint="eastAsia" w:ascii="宋体" w:hAnsi="宋体" w:eastAsia="宋体" w:cs="宋体"/>
          <w:color w:val="000000" w:themeColor="text1"/>
          <w:szCs w:val="21"/>
          <w14:textFill>
            <w14:solidFill>
              <w14:schemeClr w14:val="tx1"/>
            </w14:solidFill>
          </w14:textFill>
        </w:rPr>
      </w:pPr>
    </w:p>
    <w:p w14:paraId="5C3093CD">
      <w:pPr>
        <w:pStyle w:val="2"/>
        <w:numPr>
          <w:ilvl w:val="0"/>
          <w:numId w:val="3"/>
        </w:numPr>
        <w:spacing w:before="0" w:after="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合同款支付方式</w:t>
      </w:r>
    </w:p>
    <w:p w14:paraId="3255A4BB">
      <w:pPr>
        <w:numPr>
          <w:ilvl w:val="0"/>
          <w:numId w:val="7"/>
        </w:numPr>
        <w:tabs>
          <w:tab w:val="left" w:pos="0"/>
          <w:tab w:val="left" w:pos="210"/>
          <w:tab w:val="left" w:pos="567"/>
        </w:tabs>
        <w:spacing w:line="360" w:lineRule="auto"/>
        <w:ind w:left="0" w:leftChars="0" w:firstLine="48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合同签订后</w:t>
      </w:r>
      <w:r>
        <w:rPr>
          <w:rFonts w:hint="default"/>
          <w:color w:val="000000" w:themeColor="text1"/>
          <w:szCs w:val="21"/>
          <w:lang w:val="en-US"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甲方在收到乙方开具相应金额正式发票后</w:t>
      </w:r>
      <w:r>
        <w:rPr>
          <w:rFonts w:hint="default"/>
          <w:color w:val="000000" w:themeColor="text1"/>
          <w:szCs w:val="21"/>
          <w:lang w:val="en-US"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向乙方支付合同总金额的30%。</w:t>
      </w:r>
    </w:p>
    <w:p w14:paraId="7975278D">
      <w:pPr>
        <w:numPr>
          <w:ilvl w:val="0"/>
          <w:numId w:val="7"/>
        </w:numPr>
        <w:tabs>
          <w:tab w:val="left" w:pos="0"/>
          <w:tab w:val="left" w:pos="210"/>
          <w:tab w:val="left" w:pos="567"/>
        </w:tabs>
        <w:spacing w:line="360" w:lineRule="auto"/>
        <w:ind w:left="0" w:leftChars="0" w:firstLine="480" w:firstLineChars="200"/>
        <w:rPr>
          <w:rFonts w:hint="eastAsia" w:ascii="宋体" w:hAnsi="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项目第二季度维保服务时间结束后，</w:t>
      </w:r>
      <w:bookmarkStart w:id="2" w:name="OLE_LINK1"/>
      <w:r>
        <w:rPr>
          <w:rFonts w:hint="eastAsia"/>
          <w:color w:val="000000" w:themeColor="text1"/>
          <w:szCs w:val="21"/>
          <w:lang w:val="en-US" w:eastAsia="zh-CN"/>
          <w14:textFill>
            <w14:solidFill>
              <w14:schemeClr w14:val="tx1"/>
            </w14:solidFill>
          </w14:textFill>
        </w:rPr>
        <w:t>甲</w:t>
      </w:r>
      <w:bookmarkStart w:id="3" w:name="_GoBack"/>
      <w:bookmarkEnd w:id="3"/>
      <w:r>
        <w:rPr>
          <w:rFonts w:hint="eastAsia"/>
          <w:color w:val="000000" w:themeColor="text1"/>
          <w:szCs w:val="21"/>
          <w:lang w:val="en-US" w:eastAsia="zh-CN"/>
          <w14:textFill>
            <w14:solidFill>
              <w14:schemeClr w14:val="tx1"/>
            </w14:solidFill>
          </w14:textFill>
        </w:rPr>
        <w:t>方在收到乙方提供相关维护服务记录</w:t>
      </w:r>
      <w:bookmarkEnd w:id="2"/>
      <w:r>
        <w:rPr>
          <w:rFonts w:hint="eastAsia"/>
          <w:color w:val="000000" w:themeColor="text1"/>
          <w:szCs w:val="21"/>
          <w:lang w:val="en-US" w:eastAsia="zh-CN"/>
          <w14:textFill>
            <w14:solidFill>
              <w14:schemeClr w14:val="tx1"/>
            </w14:solidFill>
          </w14:textFill>
        </w:rPr>
        <w:t>和开具相应金额正式发票后，向乙方支付合同总金额的20%。</w:t>
      </w:r>
    </w:p>
    <w:p w14:paraId="7EDEC572">
      <w:pPr>
        <w:numPr>
          <w:ilvl w:val="0"/>
          <w:numId w:val="7"/>
        </w:numPr>
        <w:tabs>
          <w:tab w:val="left" w:pos="0"/>
          <w:tab w:val="left" w:pos="210"/>
          <w:tab w:val="left" w:pos="567"/>
        </w:tabs>
        <w:spacing w:line="360" w:lineRule="auto"/>
        <w:ind w:left="0" w:leftChars="0" w:firstLine="480" w:firstLineChars="200"/>
        <w:rPr>
          <w:rFonts w:hint="eastAsia" w:ascii="宋体" w:hAnsi="宋体" w:eastAsia="宋体" w:cs="宋体"/>
          <w:color w:val="000000"/>
          <w:szCs w:val="24"/>
        </w:rPr>
      </w:pPr>
      <w:r>
        <w:rPr>
          <w:rFonts w:hint="eastAsia" w:ascii="宋体" w:hAnsi="宋体" w:eastAsia="宋体" w:cs="宋体"/>
          <w:color w:val="000000"/>
          <w:szCs w:val="24"/>
        </w:rPr>
        <w:t>维保服务验收通过后</w:t>
      </w:r>
      <w:r>
        <w:rPr>
          <w:rFonts w:hint="eastAsia"/>
          <w:color w:val="000000" w:themeColor="text1"/>
          <w:szCs w:val="21"/>
          <w:lang w:val="en-US" w:eastAsia="zh-CN"/>
          <w14:textFill>
            <w14:solidFill>
              <w14:schemeClr w14:val="tx1"/>
            </w14:solidFill>
          </w14:textFill>
        </w:rPr>
        <w:t>，甲方在收到乙方提供相关维护服务记录和开具相应金额正式发票后，向乙方支付剩余50%尾款。</w:t>
      </w:r>
    </w:p>
    <w:sectPr>
      <w:footerReference r:id="rId5" w:type="default"/>
      <w:pgSz w:w="11906" w:h="16838"/>
      <w:pgMar w:top="1021" w:right="1418" w:bottom="1021"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4C56D">
    <w:pPr>
      <w:pStyle w:val="19"/>
      <w:ind w:left="1441"/>
      <w:jc w:val="center"/>
      <w:rPr>
        <w:caps/>
        <w:color w:val="auto"/>
      </w:rPr>
    </w:pPr>
    <w:r>
      <w:rPr>
        <w:caps/>
        <w:color w:val="auto"/>
      </w:rPr>
      <w:fldChar w:fldCharType="begin"/>
    </w:r>
    <w:r>
      <w:rPr>
        <w:caps/>
        <w:color w:val="auto"/>
      </w:rPr>
      <w:instrText xml:space="preserve">PAGE   \* MERGEFORMAT</w:instrText>
    </w:r>
    <w:r>
      <w:rPr>
        <w:caps/>
        <w:color w:val="auto"/>
      </w:rPr>
      <w:fldChar w:fldCharType="separate"/>
    </w:r>
    <w:r>
      <w:rPr>
        <w:caps/>
        <w:color w:val="auto"/>
      </w:rPr>
      <w:t>8</w:t>
    </w:r>
    <w:r>
      <w:rPr>
        <w:caps/>
        <w:color w:val="auto"/>
      </w:rPr>
      <w:fldChar w:fldCharType="end"/>
    </w:r>
  </w:p>
  <w:p w14:paraId="492AA5CD">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9730E"/>
    <w:multiLevelType w:val="singleLevel"/>
    <w:tmpl w:val="C919730E"/>
    <w:lvl w:ilvl="0" w:tentative="0">
      <w:start w:val="1"/>
      <w:numFmt w:val="decimal"/>
      <w:suff w:val="nothing"/>
      <w:lvlText w:val="（%1）"/>
      <w:lvlJc w:val="left"/>
      <w:pPr>
        <w:ind w:left="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65"/>
      <w:lvlText w:val="%1. "/>
      <w:lvlJc w:val="left"/>
      <w:pPr>
        <w:ind w:left="420" w:hanging="420"/>
      </w:pPr>
      <w:rPr>
        <w:rFonts w:hint="default" w:ascii="Times New Roman" w:hAnsi="Times New Roman" w:eastAsia="宋体"/>
        <w:b/>
        <w:i w:val="0"/>
      </w:rPr>
    </w:lvl>
    <w:lvl w:ilvl="1" w:tentative="0">
      <w:start w:val="1"/>
      <w:numFmt w:val="decimal"/>
      <w:pStyle w:val="58"/>
      <w:isLgl/>
      <w:suff w:val="space"/>
      <w:lvlText w:val="%1.%2 "/>
      <w:lvlJc w:val="left"/>
      <w:pPr>
        <w:ind w:left="3913" w:hanging="794"/>
      </w:pPr>
      <w:rPr>
        <w:rFonts w:hint="eastAsia"/>
      </w:rPr>
    </w:lvl>
    <w:lvl w:ilvl="2" w:tentative="0">
      <w:start w:val="1"/>
      <w:numFmt w:val="decimal"/>
      <w:pStyle w:val="64"/>
      <w:isLgl/>
      <w:suff w:val="space"/>
      <w:lvlText w:val="%1.%2.%3 "/>
      <w:lvlJc w:val="left"/>
      <w:pPr>
        <w:ind w:left="907" w:hanging="907"/>
      </w:pPr>
      <w:rPr>
        <w:rFonts w:hint="eastAsia"/>
      </w:rPr>
    </w:lvl>
    <w:lvl w:ilvl="3" w:tentative="0">
      <w:start w:val="1"/>
      <w:numFmt w:val="decimal"/>
      <w:pStyle w:val="63"/>
      <w:isLgl/>
      <w:suff w:val="space"/>
      <w:lvlText w:val="%1.%2.%3.%4 "/>
      <w:lvlJc w:val="left"/>
      <w:pPr>
        <w:ind w:left="1021" w:hanging="1021"/>
      </w:pPr>
      <w:rPr>
        <w:rFonts w:hint="eastAsia"/>
      </w:rPr>
    </w:lvl>
    <w:lvl w:ilvl="4" w:tentative="0">
      <w:start w:val="1"/>
      <w:numFmt w:val="decimal"/>
      <w:pStyle w:val="68"/>
      <w:isLgl/>
      <w:suff w:val="space"/>
      <w:lvlText w:val="%1.%2.%3.%4.%5 "/>
      <w:lvlJc w:val="left"/>
      <w:pPr>
        <w:ind w:left="1134" w:hanging="1134"/>
      </w:pPr>
      <w:rPr>
        <w:rFonts w:hint="eastAsia"/>
      </w:rPr>
    </w:lvl>
    <w:lvl w:ilvl="5" w:tentative="0">
      <w:start w:val="1"/>
      <w:numFmt w:val="decimal"/>
      <w:pStyle w:val="62"/>
      <w:isLgl/>
      <w:suff w:val="space"/>
      <w:lvlText w:val="%1.%2.%3.%4.%5.%6 "/>
      <w:lvlJc w:val="left"/>
      <w:pPr>
        <w:ind w:left="1247" w:hanging="1247"/>
      </w:pPr>
      <w:rPr>
        <w:rFonts w:hint="eastAsia"/>
      </w:rPr>
    </w:lvl>
    <w:lvl w:ilvl="6" w:tentative="0">
      <w:start w:val="1"/>
      <w:numFmt w:val="decimal"/>
      <w:lvlRestart w:val="1"/>
      <w:pStyle w:val="57"/>
      <w:isLgl/>
      <w:suff w:val="space"/>
      <w:lvlText w:val="图 %1.%7 "/>
      <w:lvlJc w:val="left"/>
      <w:pPr>
        <w:ind w:left="0" w:firstLine="0"/>
      </w:pPr>
      <w:rPr>
        <w:rFonts w:hint="eastAsia"/>
      </w:rPr>
    </w:lvl>
    <w:lvl w:ilvl="7" w:tentative="0">
      <w:start w:val="1"/>
      <w:numFmt w:val="decimal"/>
      <w:lvlRestart w:val="1"/>
      <w:pStyle w:val="6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5FFEAE5C"/>
    <w:multiLevelType w:val="singleLevel"/>
    <w:tmpl w:val="5FFEAE5C"/>
    <w:lvl w:ilvl="0" w:tentative="0">
      <w:start w:val="1"/>
      <w:numFmt w:val="decimal"/>
      <w:suff w:val="space"/>
      <w:lvlText w:val="%1."/>
      <w:lvlJc w:val="left"/>
    </w:lvl>
  </w:abstractNum>
  <w:abstractNum w:abstractNumId="5">
    <w:nsid w:val="7C859754"/>
    <w:multiLevelType w:val="singleLevel"/>
    <w:tmpl w:val="7C859754"/>
    <w:lvl w:ilvl="0" w:tentative="0">
      <w:start w:val="1"/>
      <w:numFmt w:val="decimal"/>
      <w:suff w:val="space"/>
      <w:lvlText w:val="%1."/>
      <w:lvlJc w:val="left"/>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MWJlNzYxNmQ2NjM5YzE2NmFkYmM1NjY2YWViYjgifQ=="/>
  </w:docVars>
  <w:rsids>
    <w:rsidRoot w:val="00172A27"/>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02AF"/>
    <w:rsid w:val="00162D29"/>
    <w:rsid w:val="00164878"/>
    <w:rsid w:val="00164C38"/>
    <w:rsid w:val="00165091"/>
    <w:rsid w:val="00171903"/>
    <w:rsid w:val="0018200C"/>
    <w:rsid w:val="001833B6"/>
    <w:rsid w:val="00190CD2"/>
    <w:rsid w:val="001947FD"/>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766"/>
    <w:rsid w:val="00500264"/>
    <w:rsid w:val="00510B1E"/>
    <w:rsid w:val="005120A9"/>
    <w:rsid w:val="00517D7C"/>
    <w:rsid w:val="00520646"/>
    <w:rsid w:val="0052176F"/>
    <w:rsid w:val="0052604B"/>
    <w:rsid w:val="0053088D"/>
    <w:rsid w:val="00534BF6"/>
    <w:rsid w:val="00537CDE"/>
    <w:rsid w:val="005409FC"/>
    <w:rsid w:val="005563D3"/>
    <w:rsid w:val="00562842"/>
    <w:rsid w:val="00567D4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77259"/>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C6921"/>
    <w:rsid w:val="007D22AB"/>
    <w:rsid w:val="007E5D71"/>
    <w:rsid w:val="007E71E6"/>
    <w:rsid w:val="007F5726"/>
    <w:rsid w:val="008168FB"/>
    <w:rsid w:val="00822BA6"/>
    <w:rsid w:val="008419E9"/>
    <w:rsid w:val="008548FB"/>
    <w:rsid w:val="008623FD"/>
    <w:rsid w:val="00866774"/>
    <w:rsid w:val="00873B97"/>
    <w:rsid w:val="008A5AC9"/>
    <w:rsid w:val="008A62AC"/>
    <w:rsid w:val="008B2206"/>
    <w:rsid w:val="008C255D"/>
    <w:rsid w:val="008C576F"/>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06A"/>
    <w:rsid w:val="009E0351"/>
    <w:rsid w:val="009E214B"/>
    <w:rsid w:val="009E53AF"/>
    <w:rsid w:val="009F0270"/>
    <w:rsid w:val="009F61FA"/>
    <w:rsid w:val="00A05796"/>
    <w:rsid w:val="00A13CB0"/>
    <w:rsid w:val="00A14FD8"/>
    <w:rsid w:val="00A16AAF"/>
    <w:rsid w:val="00A22CA1"/>
    <w:rsid w:val="00A4595D"/>
    <w:rsid w:val="00A51146"/>
    <w:rsid w:val="00A61D3A"/>
    <w:rsid w:val="00A66833"/>
    <w:rsid w:val="00A70DCF"/>
    <w:rsid w:val="00A72437"/>
    <w:rsid w:val="00A73FDF"/>
    <w:rsid w:val="00A824B9"/>
    <w:rsid w:val="00A870DD"/>
    <w:rsid w:val="00A96157"/>
    <w:rsid w:val="00A969AF"/>
    <w:rsid w:val="00A9729E"/>
    <w:rsid w:val="00AA1822"/>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03D8"/>
    <w:rsid w:val="00B62917"/>
    <w:rsid w:val="00B6697F"/>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0969"/>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2395"/>
    <w:rsid w:val="00F74B77"/>
    <w:rsid w:val="00F764FE"/>
    <w:rsid w:val="00F80625"/>
    <w:rsid w:val="00F827B6"/>
    <w:rsid w:val="00F86265"/>
    <w:rsid w:val="00F92BE5"/>
    <w:rsid w:val="00FA0574"/>
    <w:rsid w:val="00FB40F7"/>
    <w:rsid w:val="00FB68D3"/>
    <w:rsid w:val="00FC4B75"/>
    <w:rsid w:val="00FE7554"/>
    <w:rsid w:val="00FF17FE"/>
    <w:rsid w:val="011D2710"/>
    <w:rsid w:val="011F3ABA"/>
    <w:rsid w:val="01A653AB"/>
    <w:rsid w:val="01B72D39"/>
    <w:rsid w:val="023A0DE1"/>
    <w:rsid w:val="03C2070B"/>
    <w:rsid w:val="03CA501F"/>
    <w:rsid w:val="04276F58"/>
    <w:rsid w:val="043C2B5E"/>
    <w:rsid w:val="048A698E"/>
    <w:rsid w:val="051F0BAA"/>
    <w:rsid w:val="05AE12D1"/>
    <w:rsid w:val="06A938AC"/>
    <w:rsid w:val="077D00CD"/>
    <w:rsid w:val="086F0BD1"/>
    <w:rsid w:val="08807DC0"/>
    <w:rsid w:val="088C6F74"/>
    <w:rsid w:val="09972933"/>
    <w:rsid w:val="09C03B07"/>
    <w:rsid w:val="09D52C60"/>
    <w:rsid w:val="0A56459C"/>
    <w:rsid w:val="0ABB4799"/>
    <w:rsid w:val="0B2C354F"/>
    <w:rsid w:val="0B2E4DAA"/>
    <w:rsid w:val="0CD22E44"/>
    <w:rsid w:val="0D617DE3"/>
    <w:rsid w:val="0D990BE6"/>
    <w:rsid w:val="0DD0089A"/>
    <w:rsid w:val="0DD71DDF"/>
    <w:rsid w:val="0DE52D71"/>
    <w:rsid w:val="0DF843DB"/>
    <w:rsid w:val="0E4D4EA6"/>
    <w:rsid w:val="0E7D1328"/>
    <w:rsid w:val="0F3020EB"/>
    <w:rsid w:val="0F41270C"/>
    <w:rsid w:val="104C6824"/>
    <w:rsid w:val="10D97CD5"/>
    <w:rsid w:val="10ED1476"/>
    <w:rsid w:val="10FB3693"/>
    <w:rsid w:val="11D32976"/>
    <w:rsid w:val="12135469"/>
    <w:rsid w:val="124315DA"/>
    <w:rsid w:val="12E60B70"/>
    <w:rsid w:val="138419BE"/>
    <w:rsid w:val="13EE54F1"/>
    <w:rsid w:val="145E16ED"/>
    <w:rsid w:val="14E15863"/>
    <w:rsid w:val="154012CE"/>
    <w:rsid w:val="15C2342E"/>
    <w:rsid w:val="162776F9"/>
    <w:rsid w:val="162858D7"/>
    <w:rsid w:val="19801636"/>
    <w:rsid w:val="1A0110D5"/>
    <w:rsid w:val="1A3447D3"/>
    <w:rsid w:val="1A5F56EF"/>
    <w:rsid w:val="1B1B2DCE"/>
    <w:rsid w:val="1BFD08D4"/>
    <w:rsid w:val="1D0165EA"/>
    <w:rsid w:val="1DFB0471"/>
    <w:rsid w:val="1E5365E3"/>
    <w:rsid w:val="1E5C0E57"/>
    <w:rsid w:val="1ED11157"/>
    <w:rsid w:val="1EF23289"/>
    <w:rsid w:val="1F274302"/>
    <w:rsid w:val="1F342C07"/>
    <w:rsid w:val="1F49353B"/>
    <w:rsid w:val="1F5D746C"/>
    <w:rsid w:val="1FC94C0B"/>
    <w:rsid w:val="2079293B"/>
    <w:rsid w:val="20803CC9"/>
    <w:rsid w:val="20F425EE"/>
    <w:rsid w:val="213F1567"/>
    <w:rsid w:val="21445B6B"/>
    <w:rsid w:val="2174151C"/>
    <w:rsid w:val="21BF3B5D"/>
    <w:rsid w:val="228965CC"/>
    <w:rsid w:val="234B5230"/>
    <w:rsid w:val="2426228E"/>
    <w:rsid w:val="247B5F23"/>
    <w:rsid w:val="2480698E"/>
    <w:rsid w:val="254A7C77"/>
    <w:rsid w:val="25CD5C03"/>
    <w:rsid w:val="25D44666"/>
    <w:rsid w:val="25FA00A6"/>
    <w:rsid w:val="2657494F"/>
    <w:rsid w:val="27471C24"/>
    <w:rsid w:val="28067E17"/>
    <w:rsid w:val="285D3800"/>
    <w:rsid w:val="28887BBF"/>
    <w:rsid w:val="28C8725C"/>
    <w:rsid w:val="29160754"/>
    <w:rsid w:val="2A02356E"/>
    <w:rsid w:val="2BAF24A8"/>
    <w:rsid w:val="2D8E73B2"/>
    <w:rsid w:val="2EA067CC"/>
    <w:rsid w:val="2F4852FF"/>
    <w:rsid w:val="31374878"/>
    <w:rsid w:val="313A1A4C"/>
    <w:rsid w:val="313F6476"/>
    <w:rsid w:val="3163532C"/>
    <w:rsid w:val="317908E2"/>
    <w:rsid w:val="32194889"/>
    <w:rsid w:val="322555EA"/>
    <w:rsid w:val="326905F0"/>
    <w:rsid w:val="330469DC"/>
    <w:rsid w:val="340003BA"/>
    <w:rsid w:val="352E358B"/>
    <w:rsid w:val="355D5108"/>
    <w:rsid w:val="366F7E8C"/>
    <w:rsid w:val="36742518"/>
    <w:rsid w:val="370945C1"/>
    <w:rsid w:val="37440C34"/>
    <w:rsid w:val="375D7FA6"/>
    <w:rsid w:val="379876F3"/>
    <w:rsid w:val="37DC3A83"/>
    <w:rsid w:val="38EF3C8A"/>
    <w:rsid w:val="3A096286"/>
    <w:rsid w:val="3AA77129"/>
    <w:rsid w:val="3AB9031E"/>
    <w:rsid w:val="3AD11A9D"/>
    <w:rsid w:val="3AF63F19"/>
    <w:rsid w:val="3B1BEA99"/>
    <w:rsid w:val="3B4C7172"/>
    <w:rsid w:val="3C1507B4"/>
    <w:rsid w:val="3C1D6069"/>
    <w:rsid w:val="3C59305B"/>
    <w:rsid w:val="3CBD29DC"/>
    <w:rsid w:val="3D2C00C5"/>
    <w:rsid w:val="3D94095C"/>
    <w:rsid w:val="3DC853B6"/>
    <w:rsid w:val="3E2B7643"/>
    <w:rsid w:val="3EAB2402"/>
    <w:rsid w:val="3ED23E32"/>
    <w:rsid w:val="3FB13A48"/>
    <w:rsid w:val="3FBD1AE8"/>
    <w:rsid w:val="401364B0"/>
    <w:rsid w:val="403B4E42"/>
    <w:rsid w:val="40D5220D"/>
    <w:rsid w:val="42200080"/>
    <w:rsid w:val="42693078"/>
    <w:rsid w:val="42D67E40"/>
    <w:rsid w:val="439A6E35"/>
    <w:rsid w:val="4450510B"/>
    <w:rsid w:val="446E63AB"/>
    <w:rsid w:val="461940F5"/>
    <w:rsid w:val="46406C9A"/>
    <w:rsid w:val="46A071B9"/>
    <w:rsid w:val="46B75D3F"/>
    <w:rsid w:val="47164E6B"/>
    <w:rsid w:val="48480CC1"/>
    <w:rsid w:val="488C3B06"/>
    <w:rsid w:val="488C513A"/>
    <w:rsid w:val="48965ED0"/>
    <w:rsid w:val="4896720A"/>
    <w:rsid w:val="4948541D"/>
    <w:rsid w:val="496C1988"/>
    <w:rsid w:val="49DF0FCF"/>
    <w:rsid w:val="4A201EF6"/>
    <w:rsid w:val="4A357967"/>
    <w:rsid w:val="4B50364F"/>
    <w:rsid w:val="4C1F2800"/>
    <w:rsid w:val="4C923D7E"/>
    <w:rsid w:val="4CB30DFF"/>
    <w:rsid w:val="4D85268B"/>
    <w:rsid w:val="4EF16A5B"/>
    <w:rsid w:val="4F9F1B0F"/>
    <w:rsid w:val="50A0169A"/>
    <w:rsid w:val="51275918"/>
    <w:rsid w:val="519F1952"/>
    <w:rsid w:val="51D774AB"/>
    <w:rsid w:val="51F7178E"/>
    <w:rsid w:val="521D79C2"/>
    <w:rsid w:val="526606C2"/>
    <w:rsid w:val="52A907F9"/>
    <w:rsid w:val="530D5254"/>
    <w:rsid w:val="536D0D7A"/>
    <w:rsid w:val="5430271B"/>
    <w:rsid w:val="54F00B42"/>
    <w:rsid w:val="551663CF"/>
    <w:rsid w:val="56533E33"/>
    <w:rsid w:val="56F32878"/>
    <w:rsid w:val="576553EC"/>
    <w:rsid w:val="579161E1"/>
    <w:rsid w:val="58354DBE"/>
    <w:rsid w:val="586112B1"/>
    <w:rsid w:val="586F4C13"/>
    <w:rsid w:val="587F072F"/>
    <w:rsid w:val="589436CF"/>
    <w:rsid w:val="5A8F4014"/>
    <w:rsid w:val="5ABE78FA"/>
    <w:rsid w:val="5AD72AAD"/>
    <w:rsid w:val="5B261AA6"/>
    <w:rsid w:val="5B4D1163"/>
    <w:rsid w:val="5BE308F8"/>
    <w:rsid w:val="5C16336B"/>
    <w:rsid w:val="5C8E7193"/>
    <w:rsid w:val="5D11431E"/>
    <w:rsid w:val="5DC12155"/>
    <w:rsid w:val="5E7E6D93"/>
    <w:rsid w:val="5E987E55"/>
    <w:rsid w:val="5EA629F6"/>
    <w:rsid w:val="5EF90F18"/>
    <w:rsid w:val="5F5513E2"/>
    <w:rsid w:val="5FCD662E"/>
    <w:rsid w:val="60822B6A"/>
    <w:rsid w:val="61246D0C"/>
    <w:rsid w:val="616104DF"/>
    <w:rsid w:val="61BB5496"/>
    <w:rsid w:val="623853B3"/>
    <w:rsid w:val="63DE4ECC"/>
    <w:rsid w:val="645C5585"/>
    <w:rsid w:val="647A167F"/>
    <w:rsid w:val="648B3FB8"/>
    <w:rsid w:val="64A86918"/>
    <w:rsid w:val="64B06D1C"/>
    <w:rsid w:val="6523039D"/>
    <w:rsid w:val="654A7778"/>
    <w:rsid w:val="65554CF2"/>
    <w:rsid w:val="6692441C"/>
    <w:rsid w:val="6787544C"/>
    <w:rsid w:val="67D07485"/>
    <w:rsid w:val="698A66BE"/>
    <w:rsid w:val="69E71C90"/>
    <w:rsid w:val="6A5E536B"/>
    <w:rsid w:val="6AB525A4"/>
    <w:rsid w:val="6AD472F2"/>
    <w:rsid w:val="6B3358AF"/>
    <w:rsid w:val="6C555F32"/>
    <w:rsid w:val="6D1D4D2C"/>
    <w:rsid w:val="6D7F6E87"/>
    <w:rsid w:val="6DAD2DB4"/>
    <w:rsid w:val="6E511DCE"/>
    <w:rsid w:val="6EC1674B"/>
    <w:rsid w:val="6F4F022A"/>
    <w:rsid w:val="704837AC"/>
    <w:rsid w:val="706D2B21"/>
    <w:rsid w:val="70B54896"/>
    <w:rsid w:val="712A11B9"/>
    <w:rsid w:val="712D16A4"/>
    <w:rsid w:val="71381023"/>
    <w:rsid w:val="71555718"/>
    <w:rsid w:val="718710C4"/>
    <w:rsid w:val="720C0F00"/>
    <w:rsid w:val="73102258"/>
    <w:rsid w:val="73955FE3"/>
    <w:rsid w:val="73B0538E"/>
    <w:rsid w:val="74EF0832"/>
    <w:rsid w:val="75CA4C66"/>
    <w:rsid w:val="75CC32C7"/>
    <w:rsid w:val="760F124E"/>
    <w:rsid w:val="768C7E47"/>
    <w:rsid w:val="774F263D"/>
    <w:rsid w:val="78745037"/>
    <w:rsid w:val="788F1E71"/>
    <w:rsid w:val="79FF36AB"/>
    <w:rsid w:val="7A3765BA"/>
    <w:rsid w:val="7A8A0B42"/>
    <w:rsid w:val="7A9C17FD"/>
    <w:rsid w:val="7B076F3B"/>
    <w:rsid w:val="7B413328"/>
    <w:rsid w:val="7B4D7648"/>
    <w:rsid w:val="7BCD092E"/>
    <w:rsid w:val="7BD77067"/>
    <w:rsid w:val="7BEA678E"/>
    <w:rsid w:val="7C572CA5"/>
    <w:rsid w:val="7C902574"/>
    <w:rsid w:val="7D1B0DC1"/>
    <w:rsid w:val="7D4C4FD0"/>
    <w:rsid w:val="7D874B49"/>
    <w:rsid w:val="7DC511EB"/>
    <w:rsid w:val="7DD722F0"/>
    <w:rsid w:val="7E266235"/>
    <w:rsid w:val="7E3F3BE5"/>
    <w:rsid w:val="7EA3483F"/>
    <w:rsid w:val="7EB26F07"/>
    <w:rsid w:val="7FEBEB7F"/>
    <w:rsid w:val="7FFFFE9E"/>
    <w:rsid w:val="A7FB11C9"/>
    <w:rsid w:val="AE9FAFE0"/>
    <w:rsid w:val="B3B3E8CB"/>
    <w:rsid w:val="BAFE0312"/>
    <w:rsid w:val="BF172D5F"/>
    <w:rsid w:val="CBF183CC"/>
    <w:rsid w:val="CDFF529D"/>
    <w:rsid w:val="DED7DFFB"/>
    <w:rsid w:val="DEEA0063"/>
    <w:rsid w:val="F7F31279"/>
    <w:rsid w:val="FB6FE567"/>
    <w:rsid w:val="FBB9C780"/>
    <w:rsid w:val="FDFFA6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宋体" w:eastAsia="宋体" w:cs="Times New Roman"/>
      <w:kern w:val="2"/>
      <w:sz w:val="24"/>
      <w:szCs w:val="24"/>
      <w:lang w:val="en-US" w:eastAsia="zh-CN" w:bidi="ar-SA"/>
    </w:rPr>
  </w:style>
  <w:style w:type="paragraph" w:styleId="2">
    <w:name w:val="heading 1"/>
    <w:basedOn w:val="1"/>
    <w:next w:val="1"/>
    <w:link w:val="29"/>
    <w:autoRedefine/>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30"/>
    <w:autoRedefine/>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31"/>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32"/>
    <w:autoRedefine/>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33"/>
    <w:autoRedefine/>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4"/>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5"/>
    <w:autoRedefine/>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6"/>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7"/>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6">
    <w:name w:val="Default Paragraph Font"/>
    <w:autoRedefine/>
    <w:unhideWhenUsed/>
    <w:qFormat/>
    <w:uiPriority w:val="1"/>
  </w:style>
  <w:style w:type="table" w:default="1" w:styleId="24">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link w:val="38"/>
    <w:autoRedefine/>
    <w:qFormat/>
    <w:uiPriority w:val="99"/>
    <w:pPr>
      <w:spacing w:before="120" w:beforeLines="50" w:line="360" w:lineRule="auto"/>
      <w:ind w:firstLine="512" w:firstLineChars="200"/>
    </w:pPr>
    <w:rPr>
      <w:spacing w:val="8"/>
      <w:sz w:val="24"/>
      <w:szCs w:val="20"/>
    </w:rPr>
  </w:style>
  <w:style w:type="paragraph" w:styleId="12">
    <w:name w:val="caption"/>
    <w:basedOn w:val="1"/>
    <w:next w:val="1"/>
    <w:semiHidden/>
    <w:unhideWhenUsed/>
    <w:qFormat/>
    <w:uiPriority w:val="0"/>
    <w:rPr>
      <w:rFonts w:ascii="Arial" w:hAnsi="Arial" w:eastAsia="黑体"/>
      <w:sz w:val="20"/>
    </w:rPr>
  </w:style>
  <w:style w:type="paragraph" w:styleId="13">
    <w:name w:val="annotation text"/>
    <w:basedOn w:val="1"/>
    <w:link w:val="39"/>
    <w:autoRedefine/>
    <w:unhideWhenUsed/>
    <w:qFormat/>
    <w:uiPriority w:val="0"/>
    <w:pPr>
      <w:jc w:val="left"/>
    </w:pPr>
    <w:rPr>
      <w:kern w:val="0"/>
      <w:sz w:val="20"/>
      <w:lang w:val="zh-CN" w:eastAsia="zh-CN"/>
    </w:rPr>
  </w:style>
  <w:style w:type="paragraph" w:styleId="14">
    <w:name w:val="Body Text"/>
    <w:basedOn w:val="1"/>
    <w:next w:val="15"/>
    <w:link w:val="40"/>
    <w:autoRedefine/>
    <w:qFormat/>
    <w:uiPriority w:val="0"/>
    <w:pPr>
      <w:spacing w:after="120"/>
    </w:pPr>
  </w:style>
  <w:style w:type="paragraph" w:styleId="15">
    <w:name w:val="Quote"/>
    <w:next w:val="1"/>
    <w:link w:val="41"/>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6">
    <w:name w:val="Plain Text"/>
    <w:basedOn w:val="1"/>
    <w:link w:val="42"/>
    <w:autoRedefine/>
    <w:qFormat/>
    <w:uiPriority w:val="0"/>
    <w:rPr>
      <w:rFonts w:ascii="Calibri" w:hAnsi="Courier New"/>
      <w:szCs w:val="20"/>
      <w:lang w:val="zh-CN" w:eastAsia="zh-CN"/>
    </w:rPr>
  </w:style>
  <w:style w:type="paragraph" w:styleId="17">
    <w:name w:val="Body Text Indent 2"/>
    <w:basedOn w:val="1"/>
    <w:autoRedefine/>
    <w:unhideWhenUsed/>
    <w:qFormat/>
    <w:uiPriority w:val="99"/>
    <w:pPr>
      <w:spacing w:after="120" w:line="480" w:lineRule="auto"/>
      <w:ind w:left="420" w:leftChars="200"/>
    </w:pPr>
  </w:style>
  <w:style w:type="paragraph" w:styleId="18">
    <w:name w:val="Balloon Text"/>
    <w:basedOn w:val="1"/>
    <w:link w:val="43"/>
    <w:autoRedefine/>
    <w:qFormat/>
    <w:uiPriority w:val="0"/>
    <w:rPr>
      <w:sz w:val="18"/>
      <w:szCs w:val="18"/>
      <w:lang w:val="zh-CN" w:eastAsia="zh-CN"/>
    </w:rPr>
  </w:style>
  <w:style w:type="paragraph" w:styleId="19">
    <w:name w:val="footer"/>
    <w:basedOn w:val="1"/>
    <w:link w:val="44"/>
    <w:autoRedefine/>
    <w:qFormat/>
    <w:uiPriority w:val="0"/>
    <w:pPr>
      <w:tabs>
        <w:tab w:val="center" w:pos="4153"/>
        <w:tab w:val="right" w:pos="8306"/>
      </w:tabs>
      <w:snapToGrid w:val="0"/>
      <w:jc w:val="left"/>
    </w:pPr>
    <w:rPr>
      <w:sz w:val="18"/>
      <w:szCs w:val="18"/>
      <w:lang w:val="zh-CN" w:eastAsia="zh-CN"/>
    </w:rPr>
  </w:style>
  <w:style w:type="paragraph" w:styleId="20">
    <w:name w:val="header"/>
    <w:basedOn w:val="1"/>
    <w:link w:val="45"/>
    <w:autoRedefine/>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21">
    <w:name w:val="Subtitle"/>
    <w:basedOn w:val="1"/>
    <w:next w:val="1"/>
    <w:link w:val="46"/>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autoRedefine/>
    <w:qFormat/>
    <w:uiPriority w:val="99"/>
    <w:pPr>
      <w:spacing w:before="240" w:after="60"/>
      <w:jc w:val="center"/>
      <w:outlineLvl w:val="0"/>
    </w:pPr>
    <w:rPr>
      <w:rFonts w:ascii="Arial" w:hAnsi="Arial" w:cs="Arial"/>
      <w:b/>
      <w:bCs/>
      <w:sz w:val="32"/>
      <w:szCs w:val="32"/>
    </w:rPr>
  </w:style>
  <w:style w:type="table" w:styleId="25">
    <w:name w:val="Table Grid"/>
    <w:basedOn w:val="2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Hyperlink"/>
    <w:qFormat/>
    <w:uiPriority w:val="0"/>
    <w:rPr>
      <w:color w:val="0563C1"/>
      <w:u w:val="single"/>
    </w:rPr>
  </w:style>
  <w:style w:type="character" w:styleId="28">
    <w:name w:val="annotation reference"/>
    <w:autoRedefine/>
    <w:unhideWhenUsed/>
    <w:qFormat/>
    <w:uiPriority w:val="99"/>
    <w:rPr>
      <w:sz w:val="21"/>
      <w:szCs w:val="21"/>
    </w:rPr>
  </w:style>
  <w:style w:type="character" w:customStyle="1" w:styleId="29">
    <w:name w:val="标题 1 字符"/>
    <w:link w:val="2"/>
    <w:autoRedefine/>
    <w:qFormat/>
    <w:uiPriority w:val="0"/>
    <w:rPr>
      <w:b/>
      <w:bCs/>
      <w:kern w:val="44"/>
      <w:sz w:val="44"/>
      <w:szCs w:val="44"/>
      <w:lang w:val="zh-CN" w:eastAsia="zh-CN"/>
    </w:rPr>
  </w:style>
  <w:style w:type="character" w:customStyle="1" w:styleId="30">
    <w:name w:val="标题 2 字符"/>
    <w:link w:val="3"/>
    <w:autoRedefine/>
    <w:qFormat/>
    <w:uiPriority w:val="0"/>
    <w:rPr>
      <w:rFonts w:ascii="等线 Light" w:hAnsi="等线 Light" w:eastAsia="等线 Light" w:cs="Times New Roman"/>
      <w:b/>
      <w:bCs/>
      <w:kern w:val="2"/>
      <w:sz w:val="32"/>
      <w:szCs w:val="32"/>
    </w:rPr>
  </w:style>
  <w:style w:type="character" w:customStyle="1" w:styleId="31">
    <w:name w:val="标题 3 字符"/>
    <w:link w:val="4"/>
    <w:autoRedefine/>
    <w:qFormat/>
    <w:uiPriority w:val="0"/>
    <w:rPr>
      <w:b/>
      <w:bCs/>
      <w:kern w:val="2"/>
      <w:sz w:val="30"/>
      <w:szCs w:val="30"/>
    </w:rPr>
  </w:style>
  <w:style w:type="character" w:customStyle="1" w:styleId="32">
    <w:name w:val="标题 4 字符"/>
    <w:link w:val="5"/>
    <w:autoRedefine/>
    <w:qFormat/>
    <w:uiPriority w:val="0"/>
    <w:rPr>
      <w:rFonts w:ascii="宋体" w:hAnsi="宋体"/>
      <w:b/>
      <w:bCs/>
      <w:kern w:val="2"/>
      <w:sz w:val="28"/>
      <w:szCs w:val="28"/>
    </w:rPr>
  </w:style>
  <w:style w:type="character" w:customStyle="1" w:styleId="33">
    <w:name w:val="标题 5 字符"/>
    <w:link w:val="6"/>
    <w:qFormat/>
    <w:uiPriority w:val="0"/>
    <w:rPr>
      <w:b/>
      <w:bCs/>
      <w:kern w:val="2"/>
      <w:sz w:val="28"/>
      <w:szCs w:val="28"/>
    </w:rPr>
  </w:style>
  <w:style w:type="character" w:customStyle="1" w:styleId="34">
    <w:name w:val="标题 6 字符"/>
    <w:link w:val="7"/>
    <w:semiHidden/>
    <w:qFormat/>
    <w:uiPriority w:val="0"/>
    <w:rPr>
      <w:rFonts w:ascii="等线 Light" w:hAnsi="等线 Light" w:eastAsia="等线 Light"/>
      <w:b/>
      <w:bCs/>
      <w:kern w:val="2"/>
      <w:sz w:val="24"/>
      <w:szCs w:val="24"/>
    </w:rPr>
  </w:style>
  <w:style w:type="character" w:customStyle="1" w:styleId="35">
    <w:name w:val="标题 7 字符"/>
    <w:link w:val="8"/>
    <w:autoRedefine/>
    <w:semiHidden/>
    <w:qFormat/>
    <w:uiPriority w:val="0"/>
    <w:rPr>
      <w:b/>
      <w:bCs/>
      <w:kern w:val="2"/>
      <w:sz w:val="24"/>
      <w:szCs w:val="24"/>
    </w:rPr>
  </w:style>
  <w:style w:type="character" w:customStyle="1" w:styleId="36">
    <w:name w:val="标题 8 字符"/>
    <w:link w:val="9"/>
    <w:semiHidden/>
    <w:qFormat/>
    <w:uiPriority w:val="0"/>
    <w:rPr>
      <w:rFonts w:ascii="等线 Light" w:hAnsi="等线 Light" w:eastAsia="等线 Light"/>
      <w:kern w:val="2"/>
      <w:sz w:val="24"/>
      <w:szCs w:val="24"/>
    </w:rPr>
  </w:style>
  <w:style w:type="character" w:customStyle="1" w:styleId="37">
    <w:name w:val="标题 9 字符"/>
    <w:link w:val="10"/>
    <w:semiHidden/>
    <w:qFormat/>
    <w:uiPriority w:val="0"/>
    <w:rPr>
      <w:rFonts w:ascii="等线 Light" w:hAnsi="等线 Light" w:eastAsia="等线 Light"/>
      <w:kern w:val="2"/>
      <w:sz w:val="21"/>
      <w:szCs w:val="21"/>
    </w:rPr>
  </w:style>
  <w:style w:type="character" w:customStyle="1" w:styleId="38">
    <w:name w:val="正文缩进 字符"/>
    <w:link w:val="11"/>
    <w:autoRedefine/>
    <w:qFormat/>
    <w:uiPriority w:val="99"/>
    <w:rPr>
      <w:spacing w:val="8"/>
      <w:kern w:val="2"/>
      <w:sz w:val="24"/>
      <w:lang w:val="en-US" w:eastAsia="zh-CN"/>
    </w:rPr>
  </w:style>
  <w:style w:type="character" w:customStyle="1" w:styleId="39">
    <w:name w:val="批注文字 字符1"/>
    <w:link w:val="13"/>
    <w:qFormat/>
    <w:uiPriority w:val="0"/>
    <w:rPr>
      <w:szCs w:val="24"/>
    </w:rPr>
  </w:style>
  <w:style w:type="character" w:customStyle="1" w:styleId="40">
    <w:name w:val="正文文本 字符"/>
    <w:link w:val="14"/>
    <w:qFormat/>
    <w:uiPriority w:val="0"/>
    <w:rPr>
      <w:kern w:val="2"/>
      <w:sz w:val="21"/>
      <w:szCs w:val="24"/>
    </w:rPr>
  </w:style>
  <w:style w:type="character" w:customStyle="1" w:styleId="41">
    <w:name w:val="引用 字符"/>
    <w:link w:val="15"/>
    <w:autoRedefine/>
    <w:qFormat/>
    <w:uiPriority w:val="0"/>
    <w:rPr>
      <w:rFonts w:ascii="Calibri" w:hAnsi="Calibri"/>
      <w:i/>
      <w:sz w:val="21"/>
    </w:rPr>
  </w:style>
  <w:style w:type="character" w:customStyle="1" w:styleId="42">
    <w:name w:val="纯文本 字符"/>
    <w:link w:val="16"/>
    <w:qFormat/>
    <w:uiPriority w:val="0"/>
    <w:rPr>
      <w:rFonts w:ascii="Calibri" w:hAnsi="Courier New"/>
      <w:kern w:val="2"/>
      <w:sz w:val="21"/>
    </w:rPr>
  </w:style>
  <w:style w:type="character" w:customStyle="1" w:styleId="43">
    <w:name w:val="批注框文本 字符"/>
    <w:link w:val="18"/>
    <w:qFormat/>
    <w:uiPriority w:val="0"/>
    <w:rPr>
      <w:kern w:val="2"/>
      <w:sz w:val="18"/>
      <w:szCs w:val="18"/>
    </w:rPr>
  </w:style>
  <w:style w:type="character" w:customStyle="1" w:styleId="44">
    <w:name w:val="页脚 字符1"/>
    <w:link w:val="19"/>
    <w:autoRedefine/>
    <w:qFormat/>
    <w:uiPriority w:val="0"/>
    <w:rPr>
      <w:kern w:val="2"/>
      <w:sz w:val="18"/>
      <w:szCs w:val="18"/>
    </w:rPr>
  </w:style>
  <w:style w:type="character" w:customStyle="1" w:styleId="45">
    <w:name w:val="页眉 字符"/>
    <w:link w:val="20"/>
    <w:autoRedefine/>
    <w:qFormat/>
    <w:uiPriority w:val="0"/>
    <w:rPr>
      <w:kern w:val="2"/>
      <w:sz w:val="18"/>
      <w:szCs w:val="18"/>
    </w:rPr>
  </w:style>
  <w:style w:type="character" w:customStyle="1" w:styleId="46">
    <w:name w:val="副标题 字符"/>
    <w:link w:val="21"/>
    <w:autoRedefine/>
    <w:qFormat/>
    <w:uiPriority w:val="0"/>
    <w:rPr>
      <w:rFonts w:ascii="Cambria" w:hAnsi="Cambria"/>
      <w:b/>
      <w:bCs/>
      <w:kern w:val="28"/>
      <w:sz w:val="32"/>
      <w:szCs w:val="32"/>
      <w:lang w:eastAsia="en-US"/>
    </w:rPr>
  </w:style>
  <w:style w:type="character" w:customStyle="1" w:styleId="47">
    <w:name w:val="已访问的超链接1"/>
    <w:autoRedefine/>
    <w:qFormat/>
    <w:uiPriority w:val="0"/>
    <w:rPr>
      <w:color w:val="800080"/>
      <w:u w:val="single"/>
    </w:rPr>
  </w:style>
  <w:style w:type="character" w:customStyle="1" w:styleId="48">
    <w:name w:val="正文（首行缩进2字符） Char"/>
    <w:link w:val="49"/>
    <w:autoRedefine/>
    <w:qFormat/>
    <w:uiPriority w:val="0"/>
    <w:rPr>
      <w:kern w:val="2"/>
      <w:sz w:val="24"/>
      <w:szCs w:val="24"/>
    </w:rPr>
  </w:style>
  <w:style w:type="paragraph" w:customStyle="1" w:styleId="49">
    <w:name w:val="正文（首行缩进2字符）"/>
    <w:basedOn w:val="1"/>
    <w:link w:val="48"/>
    <w:autoRedefine/>
    <w:qFormat/>
    <w:uiPriority w:val="0"/>
    <w:pPr>
      <w:spacing w:line="360" w:lineRule="auto"/>
      <w:ind w:firstLine="480" w:firstLineChars="200"/>
    </w:pPr>
    <w:rPr>
      <w:sz w:val="24"/>
      <w:lang w:val="zh-CN" w:eastAsia="zh-CN"/>
    </w:rPr>
  </w:style>
  <w:style w:type="character" w:customStyle="1" w:styleId="50">
    <w:name w:val="段落 Char1"/>
    <w:link w:val="51"/>
    <w:autoRedefine/>
    <w:qFormat/>
    <w:uiPriority w:val="0"/>
    <w:rPr>
      <w:rFonts w:eastAsia="仿宋_GB2312"/>
      <w:sz w:val="24"/>
      <w:szCs w:val="24"/>
      <w:lang w:val="en-US" w:eastAsia="zh-CN" w:bidi="ar-SA"/>
    </w:rPr>
  </w:style>
  <w:style w:type="paragraph" w:customStyle="1" w:styleId="51">
    <w:name w:val="段落"/>
    <w:link w:val="50"/>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2">
    <w:name w:val="正文（安华金和） Char"/>
    <w:link w:val="53"/>
    <w:autoRedefine/>
    <w:qFormat/>
    <w:uiPriority w:val="0"/>
    <w:rPr>
      <w:rFonts w:ascii="Arial" w:hAnsi="Arial"/>
      <w:sz w:val="21"/>
      <w:szCs w:val="21"/>
      <w:lang w:val="en-US" w:eastAsia="zh-CN" w:bidi="ar-SA"/>
    </w:rPr>
  </w:style>
  <w:style w:type="paragraph" w:customStyle="1" w:styleId="53">
    <w:name w:val="正文（安华金和）"/>
    <w:link w:val="52"/>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4">
    <w:name w:val="页脚 字符"/>
    <w:autoRedefine/>
    <w:qFormat/>
    <w:uiPriority w:val="99"/>
  </w:style>
  <w:style w:type="character" w:customStyle="1" w:styleId="55">
    <w:name w:val="列出段落 字符"/>
    <w:link w:val="56"/>
    <w:autoRedefine/>
    <w:qFormat/>
    <w:uiPriority w:val="34"/>
    <w:rPr>
      <w:rFonts w:ascii="等线" w:hAnsi="等线" w:eastAsia="等线"/>
      <w:kern w:val="2"/>
      <w:sz w:val="21"/>
      <w:szCs w:val="22"/>
    </w:rPr>
  </w:style>
  <w:style w:type="paragraph" w:styleId="56">
    <w:name w:val="List Paragraph"/>
    <w:basedOn w:val="1"/>
    <w:link w:val="55"/>
    <w:autoRedefine/>
    <w:qFormat/>
    <w:uiPriority w:val="34"/>
    <w:pPr>
      <w:ind w:firstLine="420" w:firstLineChars="200"/>
    </w:pPr>
    <w:rPr>
      <w:rFonts w:ascii="等线" w:hAnsi="等线" w:eastAsia="等线"/>
      <w:szCs w:val="22"/>
      <w:lang w:val="zh-CN" w:eastAsia="zh-CN"/>
    </w:rPr>
  </w:style>
  <w:style w:type="paragraph" w:customStyle="1" w:styleId="57">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8">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9">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60">
    <w:name w:val="_Style 27"/>
    <w:basedOn w:val="1"/>
    <w:next w:val="56"/>
    <w:autoRedefine/>
    <w:qFormat/>
    <w:uiPriority w:val="34"/>
    <w:pPr>
      <w:widowControl/>
      <w:spacing w:line="240" w:lineRule="atLeast"/>
      <w:ind w:firstLine="420" w:firstLineChars="200"/>
    </w:pPr>
    <w:rPr>
      <w:rFonts w:ascii="Arial" w:hAnsi="Arial"/>
      <w:kern w:val="0"/>
      <w:szCs w:val="21"/>
    </w:rPr>
  </w:style>
  <w:style w:type="paragraph" w:customStyle="1" w:styleId="61">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62">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3">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4">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5">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66">
    <w:name w:val="彩色列表 - 着色 11"/>
    <w:basedOn w:val="1"/>
    <w:autoRedefine/>
    <w:qFormat/>
    <w:uiPriority w:val="34"/>
    <w:pPr>
      <w:spacing w:line="360" w:lineRule="auto"/>
      <w:ind w:firstLine="420" w:firstLineChars="200"/>
    </w:pPr>
    <w:rPr>
      <w:rFonts w:ascii="Arial" w:hAnsi="Arial"/>
      <w:szCs w:val="21"/>
    </w:rPr>
  </w:style>
  <w:style w:type="paragraph" w:customStyle="1" w:styleId="67">
    <w:name w:val="表格标注（安华金和）"/>
    <w:basedOn w:val="57"/>
    <w:next w:val="1"/>
    <w:autoRedefine/>
    <w:qFormat/>
    <w:uiPriority w:val="0"/>
    <w:pPr>
      <w:numPr>
        <w:ilvl w:val="7"/>
      </w:numPr>
    </w:pPr>
  </w:style>
  <w:style w:type="paragraph" w:customStyle="1" w:styleId="68">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9">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70">
    <w:name w:val="批注文字 字符"/>
    <w:autoRedefine/>
    <w:qFormat/>
    <w:uiPriority w:val="99"/>
    <w:rPr>
      <w:kern w:val="2"/>
      <w:sz w:val="21"/>
      <w:szCs w:val="24"/>
    </w:rPr>
  </w:style>
  <w:style w:type="paragraph" w:customStyle="1" w:styleId="71">
    <w:name w:val="Other|1"/>
    <w:basedOn w:val="1"/>
    <w:autoRedefine/>
    <w:qFormat/>
    <w:uiPriority w:val="0"/>
    <w:pPr>
      <w:jc w:val="center"/>
    </w:pPr>
    <w:rPr>
      <w:rFonts w:ascii="宋体" w:hAnsi="宋体" w:cs="宋体"/>
      <w:sz w:val="22"/>
      <w:szCs w:val="22"/>
    </w:rPr>
  </w:style>
  <w:style w:type="paragraph" w:customStyle="1" w:styleId="72">
    <w:name w:val="列出段落1"/>
    <w:basedOn w:val="1"/>
    <w:autoRedefine/>
    <w:qFormat/>
    <w:uiPriority w:val="34"/>
    <w:pPr>
      <w:widowControl/>
      <w:ind w:firstLine="420" w:firstLineChars="200"/>
      <w:jc w:val="left"/>
    </w:pPr>
    <w:rPr>
      <w:rFonts w:ascii="宋体" w:hAnsi="宋体" w:cs="宋体"/>
      <w:kern w:val="0"/>
      <w:sz w:val="24"/>
    </w:rPr>
  </w:style>
  <w:style w:type="paragraph" w:customStyle="1" w:styleId="73">
    <w:name w:val="标题-2"/>
    <w:basedOn w:val="1"/>
    <w:next w:val="3"/>
    <w:autoRedefine/>
    <w:qFormat/>
    <w:uiPriority w:val="0"/>
    <w:pPr>
      <w:spacing w:before="50" w:beforeLines="50" w:after="50" w:afterLines="50"/>
      <w:outlineLvl w:val="1"/>
    </w:pPr>
    <w:rPr>
      <w:rFonts w:ascii="宋体" w:hAnsi="宋体"/>
      <w:b/>
      <w:kern w:val="0"/>
      <w:sz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4784</Words>
  <Characters>6637</Characters>
  <Lines>53</Lines>
  <Paragraphs>15</Paragraphs>
  <TotalTime>0</TotalTime>
  <ScaleCrop>false</ScaleCrop>
  <LinksUpToDate>false</LinksUpToDate>
  <CharactersWithSpaces>9885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2022-01-07T02:43:00Z</dcterms:created>
  <dc:creator>陈永辉</dc:creator>
  <cp:lastModifiedBy>梁铭标</cp:lastModifiedBy>
  <dcterms:modified xsi:type="dcterms:W3CDTF">2025-03-17T09:17:22Z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35C2E31CFB1938E535384E65782E47D2_43</vt:lpwstr>
  </property>
  <property fmtid="{D5CDD505-2E9C-101B-9397-08002B2CF9AE}" pid="4" name="KSOTemplateDocerSaveRecord">
    <vt:lpwstr>eyJoZGlkIjoiZmZiZGI0NTU0Y2IzMTE0MjZmNTRhOWYzOTk1NTAyYjEiLCJ1c2VySWQiOiIyNDQ5OTg0MzkifQ==</vt:lpwstr>
  </property>
</Properties>
</file>