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2565">
      <w:pPr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ascii="宋体" w:hAnsi="宋体" w:eastAsia="宋体"/>
          <w:b/>
          <w:bCs/>
          <w:sz w:val="32"/>
          <w:szCs w:val="40"/>
        </w:rPr>
        <w:t>磁共振成像加速增强系统采购项目</w:t>
      </w:r>
    </w:p>
    <w:p w14:paraId="4E50CA04">
      <w:pPr>
        <w:rPr>
          <w:rFonts w:ascii="宋体" w:hAnsi="宋体" w:eastAsia="宋体"/>
          <w:b/>
          <w:bCs/>
          <w:sz w:val="24"/>
          <w:szCs w:val="32"/>
        </w:rPr>
      </w:pPr>
      <w:r>
        <w:rPr>
          <w:rFonts w:hint="eastAsia" w:ascii="宋体" w:hAnsi="宋体" w:eastAsia="宋体"/>
          <w:b/>
          <w:bCs/>
          <w:sz w:val="24"/>
          <w:szCs w:val="32"/>
        </w:rPr>
        <w:t>一、项目名称</w:t>
      </w:r>
    </w:p>
    <w:p w14:paraId="5F7D6EBD">
      <w:pPr>
        <w:rPr>
          <w:rFonts w:ascii="宋体" w:hAnsi="宋体" w:eastAsia="宋体"/>
        </w:rPr>
      </w:pPr>
      <w:r>
        <w:rPr>
          <w:rFonts w:ascii="宋体" w:hAnsi="宋体" w:eastAsia="宋体"/>
        </w:rPr>
        <w:t>磁共振成像加速增强系统采购项目</w:t>
      </w:r>
    </w:p>
    <w:p w14:paraId="07698EAF">
      <w:pPr>
        <w:rPr>
          <w:rFonts w:ascii="宋体" w:hAnsi="宋体" w:eastAsia="宋体"/>
        </w:rPr>
      </w:pPr>
    </w:p>
    <w:p w14:paraId="2B5E772B">
      <w:pPr>
        <w:rPr>
          <w:rFonts w:ascii="宋体" w:hAnsi="宋体" w:eastAsia="宋体"/>
          <w:b/>
          <w:bCs/>
          <w:sz w:val="24"/>
          <w:szCs w:val="32"/>
        </w:rPr>
      </w:pPr>
      <w:r>
        <w:rPr>
          <w:rFonts w:hint="eastAsia" w:ascii="宋体" w:hAnsi="宋体" w:eastAsia="宋体"/>
          <w:b/>
          <w:bCs/>
          <w:sz w:val="24"/>
          <w:szCs w:val="32"/>
        </w:rPr>
        <w:t>二、项目内容</w:t>
      </w:r>
    </w:p>
    <w:p w14:paraId="0D0C1AB3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项目功能如下：</w:t>
      </w:r>
    </w:p>
    <w:tbl>
      <w:tblPr>
        <w:tblStyle w:val="16"/>
        <w:tblW w:w="8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42"/>
        <w:gridCol w:w="3842"/>
      </w:tblGrid>
      <w:tr w14:paraId="692E0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1E85F14">
            <w:pPr>
              <w:spacing w:before="12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3842" w:type="dxa"/>
          </w:tcPr>
          <w:p w14:paraId="069F7E40">
            <w:pPr>
              <w:spacing w:before="12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产品</w:t>
            </w:r>
          </w:p>
        </w:tc>
        <w:tc>
          <w:tcPr>
            <w:tcW w:w="3842" w:type="dxa"/>
          </w:tcPr>
          <w:p w14:paraId="3A945FDA">
            <w:pPr>
              <w:spacing w:before="12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功能模块</w:t>
            </w:r>
          </w:p>
        </w:tc>
      </w:tr>
      <w:tr w14:paraId="08CC6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25367B9C">
            <w:pPr>
              <w:spacing w:before="12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842" w:type="dxa"/>
            <w:vMerge w:val="restart"/>
            <w:vAlign w:val="center"/>
          </w:tcPr>
          <w:p w14:paraId="418965EB">
            <w:pPr>
              <w:spacing w:before="12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磁共振成像加速增强平台</w:t>
            </w:r>
          </w:p>
        </w:tc>
        <w:tc>
          <w:tcPr>
            <w:tcW w:w="3842" w:type="dxa"/>
          </w:tcPr>
          <w:p w14:paraId="3630CA44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DICOM调度器</w:t>
            </w:r>
          </w:p>
        </w:tc>
      </w:tr>
      <w:tr w14:paraId="69ECA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311F2C46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13F25226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524631AD">
            <w:pPr>
              <w:spacing w:before="120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深度学习模块</w:t>
            </w:r>
          </w:p>
        </w:tc>
      </w:tr>
      <w:tr w14:paraId="55BA6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1D98B3E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31BF913B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1D3357C2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卷积神经网络算法</w:t>
            </w:r>
          </w:p>
        </w:tc>
      </w:tr>
      <w:tr w14:paraId="36513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45374910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74FAB2E4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50ADCAFD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图像去噪算法</w:t>
            </w:r>
          </w:p>
        </w:tc>
      </w:tr>
      <w:tr w14:paraId="02AF5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77204B13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2CED12DC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1DF95E9C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图像重建算法</w:t>
            </w:r>
          </w:p>
        </w:tc>
      </w:tr>
      <w:tr w14:paraId="1005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6B41FF3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473A6446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2625B7B5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图像平滑度调节技术</w:t>
            </w:r>
          </w:p>
        </w:tc>
      </w:tr>
      <w:tr w14:paraId="71C7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8EB6BA6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6A8D794C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50734913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图像对比度调节技术</w:t>
            </w:r>
          </w:p>
        </w:tc>
      </w:tr>
      <w:tr w14:paraId="4A4E2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BA8060A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57803598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17FC6F7F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颅脑扫描图像处理技术</w:t>
            </w:r>
          </w:p>
        </w:tc>
      </w:tr>
      <w:tr w14:paraId="6256A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E5C9483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60BA1CA9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5EEA6CA3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椎体扫描图像处理技术</w:t>
            </w:r>
          </w:p>
        </w:tc>
      </w:tr>
      <w:tr w14:paraId="1EF3B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2F34DBFC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19E826FE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7A2CACF2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关节扫描图像处理技术</w:t>
            </w:r>
          </w:p>
        </w:tc>
      </w:tr>
      <w:tr w14:paraId="05A8D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116A5F9C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38E29C52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6893B58D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其他部位扫描图像处理技术</w:t>
            </w:r>
          </w:p>
        </w:tc>
      </w:tr>
      <w:tr w14:paraId="337CA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F0490B1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3D2F7CBD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61D13F77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各部位扫描成像加速后处理技术</w:t>
            </w:r>
          </w:p>
        </w:tc>
      </w:tr>
      <w:tr w14:paraId="17408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0FFEE40C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407F6AB0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732CC2F8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不同序列扫描图像处理技术</w:t>
            </w:r>
          </w:p>
        </w:tc>
      </w:tr>
      <w:tr w14:paraId="40D6B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 w14:paraId="5288ECA3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  <w:vMerge w:val="continue"/>
          </w:tcPr>
          <w:p w14:paraId="69EB139C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3842" w:type="dxa"/>
          </w:tcPr>
          <w:p w14:paraId="7A5C452C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不同场强、机型磁共振兼容模块技术</w:t>
            </w:r>
          </w:p>
        </w:tc>
      </w:tr>
    </w:tbl>
    <w:p w14:paraId="458A88EA">
      <w:pPr>
        <w:rPr>
          <w:rFonts w:ascii="宋体" w:hAnsi="宋体" w:eastAsia="宋体"/>
        </w:rPr>
      </w:pPr>
    </w:p>
    <w:p w14:paraId="609DF4B2">
      <w:pPr>
        <w:rPr>
          <w:rFonts w:ascii="宋体" w:hAnsi="宋体" w:eastAsia="宋体"/>
          <w:b/>
          <w:bCs/>
          <w:sz w:val="24"/>
          <w:szCs w:val="32"/>
        </w:rPr>
      </w:pPr>
      <w:r>
        <w:rPr>
          <w:rFonts w:hint="eastAsia" w:ascii="宋体" w:hAnsi="宋体" w:eastAsia="宋体"/>
          <w:b/>
          <w:bCs/>
          <w:sz w:val="24"/>
          <w:szCs w:val="32"/>
        </w:rPr>
        <w:t>三、详细功能描述</w:t>
      </w:r>
    </w:p>
    <w:p w14:paraId="0D27CD19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3.1.1、模块功能描述</w:t>
      </w:r>
    </w:p>
    <w:tbl>
      <w:tblPr>
        <w:tblStyle w:val="16"/>
        <w:tblW w:w="8301" w:type="dxa"/>
        <w:tblInd w:w="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20"/>
        <w:gridCol w:w="1326"/>
        <w:gridCol w:w="5079"/>
      </w:tblGrid>
      <w:tr w14:paraId="71D4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D1D5">
            <w:pPr>
              <w:spacing w:before="12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4466">
            <w:pPr>
              <w:spacing w:before="120"/>
              <w:jc w:val="center"/>
              <w:rPr>
                <w:rFonts w:ascii="宋体" w:hAnsi="宋体" w:eastAsia="宋体" w:cs="Calibri"/>
                <w:b/>
                <w:bCs/>
                <w:kern w:val="0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</w:rPr>
              <w:t>产品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78AD">
            <w:pPr>
              <w:spacing w:before="120"/>
              <w:jc w:val="center"/>
              <w:rPr>
                <w:rFonts w:ascii="宋体" w:hAnsi="宋体" w:eastAsia="宋体" w:cs="Calibri"/>
                <w:b/>
                <w:bCs/>
                <w:kern w:val="0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</w:rPr>
              <w:t>功能模块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9945">
            <w:pPr>
              <w:spacing w:before="120"/>
              <w:jc w:val="center"/>
              <w:rPr>
                <w:rFonts w:ascii="宋体" w:hAnsi="宋体" w:eastAsia="宋体" w:cs="Calibri"/>
                <w:b/>
                <w:bCs/>
                <w:kern w:val="0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</w:rPr>
              <w:t>功能描述</w:t>
            </w:r>
          </w:p>
        </w:tc>
      </w:tr>
      <w:tr w14:paraId="56BD0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1541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BCBD7A">
            <w:pPr>
              <w:spacing w:before="120"/>
              <w:rPr>
                <w:rFonts w:ascii="宋体" w:hAnsi="宋体" w:eastAsia="宋体"/>
              </w:rPr>
            </w:pPr>
          </w:p>
          <w:p w14:paraId="3ABDB73B">
            <w:pPr>
              <w:spacing w:before="120"/>
              <w:rPr>
                <w:rFonts w:ascii="宋体" w:hAnsi="宋体" w:eastAsia="宋体"/>
              </w:rPr>
            </w:pPr>
          </w:p>
          <w:p w14:paraId="1B2B17F8">
            <w:pPr>
              <w:spacing w:before="120"/>
              <w:rPr>
                <w:rFonts w:ascii="宋体" w:hAnsi="宋体" w:eastAsia="宋体"/>
              </w:rPr>
            </w:pPr>
          </w:p>
          <w:p w14:paraId="5F434E26">
            <w:pPr>
              <w:spacing w:before="120"/>
              <w:rPr>
                <w:rFonts w:ascii="宋体" w:hAnsi="宋体" w:eastAsia="宋体"/>
              </w:rPr>
            </w:pPr>
          </w:p>
          <w:p w14:paraId="722A8629">
            <w:pPr>
              <w:spacing w:before="120"/>
              <w:rPr>
                <w:rFonts w:ascii="宋体" w:hAnsi="宋体" w:eastAsia="宋体"/>
              </w:rPr>
            </w:pPr>
          </w:p>
          <w:p w14:paraId="6469D139">
            <w:pPr>
              <w:spacing w:before="120"/>
              <w:rPr>
                <w:rFonts w:ascii="宋体" w:hAnsi="宋体" w:eastAsia="宋体"/>
              </w:rPr>
            </w:pPr>
          </w:p>
          <w:p w14:paraId="4A8C5B23">
            <w:pPr>
              <w:spacing w:before="120"/>
              <w:rPr>
                <w:rFonts w:ascii="宋体" w:hAnsi="宋体" w:eastAsia="宋体"/>
              </w:rPr>
            </w:pPr>
          </w:p>
          <w:p w14:paraId="059128FB">
            <w:pPr>
              <w:spacing w:before="120"/>
              <w:rPr>
                <w:rFonts w:ascii="宋体" w:hAnsi="宋体" w:eastAsia="宋体"/>
              </w:rPr>
            </w:pPr>
          </w:p>
          <w:p w14:paraId="7E77F7AD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磁共振成像加速增强平台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232C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DICOM调度器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6BA9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</w:t>
            </w:r>
            <w:r>
              <w:rPr>
                <w:rFonts w:hint="eastAsia" w:ascii="宋体" w:hAnsi="宋体" w:eastAsia="宋体"/>
                <w:szCs w:val="21"/>
              </w:rPr>
              <w:t>发送及接收节点、测试&amp;验证节点路由是否通畅（可达性）、接收由合法节点发来的DICOM文件、创建并管理任务列表、在系统处理完任务后，根据需要将结果发至设置好的目标节点、保证发送结果的完整性</w:t>
            </w:r>
          </w:p>
          <w:p w14:paraId="52C0C700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</w:t>
            </w:r>
            <w:r>
              <w:rPr>
                <w:rFonts w:hint="eastAsia" w:ascii="宋体" w:hAnsi="宋体" w:eastAsia="宋体"/>
                <w:szCs w:val="21"/>
              </w:rPr>
              <w:t>数据接口：基于 TCP/IP 协议的标准 DICOM3.0</w:t>
            </w:r>
          </w:p>
          <w:p w14:paraId="2E069188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3.能实现后处理图像回传至磁共振主机进行胶片打印，此功能兼容主流品牌与场强，包括但不限于：GE、西门子、飞利浦、联影</w:t>
            </w:r>
          </w:p>
          <w:p w14:paraId="2B72308B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</w:t>
            </w:r>
            <w:r>
              <w:rPr>
                <w:rFonts w:hint="eastAsia" w:ascii="宋体" w:hAnsi="宋体" w:eastAsia="宋体"/>
                <w:szCs w:val="21"/>
              </w:rPr>
              <w:t>支持与PACS系统接口对接，支持影像数据自动回传PACS系统</w:t>
            </w:r>
          </w:p>
        </w:tc>
      </w:tr>
      <w:tr w14:paraId="07BFD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F5CCD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6803746A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811CB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深度学习模块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CDC0C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1.配合卷积神经网络算法，部署最佳处理参数方案</w:t>
            </w:r>
          </w:p>
          <w:p w14:paraId="053A2B8F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</w:t>
            </w:r>
            <w:r>
              <w:rPr>
                <w:rFonts w:ascii="宋体" w:hAnsi="宋体" w:eastAsia="宋体"/>
                <w:szCs w:val="21"/>
              </w:rPr>
              <w:t>通过残差连接和非线性激活层，利用深度特征恢复高质量图像</w:t>
            </w:r>
          </w:p>
          <w:p w14:paraId="789C2519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3.将不同时间的MRI图像对齐，完成图像配准</w:t>
            </w:r>
          </w:p>
          <w:p w14:paraId="4C0F731C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</w:t>
            </w:r>
            <w:r>
              <w:rPr>
                <w:rFonts w:hint="eastAsia" w:ascii="宋体" w:hAnsi="宋体" w:eastAsia="宋体"/>
              </w:rPr>
              <w:t>在扫描速度提升2倍的情况下，加速相关的深度学习技术可以实现脑部精准定量容积测量。生产厂家科研人员发表的相关科研论文证明</w:t>
            </w:r>
          </w:p>
        </w:tc>
      </w:tr>
      <w:tr w14:paraId="78262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CC4D7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7CE35B75">
            <w:pPr>
              <w:spacing w:before="12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816AB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卷积神经网络算法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EFA22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1.</w:t>
            </w:r>
            <w:r>
              <w:rPr>
                <w:rFonts w:hint="eastAsia" w:ascii="宋体" w:hAnsi="宋体" w:eastAsia="宋体"/>
                <w:szCs w:val="21"/>
              </w:rPr>
              <w:t>提取图像的多层次深度特征信息（病灶大小、层厚、组织形状、灰度等）</w:t>
            </w:r>
          </w:p>
          <w:p w14:paraId="7531B36A">
            <w:pPr>
              <w:spacing w:before="120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2.建立低质量图像到高质量图像的直接映射</w:t>
            </w:r>
          </w:p>
          <w:p w14:paraId="0D4A5832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</w:t>
            </w:r>
            <w:r>
              <w:rPr>
                <w:rFonts w:ascii="宋体" w:hAnsi="宋体" w:eastAsia="宋体"/>
              </w:rPr>
              <w:t>网络中的神经连接点的参数进行数百万次迭代和调整</w:t>
            </w:r>
          </w:p>
        </w:tc>
      </w:tr>
      <w:tr w14:paraId="5FCCF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1605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48A58928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9B088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图像去噪算法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56A37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1.通过深度学习算法，自动识别图像信号与噪声</w:t>
            </w:r>
          </w:p>
          <w:p w14:paraId="1CD62EC5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2.完整保留信号信息，去除多余噪声</w:t>
            </w:r>
          </w:p>
        </w:tc>
      </w:tr>
      <w:tr w14:paraId="6C7E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2FBC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34A8311B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52DAA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图像重建算法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5C1F3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将去噪后并增强后的数据按照预设模型进行图像重建，完成高质量图像输出</w:t>
            </w:r>
          </w:p>
        </w:tc>
      </w:tr>
      <w:tr w14:paraId="1CD14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63F5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05293FFD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AD15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图像平滑度调节技术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153F2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1.自动评估图像噪声水平、伪影、分辨率和扫描参数，通过滤波器输出高标准平滑度图像</w:t>
            </w:r>
          </w:p>
          <w:p w14:paraId="6558DADD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2.可通过设置修改图像平滑处理效果，符合诊断要求</w:t>
            </w:r>
          </w:p>
        </w:tc>
      </w:tr>
      <w:tr w14:paraId="1F3F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BF94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0386B290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345D1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图像对比度调节技术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0F77D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1.调整图像灰度范围，增强图像对比度</w:t>
            </w:r>
          </w:p>
          <w:p w14:paraId="18CA2D7B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2.配合深度学习算法，确保图像质量与对比度的平衡</w:t>
            </w:r>
          </w:p>
        </w:tc>
      </w:tr>
      <w:tr w14:paraId="1E21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5F8F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0E552697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8C339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颅脑扫描图像处理技术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6261E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常规扫描成像、加权成像、FLAIR、DWI、SWI、MRA等图像处理</w:t>
            </w:r>
          </w:p>
        </w:tc>
      </w:tr>
      <w:tr w14:paraId="50E3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C7A9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2B6A1E69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765A7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椎体扫描图像处理技术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3878B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常规扫描成像、加权成像、STIR、DWI、SWI、MRA等图像处理</w:t>
            </w:r>
          </w:p>
        </w:tc>
      </w:tr>
      <w:tr w14:paraId="2B137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1592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7E3F3CDC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A452D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关节扫描图像处理技术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C9F99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常规扫描成像、加权成像、质子密度、STIR、梯度回波、3D成像等图像处理</w:t>
            </w:r>
          </w:p>
        </w:tc>
      </w:tr>
      <w:tr w14:paraId="42C79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7F4E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60C04EC9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6C6E0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其他部位扫描图像处理技术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85CA9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常规扫描成像、加权成像、FLAIR、DWI、SWI、MRA、质子密度、STIR、梯度回波、3D成像等图像处理</w:t>
            </w:r>
          </w:p>
        </w:tc>
      </w:tr>
      <w:tr w14:paraId="2BD35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F83E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7D4CBE2B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vMerge w:val="restart"/>
            <w:tcBorders>
              <w:top w:val="nil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7C17B9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各部位扫描成像加速技术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1318E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产品加速性能，生产厂家科研人员发表的相关科研文献作为佐证：</w:t>
            </w:r>
          </w:p>
          <w:p w14:paraId="4CD3B04C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（1）颅脑 3D T1 </w:t>
            </w:r>
            <w:r>
              <w:rPr>
                <w:rFonts w:ascii="宋体" w:hAnsi="宋体" w:eastAsia="宋体"/>
              </w:rPr>
              <w:t>Precontract</w:t>
            </w:r>
            <w:r>
              <w:rPr>
                <w:rFonts w:hint="eastAsia" w:ascii="宋体" w:hAnsi="宋体" w:eastAsia="宋体"/>
              </w:rPr>
              <w:t xml:space="preserve"> 成像提速≥45%</w:t>
            </w:r>
          </w:p>
          <w:p w14:paraId="285CD914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（2）颅脑 3D T1 Postcontrast 成像提速</w:t>
            </w:r>
            <w:r>
              <w:rPr>
                <w:rFonts w:ascii="宋体" w:hAnsi="宋体" w:eastAsia="宋体"/>
              </w:rPr>
              <w:t>≥</w:t>
            </w:r>
            <w:r>
              <w:rPr>
                <w:rFonts w:hint="eastAsia" w:ascii="宋体" w:hAnsi="宋体" w:eastAsia="宋体"/>
              </w:rPr>
              <w:t>45%</w:t>
            </w:r>
          </w:p>
          <w:p w14:paraId="16C421D6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（3）颅脑 3D T2 FLAIR 成像提速</w:t>
            </w:r>
            <w:r>
              <w:rPr>
                <w:rFonts w:ascii="宋体" w:hAnsi="宋体" w:eastAsia="宋体"/>
              </w:rPr>
              <w:t>≥</w:t>
            </w:r>
            <w:r>
              <w:rPr>
                <w:rFonts w:hint="eastAsia" w:ascii="宋体" w:hAnsi="宋体" w:eastAsia="宋体"/>
              </w:rPr>
              <w:t>44%</w:t>
            </w:r>
          </w:p>
          <w:p w14:paraId="044EA6B7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（4）脊柱成像提速</w:t>
            </w:r>
            <w:r>
              <w:rPr>
                <w:rFonts w:ascii="宋体" w:hAnsi="宋体" w:eastAsia="宋体"/>
              </w:rPr>
              <w:t>≥</w:t>
            </w:r>
            <w:r>
              <w:rPr>
                <w:rFonts w:hint="eastAsia" w:ascii="宋体" w:hAnsi="宋体" w:eastAsia="宋体"/>
              </w:rPr>
              <w:t>40%</w:t>
            </w:r>
          </w:p>
          <w:p w14:paraId="71A6ECB2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（5）其他部位成像提速≥30%</w:t>
            </w:r>
          </w:p>
        </w:tc>
      </w:tr>
      <w:tr w14:paraId="025DE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0D79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1E6D1821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FC2E1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DA7EE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磁共振图像加速技术可以应用于临床，生产厂家科研人员发表的科研文献证明</w:t>
            </w:r>
          </w:p>
          <w:p w14:paraId="76A027F4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（1）</w:t>
            </w:r>
            <w:r>
              <w:rPr>
                <w:rFonts w:hint="eastAsia" w:ascii="宋体" w:hAnsi="宋体" w:eastAsia="宋体"/>
              </w:rPr>
              <w:t>磁共振图像加速技术得到的图像可以应用于图像分类</w:t>
            </w:r>
          </w:p>
          <w:p w14:paraId="7929BB51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（2）</w:t>
            </w:r>
            <w:r>
              <w:rPr>
                <w:rFonts w:hint="eastAsia" w:ascii="宋体" w:hAnsi="宋体" w:eastAsia="宋体"/>
              </w:rPr>
              <w:t>磁共振图像加速技术得到的图像可以应用于疾病诊断的风险评估</w:t>
            </w:r>
          </w:p>
          <w:p w14:paraId="5104000C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（3）磁共振图像加速技术得到的图像可以应用于图像的分割</w:t>
            </w:r>
          </w:p>
          <w:p w14:paraId="21829C4F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（4）磁共振图像加速技术得到的图像可以应用于图像的诊断、预后评估</w:t>
            </w:r>
          </w:p>
          <w:p w14:paraId="2AB35546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（5）磁共振图像加速技术得到的图像可以为卒中、神经退行性疾病设计诊断和分类系统</w:t>
            </w:r>
          </w:p>
          <w:p w14:paraId="3CDB185A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（6）</w:t>
            </w:r>
            <w:r>
              <w:rPr>
                <w:rFonts w:hint="eastAsia" w:ascii="宋体" w:hAnsi="宋体" w:eastAsia="宋体"/>
              </w:rPr>
              <w:t>磁共振图像加速技术得到的图像可以应用于治疗反应的预测</w:t>
            </w:r>
          </w:p>
          <w:p w14:paraId="75C42F77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（7）加速相关的深度学习技术可以用于脑部多发性硬化成像</w:t>
            </w:r>
          </w:p>
        </w:tc>
      </w:tr>
      <w:tr w14:paraId="1386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9053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right w:val="single" w:color="auto" w:sz="4" w:space="0"/>
            </w:tcBorders>
          </w:tcPr>
          <w:p w14:paraId="68FA66A5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16B3C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不同序列扫描图像处理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BC7A6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适用2D和3D自旋回波序列、可选择角度的自旋回波、反转恢复序列、脂肪抑制序列、快速恢复快速自旋回波、快速自由水抑制序列, 包括T1WI和T2WI成像技术、快速反转恢复序列(脂肪,水抑制)、时间飞跃法磁共振血管造影、梯度回波序列(2D/3D), 包括T1和T2加权技术、2D和3D平衡式梯度回波序列(B-FFE,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True-FISP, FIESTA)、弥散加权成像序列</w:t>
            </w:r>
          </w:p>
        </w:tc>
      </w:tr>
      <w:tr w14:paraId="5CB9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76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84C7DB3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2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FF79B">
            <w:pPr>
              <w:spacing w:before="120"/>
              <w:rPr>
                <w:rFonts w:ascii="宋体" w:hAnsi="宋体" w:eastAsia="宋体"/>
              </w:rPr>
            </w:pPr>
          </w:p>
        </w:tc>
        <w:tc>
          <w:tcPr>
            <w:tcW w:w="132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F0370">
            <w:pPr>
              <w:spacing w:before="12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不同场强、机型磁共振兼容模块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5EB01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1.兼容输出标准DICOM协议的常见型号磁共振扫描仪</w:t>
            </w:r>
          </w:p>
          <w:p w14:paraId="38B39723">
            <w:pPr>
              <w:spacing w:line="360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2.兼容1.5T、3.0T等不同场强磁共振扫描仪</w:t>
            </w:r>
          </w:p>
        </w:tc>
      </w:tr>
    </w:tbl>
    <w:p w14:paraId="09186825">
      <w:pPr>
        <w:rPr>
          <w:rFonts w:ascii="宋体" w:hAnsi="宋体" w:eastAsia="宋体"/>
          <w:b/>
          <w:bCs/>
        </w:rPr>
      </w:pPr>
    </w:p>
    <w:p w14:paraId="3C3816B3">
      <w:pPr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四、项目工期</w:t>
      </w:r>
    </w:p>
    <w:p w14:paraId="50EF1ACD">
      <w:pPr>
        <w:pStyle w:val="31"/>
        <w:numPr>
          <w:ilvl w:val="0"/>
          <w:numId w:val="1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自合同签订日起，供应商须在</w:t>
      </w:r>
      <w:r>
        <w:rPr>
          <w:rFonts w:hint="eastAsia" w:ascii="宋体" w:hAnsi="宋体" w:eastAsia="宋体"/>
          <w:u w:val="single"/>
        </w:rPr>
        <w:t xml:space="preserve">  7  </w:t>
      </w:r>
      <w:r>
        <w:rPr>
          <w:rFonts w:hint="eastAsia" w:ascii="宋体" w:hAnsi="宋体" w:eastAsia="宋体"/>
        </w:rPr>
        <w:t>个工作日内完成产品交付。</w:t>
      </w:r>
    </w:p>
    <w:p w14:paraId="50C11316">
      <w:pPr>
        <w:pStyle w:val="31"/>
        <w:numPr>
          <w:ilvl w:val="0"/>
          <w:numId w:val="1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产品交付完成后，供应商须在</w:t>
      </w:r>
      <w:r>
        <w:rPr>
          <w:rFonts w:hint="eastAsia" w:ascii="宋体" w:hAnsi="宋体" w:eastAsia="宋体"/>
          <w:u w:val="single"/>
        </w:rPr>
        <w:t xml:space="preserve">  7 </w:t>
      </w:r>
      <w:r>
        <w:rPr>
          <w:rFonts w:hint="eastAsia" w:ascii="宋体" w:hAnsi="宋体" w:eastAsia="宋体"/>
        </w:rPr>
        <w:t>个工作日内对院方完成产品培训，确保院方正常使用。</w:t>
      </w:r>
    </w:p>
    <w:p w14:paraId="0F0B6211">
      <w:pPr>
        <w:pStyle w:val="31"/>
        <w:numPr>
          <w:ilvl w:val="0"/>
          <w:numId w:val="1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自产品培训完成起，系统运行</w:t>
      </w:r>
      <w:r>
        <w:rPr>
          <w:rFonts w:hint="eastAsia" w:ascii="宋体" w:hAnsi="宋体" w:eastAsia="宋体"/>
          <w:u w:val="single"/>
        </w:rPr>
        <w:t xml:space="preserve">  7  </w:t>
      </w:r>
      <w:r>
        <w:rPr>
          <w:rFonts w:hint="eastAsia" w:ascii="宋体" w:hAnsi="宋体" w:eastAsia="宋体"/>
        </w:rPr>
        <w:t>个工作日后，供应商可以向院方申请验收。</w:t>
      </w:r>
    </w:p>
    <w:p w14:paraId="5F5B5E32">
      <w:pPr>
        <w:pStyle w:val="31"/>
        <w:tabs>
          <w:tab w:val="left" w:pos="780"/>
        </w:tabs>
        <w:spacing w:before="156" w:beforeLines="50" w:line="360" w:lineRule="auto"/>
        <w:ind w:left="567"/>
        <w:outlineLvl w:val="0"/>
        <w:rPr>
          <w:rFonts w:ascii="宋体" w:hAnsi="宋体" w:eastAsia="宋体"/>
        </w:rPr>
      </w:pPr>
    </w:p>
    <w:p w14:paraId="4E73B161">
      <w:pPr>
        <w:tabs>
          <w:tab w:val="left" w:pos="780"/>
        </w:tabs>
        <w:spacing w:before="156" w:beforeLines="50" w:line="360" w:lineRule="auto"/>
        <w:outlineLvl w:val="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五、实施要求</w:t>
      </w:r>
    </w:p>
    <w:p w14:paraId="66A5A3D3">
      <w:pPr>
        <w:pStyle w:val="31"/>
        <w:numPr>
          <w:ilvl w:val="0"/>
          <w:numId w:val="2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项目实为现场实施，工作时间与院方工作时间一致，并且提供7*24小时响应服务。</w:t>
      </w:r>
    </w:p>
    <w:p w14:paraId="416C6437">
      <w:pPr>
        <w:pStyle w:val="31"/>
        <w:numPr>
          <w:ilvl w:val="0"/>
          <w:numId w:val="2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系统需通过院方信息部门组织的安全检查，项目供应商根据检查结果对安全漏洞进行整改。</w:t>
      </w:r>
    </w:p>
    <w:p w14:paraId="22AB4185">
      <w:pPr>
        <w:pStyle w:val="31"/>
        <w:numPr>
          <w:ilvl w:val="0"/>
          <w:numId w:val="2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项目供应商需根据院方的详细需求，提交项目系统的安装、调试及培训实施方案，保证系统按时、正常地投入运行。</w:t>
      </w:r>
    </w:p>
    <w:p w14:paraId="0657349E">
      <w:pPr>
        <w:pStyle w:val="31"/>
        <w:numPr>
          <w:ilvl w:val="0"/>
          <w:numId w:val="2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验收由供应商和院方对照招标配置相关要求进行验收。</w:t>
      </w:r>
    </w:p>
    <w:p w14:paraId="089CE541">
      <w:pPr>
        <w:pStyle w:val="31"/>
        <w:spacing w:before="120"/>
        <w:ind w:left="567"/>
        <w:rPr>
          <w:rFonts w:ascii="宋体" w:hAnsi="宋体" w:eastAsia="宋体"/>
        </w:rPr>
      </w:pPr>
    </w:p>
    <w:p w14:paraId="756457A5">
      <w:pPr>
        <w:spacing w:before="12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六、售后服务及技术支持</w:t>
      </w:r>
    </w:p>
    <w:p w14:paraId="5C317AB3">
      <w:pPr>
        <w:pStyle w:val="31"/>
        <w:numPr>
          <w:ilvl w:val="0"/>
          <w:numId w:val="3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验收后</w:t>
      </w:r>
      <w:r>
        <w:rPr>
          <w:rFonts w:ascii="宋体" w:hAnsi="宋体" w:eastAsia="宋体"/>
          <w:u w:val="single"/>
        </w:rPr>
        <w:t>2</w:t>
      </w:r>
      <w:r>
        <w:rPr>
          <w:rFonts w:hint="eastAsia" w:ascii="宋体" w:hAnsi="宋体" w:eastAsia="宋体"/>
        </w:rPr>
        <w:t>年内免费提供上门维修保养、服务升级为</w:t>
      </w:r>
      <w:r>
        <w:rPr>
          <w:rFonts w:hint="eastAsia" w:ascii="宋体" w:hAnsi="宋体" w:eastAsia="宋体"/>
          <w:u w:val="single"/>
        </w:rPr>
        <w:t xml:space="preserve"> 24 </w:t>
      </w:r>
      <w:r>
        <w:rPr>
          <w:rFonts w:hint="eastAsia" w:ascii="宋体" w:hAnsi="宋体" w:eastAsia="宋体"/>
        </w:rPr>
        <w:t>个月。系统免费维保到期后，按照《维保协议》执行后续维保工作。</w:t>
      </w:r>
    </w:p>
    <w:p w14:paraId="17B7DEB8">
      <w:pPr>
        <w:pStyle w:val="31"/>
        <w:numPr>
          <w:ilvl w:val="0"/>
          <w:numId w:val="3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院方可随时通过即时通讯软件、电话发起问题咨询、反馈意见或寻求协助。供应商服务人员则能迅速响应，提供即时的支持与解决方案。供应商承诺在30分钟内对问题做出迅速响应并反馈院方；线上无法解决的，供应商应在48小时内赶往现场，直至问题解决。</w:t>
      </w:r>
    </w:p>
    <w:p w14:paraId="2262CF70">
      <w:pPr>
        <w:spacing w:before="120"/>
        <w:ind w:left="284"/>
        <w:rPr>
          <w:rFonts w:ascii="宋体" w:hAnsi="宋体" w:eastAsia="宋体"/>
        </w:rPr>
      </w:pPr>
    </w:p>
    <w:p w14:paraId="1037F2E9">
      <w:pPr>
        <w:spacing w:before="120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七、合同款支付方式</w:t>
      </w:r>
    </w:p>
    <w:p w14:paraId="6F8832A2">
      <w:pPr>
        <w:pStyle w:val="31"/>
        <w:numPr>
          <w:ilvl w:val="0"/>
          <w:numId w:val="4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合同签订后，在收到供应商开具相应金额正式发票后，支付合同总金额的</w:t>
      </w:r>
      <w:r>
        <w:rPr>
          <w:rFonts w:hint="eastAsia" w:ascii="宋体" w:hAnsi="宋体" w:eastAsia="宋体"/>
          <w:u w:val="single"/>
        </w:rPr>
        <w:t xml:space="preserve"> 30  </w:t>
      </w:r>
      <w:r>
        <w:rPr>
          <w:rFonts w:hint="eastAsia" w:ascii="宋体" w:hAnsi="宋体" w:eastAsia="宋体"/>
        </w:rPr>
        <w:t>%。</w:t>
      </w:r>
    </w:p>
    <w:p w14:paraId="5862DECC">
      <w:pPr>
        <w:pStyle w:val="31"/>
        <w:numPr>
          <w:ilvl w:val="0"/>
          <w:numId w:val="4"/>
        </w:numPr>
        <w:spacing w:before="120"/>
        <w:ind w:left="567" w:hanging="283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软件验收通过后，在收到供应商开具相应金额正式发票后，支付合同总金额的</w:t>
      </w:r>
      <w:r>
        <w:rPr>
          <w:rFonts w:hint="eastAsia" w:ascii="宋体" w:hAnsi="宋体" w:eastAsia="宋体"/>
          <w:u w:val="single"/>
        </w:rPr>
        <w:t xml:space="preserve"> 70 </w:t>
      </w:r>
      <w:r>
        <w:rPr>
          <w:rFonts w:hint="eastAsia" w:ascii="宋体" w:hAnsi="宋体" w:eastAsia="宋体"/>
        </w:rPr>
        <w:t>%。</w:t>
      </w:r>
    </w:p>
    <w:p w14:paraId="36261B8D">
      <w:pPr>
        <w:spacing w:before="120"/>
        <w:rPr>
          <w:rFonts w:ascii="宋体" w:hAnsi="宋体" w:eastAsia="宋体"/>
        </w:rPr>
      </w:pPr>
    </w:p>
    <w:p w14:paraId="33AB18ED">
      <w:pPr>
        <w:spacing w:before="120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30515"/>
    <w:multiLevelType w:val="multilevel"/>
    <w:tmpl w:val="44D3051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95F0A0A"/>
    <w:multiLevelType w:val="multilevel"/>
    <w:tmpl w:val="495F0A0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C540341"/>
    <w:multiLevelType w:val="multilevel"/>
    <w:tmpl w:val="4C54034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18A54AB"/>
    <w:multiLevelType w:val="multilevel"/>
    <w:tmpl w:val="518A54A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81"/>
    <w:rsid w:val="00032E57"/>
    <w:rsid w:val="00064A3A"/>
    <w:rsid w:val="001324D9"/>
    <w:rsid w:val="00153A48"/>
    <w:rsid w:val="001A5449"/>
    <w:rsid w:val="001D7D65"/>
    <w:rsid w:val="002627A6"/>
    <w:rsid w:val="00297D7C"/>
    <w:rsid w:val="002D6827"/>
    <w:rsid w:val="00327787"/>
    <w:rsid w:val="0035427D"/>
    <w:rsid w:val="00371C73"/>
    <w:rsid w:val="0038062A"/>
    <w:rsid w:val="00484F2D"/>
    <w:rsid w:val="004A0F53"/>
    <w:rsid w:val="004D0C74"/>
    <w:rsid w:val="005E5456"/>
    <w:rsid w:val="00650C8F"/>
    <w:rsid w:val="006A6619"/>
    <w:rsid w:val="00754D09"/>
    <w:rsid w:val="007B4B9F"/>
    <w:rsid w:val="00800E06"/>
    <w:rsid w:val="0084724D"/>
    <w:rsid w:val="00857313"/>
    <w:rsid w:val="00860331"/>
    <w:rsid w:val="008A3D81"/>
    <w:rsid w:val="008A6368"/>
    <w:rsid w:val="008F43F8"/>
    <w:rsid w:val="0097189C"/>
    <w:rsid w:val="0097612C"/>
    <w:rsid w:val="00987B27"/>
    <w:rsid w:val="009B4415"/>
    <w:rsid w:val="009D2B14"/>
    <w:rsid w:val="009D719E"/>
    <w:rsid w:val="00A20007"/>
    <w:rsid w:val="00A84CD2"/>
    <w:rsid w:val="00B11F1E"/>
    <w:rsid w:val="00C03BAB"/>
    <w:rsid w:val="00C962F4"/>
    <w:rsid w:val="00CA4041"/>
    <w:rsid w:val="00CD35B9"/>
    <w:rsid w:val="00D775AD"/>
    <w:rsid w:val="00DA3E90"/>
    <w:rsid w:val="00DE261F"/>
    <w:rsid w:val="00DE4177"/>
    <w:rsid w:val="00E74256"/>
    <w:rsid w:val="00EE65A8"/>
    <w:rsid w:val="00EF10DE"/>
    <w:rsid w:val="00F43160"/>
    <w:rsid w:val="00F6188C"/>
    <w:rsid w:val="00FB54DC"/>
    <w:rsid w:val="117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autoRedefine/>
    <w:unhideWhenUsed/>
    <w:qFormat/>
    <w:uiPriority w:val="99"/>
    <w:pPr>
      <w:widowControl/>
      <w:tabs>
        <w:tab w:val="left" w:pos="780"/>
      </w:tabs>
      <w:spacing w:before="100" w:beforeLines="50" w:beforeAutospacing="1" w:after="100" w:afterAutospacing="1" w:line="360" w:lineRule="auto"/>
      <w:ind w:firstLine="420" w:firstLineChars="200"/>
      <w:jc w:val="left"/>
      <w:outlineLvl w:val="0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Char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link w:val="36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Char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列出段落 Char"/>
    <w:link w:val="31"/>
    <w:autoRedefine/>
    <w:qFormat/>
    <w:uiPriority w:val="34"/>
  </w:style>
  <w:style w:type="character" w:customStyle="1" w:styleId="37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Char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2088</Words>
  <Characters>2280</Characters>
  <Lines>17</Lines>
  <Paragraphs>5</Paragraphs>
  <TotalTime>3</TotalTime>
  <ScaleCrop>false</ScaleCrop>
  <LinksUpToDate>false</LinksUpToDate>
  <CharactersWithSpaces>2317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2025-03-17T03:05:00Z</dcterms:created>
  <dc:creator>Yong Xu</dc:creator>
  <cp:lastModifiedBy>睿</cp:lastModifiedBy>
  <dcterms:modified xsi:type="dcterms:W3CDTF">2025-03-24T07:22:46Z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eyJoZGlkIjoiMGFlMmViMzlkMGY5NzgwZDFiNzZkZThiMGQwMzk2MTAiLCJ1c2VySWQiOiIyOTAwMTUwMTQifQ==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87594109810B4DC29A17AC091C8B06A9_12</vt:lpwstr>
  </property>
</Properties>
</file>