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78930">
      <w:pPr>
        <w:spacing w:before="624" w:beforeLines="200" w:after="312" w:afterLines="100" w:line="360" w:lineRule="auto"/>
        <w:jc w:val="center"/>
        <w:rPr>
          <w:rFonts w:ascii="宋体" w:hAnsi="宋体"/>
          <w:b/>
          <w:sz w:val="44"/>
          <w:szCs w:val="30"/>
        </w:rPr>
      </w:pPr>
      <w:bookmarkStart w:id="2" w:name="_GoBack"/>
      <w:bookmarkEnd w:id="2"/>
      <w:r>
        <w:rPr>
          <w:rFonts w:hint="eastAsia" w:ascii="Segoe UI" w:hAnsi="Segoe UI" w:eastAsia="Segoe UI" w:cs="Segoe UI"/>
          <w:b/>
          <w:bCs/>
          <w:i w:val="0"/>
          <w:iCs w:val="0"/>
          <w:caps w:val="0"/>
          <w:spacing w:val="0"/>
          <w:sz w:val="44"/>
          <w:szCs w:val="44"/>
          <w:shd w:val="clear" w:fill="F9FAFB"/>
        </w:rPr>
        <w:t>输血系统无纸化闭环流程升级改造项目</w:t>
      </w:r>
    </w:p>
    <w:p w14:paraId="581BD7D5">
      <w:pPr>
        <w:pStyle w:val="3"/>
        <w:numPr>
          <w:ilvl w:val="0"/>
          <w:numId w:val="3"/>
        </w:numPr>
        <w:spacing w:before="0" w:after="0"/>
        <w:rPr>
          <w:rFonts w:ascii="宋体" w:hAnsi="宋体"/>
          <w:sz w:val="32"/>
          <w:szCs w:val="32"/>
        </w:rPr>
      </w:pPr>
      <w:r>
        <w:rPr>
          <w:rFonts w:hint="eastAsia" w:ascii="宋体" w:hAnsi="宋体"/>
          <w:sz w:val="32"/>
          <w:szCs w:val="32"/>
        </w:rPr>
        <w:t>项目名称</w:t>
      </w:r>
    </w:p>
    <w:p w14:paraId="222BD36A">
      <w:pPr>
        <w:spacing w:line="360" w:lineRule="auto"/>
        <w:ind w:left="432"/>
        <w:rPr>
          <w:rFonts w:hint="default" w:ascii="宋体" w:hAnsi="宋体" w:eastAsia="宋体"/>
          <w:sz w:val="22"/>
          <w:lang w:val="en-US" w:eastAsia="zh-CN"/>
        </w:rPr>
      </w:pPr>
      <w:r>
        <w:rPr>
          <w:rFonts w:hint="eastAsia" w:ascii="宋体" w:hAnsi="宋体"/>
          <w:sz w:val="22"/>
        </w:rPr>
        <w:t>项目名称：输血系统无纸化闭环流程升级改造项目</w:t>
      </w:r>
    </w:p>
    <w:p w14:paraId="55F412A0">
      <w:pPr>
        <w:pStyle w:val="3"/>
        <w:numPr>
          <w:ilvl w:val="0"/>
          <w:numId w:val="0"/>
        </w:numPr>
        <w:spacing w:before="0" w:after="0"/>
        <w:rPr>
          <w:rFonts w:ascii="宋体" w:hAnsi="宋体"/>
          <w:sz w:val="32"/>
          <w:szCs w:val="32"/>
        </w:rPr>
      </w:pPr>
    </w:p>
    <w:p w14:paraId="0C56E920">
      <w:pPr>
        <w:pStyle w:val="3"/>
        <w:numPr>
          <w:ilvl w:val="0"/>
          <w:numId w:val="3"/>
        </w:numPr>
        <w:spacing w:before="0" w:after="0"/>
        <w:rPr>
          <w:rFonts w:hint="eastAsia" w:ascii="宋体" w:hAnsi="宋体" w:eastAsia="宋体"/>
          <w:sz w:val="24"/>
          <w:szCs w:val="24"/>
          <w:lang w:eastAsia="zh-CN"/>
        </w:rPr>
      </w:pPr>
      <w:r>
        <w:rPr>
          <w:rFonts w:hint="eastAsia" w:ascii="宋体" w:hAnsi="宋体"/>
          <w:sz w:val="32"/>
          <w:szCs w:val="32"/>
          <w:lang w:val="en-US" w:eastAsia="zh-CN"/>
        </w:rPr>
        <w:t>项目内容</w:t>
      </w:r>
      <w:bookmarkStart w:id="0" w:name="_6.1.1、大数据服务器"/>
      <w:bookmarkEnd w:id="0"/>
    </w:p>
    <w:p w14:paraId="2A610D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621"/>
        <w:gridCol w:w="6701"/>
      </w:tblGrid>
      <w:tr w14:paraId="7A6B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482CC34">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rPr>
              <w:t>序号</w:t>
            </w:r>
          </w:p>
        </w:tc>
        <w:tc>
          <w:tcPr>
            <w:tcW w:w="903" w:type="pct"/>
            <w:vAlign w:val="center"/>
          </w:tcPr>
          <w:p w14:paraId="7DEF540B">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rPr>
              <w:t>功能</w:t>
            </w:r>
          </w:p>
        </w:tc>
        <w:tc>
          <w:tcPr>
            <w:tcW w:w="3733" w:type="pct"/>
            <w:vAlign w:val="center"/>
          </w:tcPr>
          <w:p w14:paraId="78BCB1D6">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rPr>
              <w:t>功能描述</w:t>
            </w:r>
          </w:p>
        </w:tc>
      </w:tr>
      <w:tr w14:paraId="6419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D47676D">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rPr>
              <w:t>1</w:t>
            </w:r>
          </w:p>
        </w:tc>
        <w:tc>
          <w:tcPr>
            <w:tcW w:w="903" w:type="pct"/>
            <w:vAlign w:val="center"/>
          </w:tcPr>
          <w:p w14:paraId="28970E5E">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触发输血医嘱模块</w:t>
            </w:r>
          </w:p>
        </w:tc>
        <w:tc>
          <w:tcPr>
            <w:tcW w:w="3733" w:type="pct"/>
            <w:vAlign w:val="center"/>
          </w:tcPr>
          <w:p w14:paraId="1C4691CC">
            <w:pPr>
              <w:numPr>
                <w:ilvl w:val="0"/>
                <w:numId w:val="4"/>
              </w:numPr>
              <w:bidi w:val="0"/>
              <w:spacing w:line="360" w:lineRule="auto"/>
              <w:rPr>
                <w:rFonts w:hint="default"/>
                <w:lang w:val="en-US" w:eastAsia="zh-CN"/>
              </w:rPr>
            </w:pPr>
            <w:r>
              <w:rPr>
                <w:rFonts w:hint="eastAsia"/>
                <w:lang w:val="en-US" w:eastAsia="zh-CN"/>
              </w:rPr>
              <w:t>系统集成架构设计与消息交互协议定义：集成至医院现有信息系统，关联输血管理系统与医生工作站，并按照HL</w:t>
            </w:r>
            <w:r>
              <w:rPr>
                <w:rFonts w:ascii="Segoe UI" w:hAnsi="Segoe UI" w:eastAsia="Segoe UI" w:cs="Segoe UI"/>
                <w:i w:val="0"/>
                <w:iCs w:val="0"/>
                <w:caps w:val="0"/>
                <w:spacing w:val="0"/>
                <w:sz w:val="24"/>
                <w:szCs w:val="24"/>
                <w:shd w:val="clear" w:fill="F9FAFB"/>
              </w:rPr>
              <w:t> </w:t>
            </w:r>
            <w:r>
              <w:rPr>
                <w:rFonts w:hint="default" w:ascii="Segoe UI" w:hAnsi="Segoe UI" w:eastAsia="Segoe UI" w:cs="Segoe UI"/>
                <w:i w:val="0"/>
                <w:iCs w:val="0"/>
                <w:caps w:val="0"/>
                <w:spacing w:val="0"/>
                <w:sz w:val="24"/>
                <w:szCs w:val="24"/>
                <w:shd w:val="clear" w:fill="F9FAFB"/>
              </w:rPr>
              <w:t>FHIR R4 消息标准</w:t>
            </w:r>
            <w:r>
              <w:rPr>
                <w:rFonts w:hint="eastAsia"/>
                <w:lang w:val="en-US" w:eastAsia="zh-CN"/>
              </w:rPr>
              <w:t>的格式传达发血完成的消息类型。</w:t>
            </w:r>
          </w:p>
          <w:p w14:paraId="22588D80">
            <w:pPr>
              <w:numPr>
                <w:ilvl w:val="0"/>
                <w:numId w:val="4"/>
              </w:numPr>
              <w:bidi w:val="0"/>
              <w:spacing w:line="360" w:lineRule="auto"/>
              <w:rPr>
                <w:rFonts w:hint="default"/>
                <w:lang w:val="en-US" w:eastAsia="zh-CN"/>
              </w:rPr>
            </w:pPr>
            <w:r>
              <w:rPr>
                <w:rFonts w:hint="eastAsia"/>
                <w:lang w:val="en-US" w:eastAsia="zh-CN"/>
              </w:rPr>
              <w:t>发送通知并接受处理：一旦输血管理系统发血操作完成，系统自动生成一条遵循上述消息类型的电子通知，并将其发送到HIS系统或其他指定的目标系统中。HIS系统接收到这条消息后，须解析其内容，并在医生的工作站上弹出相应的提示信息。</w:t>
            </w:r>
          </w:p>
          <w:p w14:paraId="06877E65">
            <w:pPr>
              <w:numPr>
                <w:ilvl w:val="0"/>
                <w:numId w:val="4"/>
              </w:numPr>
              <w:bidi w:val="0"/>
              <w:spacing w:line="360" w:lineRule="auto"/>
              <w:rPr>
                <w:rFonts w:hint="default"/>
                <w:lang w:val="en-US" w:eastAsia="zh-CN"/>
              </w:rPr>
            </w:pPr>
            <w:r>
              <w:rPr>
                <w:rFonts w:hint="eastAsia"/>
                <w:lang w:val="en-US" w:eastAsia="zh-CN"/>
              </w:rPr>
              <w:t>执行医嘱与记录：医生可根据收到的信息开具用血医嘱，且所有的操作都会被详细记录下来。</w:t>
            </w:r>
          </w:p>
        </w:tc>
      </w:tr>
      <w:tr w14:paraId="1D7D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4BBFE4F">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03" w:type="pct"/>
            <w:vAlign w:val="center"/>
          </w:tcPr>
          <w:p w14:paraId="1BE702B4">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用血申请查询模块</w:t>
            </w:r>
          </w:p>
        </w:tc>
        <w:tc>
          <w:tcPr>
            <w:tcW w:w="3733" w:type="pct"/>
            <w:vAlign w:val="center"/>
          </w:tcPr>
          <w:p w14:paraId="779991C7">
            <w:pPr>
              <w:numPr>
                <w:ilvl w:val="0"/>
                <w:numId w:val="5"/>
              </w:numPr>
              <w:bidi w:val="0"/>
              <w:spacing w:line="360" w:lineRule="auto"/>
              <w:rPr>
                <w:rFonts w:hint="eastAsia"/>
                <w:lang w:val="en-US" w:eastAsia="zh-CN"/>
              </w:rPr>
            </w:pPr>
            <w:r>
              <w:rPr>
                <w:rFonts w:ascii="Segoe UI" w:hAnsi="Segoe UI" w:eastAsia="Segoe UI" w:cs="Segoe UI"/>
                <w:i w:val="0"/>
                <w:iCs w:val="0"/>
                <w:caps w:val="0"/>
                <w:spacing w:val="0"/>
                <w:sz w:val="24"/>
                <w:szCs w:val="24"/>
                <w:shd w:val="clear" w:fill="F9FAFB"/>
              </w:rPr>
              <w:t>临床用血申请数据视图构建</w:t>
            </w:r>
            <w:r>
              <w:rPr>
                <w:rFonts w:hint="eastAsia"/>
                <w:lang w:val="en-US" w:eastAsia="zh-CN"/>
              </w:rPr>
              <w:t>：提供查询数据库视图，用于存储和展示与用血申请相关的数据。这个视图包含必要的字段，例如就诊号、申请单号、血袋号、配血完成时间、血袋容量、单位等，以便于快速定位特定的申请记录。</w:t>
            </w:r>
          </w:p>
          <w:p w14:paraId="74E21BEA">
            <w:pPr>
              <w:numPr>
                <w:ilvl w:val="0"/>
                <w:numId w:val="5"/>
              </w:numPr>
              <w:bidi w:val="0"/>
              <w:spacing w:line="360" w:lineRule="auto"/>
              <w:rPr>
                <w:rFonts w:hint="eastAsia"/>
                <w:lang w:val="en-US" w:eastAsia="zh-CN"/>
              </w:rPr>
            </w:pPr>
            <w:r>
              <w:rPr>
                <w:rFonts w:hint="eastAsia"/>
                <w:lang w:val="en-US" w:eastAsia="zh-CN"/>
              </w:rPr>
              <w:t>与HIS系统接口：实现与HIS系统的接口对接，供HIS系统调用，同步用血申请信息，记录用血医嘱和血袋号的关联关系</w:t>
            </w:r>
          </w:p>
          <w:p w14:paraId="2AE50712">
            <w:pPr>
              <w:numPr>
                <w:ilvl w:val="0"/>
                <w:numId w:val="5"/>
              </w:numPr>
              <w:bidi w:val="0"/>
              <w:spacing w:line="360" w:lineRule="auto"/>
              <w:rPr>
                <w:rFonts w:hint="eastAsia" w:ascii="宋体" w:hAnsi="宋体" w:eastAsia="宋体" w:cs="宋体"/>
                <w:szCs w:val="21"/>
                <w:lang w:eastAsia="zh-CN"/>
              </w:rPr>
            </w:pPr>
            <w:r>
              <w:rPr>
                <w:rFonts w:hint="eastAsia"/>
                <w:lang w:val="en-US" w:eastAsia="zh-CN"/>
              </w:rPr>
              <w:t>血袋单位赋值与转换：HIS系统需接收血袋单位定义，并可根据此值对应的单位进行赋值。</w:t>
            </w:r>
          </w:p>
        </w:tc>
      </w:tr>
      <w:tr w14:paraId="4316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F61F0CC">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903" w:type="pct"/>
            <w:vAlign w:val="center"/>
          </w:tcPr>
          <w:p w14:paraId="4D114F93">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特殊用血管理模块</w:t>
            </w:r>
          </w:p>
        </w:tc>
        <w:tc>
          <w:tcPr>
            <w:tcW w:w="3733" w:type="pct"/>
            <w:vAlign w:val="center"/>
          </w:tcPr>
          <w:p w14:paraId="75D7A618">
            <w:pPr>
              <w:bidi w:val="0"/>
              <w:spacing w:line="360" w:lineRule="auto"/>
              <w:rPr>
                <w:rFonts w:hint="eastAsia"/>
                <w:lang w:val="en-US" w:eastAsia="zh-CN"/>
              </w:rPr>
            </w:pPr>
            <w:r>
              <w:rPr>
                <w:rFonts w:hint="default"/>
                <w:lang w:val="en-US" w:eastAsia="zh-CN"/>
              </w:rPr>
              <w:t>特殊用血通常指的是那些不符合标准输血指南或常规输血流程的情况，对于特殊用血申请，</w:t>
            </w:r>
            <w:r>
              <w:rPr>
                <w:rFonts w:hint="eastAsia"/>
                <w:lang w:val="en-US" w:eastAsia="zh-CN"/>
              </w:rPr>
              <w:t>将</w:t>
            </w:r>
            <w:r>
              <w:rPr>
                <w:rFonts w:hint="default"/>
                <w:lang w:val="en-US" w:eastAsia="zh-CN"/>
              </w:rPr>
              <w:t>建立严格的预先审批机制。</w:t>
            </w:r>
            <w:r>
              <w:rPr>
                <w:rFonts w:hint="eastAsia"/>
                <w:lang w:val="en-US" w:eastAsia="zh-CN"/>
              </w:rPr>
              <w:t>适用场景如：</w:t>
            </w:r>
            <w:r>
              <w:rPr>
                <w:rFonts w:ascii="Segoe UI" w:hAnsi="Segoe UI" w:eastAsia="Segoe UI" w:cs="Segoe UI"/>
                <w:i w:val="0"/>
                <w:iCs w:val="0"/>
                <w:caps w:val="0"/>
                <w:spacing w:val="0"/>
                <w:sz w:val="24"/>
                <w:szCs w:val="24"/>
                <w:shd w:val="clear" w:fill="F9FAFB"/>
              </w:rPr>
              <w:t>紧急用血（含创伤急救）、造血干细胞移植用血、新生儿溶血病用血</w:t>
            </w:r>
            <w:r>
              <w:rPr>
                <w:rFonts w:hint="eastAsia"/>
                <w:lang w:val="en-US" w:eastAsia="zh-CN"/>
              </w:rPr>
              <w:t>及其他特殊情况，出现的非同型输注或者输血指征不完全满足情况下的特殊用血申请与审批</w:t>
            </w:r>
          </w:p>
          <w:p w14:paraId="625E8C95">
            <w:pPr>
              <w:numPr>
                <w:ilvl w:val="0"/>
                <w:numId w:val="6"/>
              </w:numPr>
              <w:bidi w:val="0"/>
              <w:spacing w:line="360" w:lineRule="auto"/>
              <w:rPr>
                <w:rFonts w:hint="default"/>
                <w:lang w:val="en-US" w:eastAsia="zh-CN"/>
              </w:rPr>
            </w:pPr>
            <w:r>
              <w:rPr>
                <w:rFonts w:hint="default"/>
                <w:lang w:val="en-US" w:eastAsia="zh-CN"/>
              </w:rPr>
              <w:t>所有的特殊用血操作均符合国家或地区的相关法律法规要求。</w:t>
            </w:r>
            <w:r>
              <w:rPr>
                <w:rFonts w:hint="eastAsia"/>
                <w:lang w:val="en-US" w:eastAsia="zh-CN"/>
              </w:rPr>
              <w:t>、</w:t>
            </w:r>
          </w:p>
          <w:p w14:paraId="28DB59D7">
            <w:pPr>
              <w:numPr>
                <w:ilvl w:val="0"/>
                <w:numId w:val="6"/>
              </w:numPr>
              <w:bidi w:val="0"/>
              <w:spacing w:line="360" w:lineRule="auto"/>
              <w:rPr>
                <w:rFonts w:hint="default"/>
                <w:lang w:val="en-US" w:eastAsia="zh-CN"/>
              </w:rPr>
            </w:pPr>
            <w:r>
              <w:rPr>
                <w:rFonts w:hint="default"/>
                <w:lang w:val="en-US" w:eastAsia="zh-CN"/>
              </w:rPr>
              <w:t>明确指征：制定特殊用血指征</w:t>
            </w:r>
            <w:r>
              <w:rPr>
                <w:rFonts w:hint="eastAsia"/>
                <w:lang w:val="en-US" w:eastAsia="zh-CN"/>
              </w:rPr>
              <w:t>场景与指南</w:t>
            </w:r>
            <w:r>
              <w:rPr>
                <w:rFonts w:hint="default"/>
                <w:lang w:val="en-US" w:eastAsia="zh-CN"/>
              </w:rPr>
              <w:t>，确保只有在确实无法通过常规手段解决问题时才考虑特殊用血。</w:t>
            </w:r>
          </w:p>
        </w:tc>
      </w:tr>
      <w:tr w14:paraId="0F25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AF3A83C">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03" w:type="pct"/>
            <w:vAlign w:val="center"/>
          </w:tcPr>
          <w:p w14:paraId="083B2108">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ascii="Segoe UI" w:hAnsi="Segoe UI" w:eastAsia="Segoe UI" w:cs="Segoe UI"/>
                <w:i w:val="0"/>
                <w:iCs w:val="0"/>
                <w:caps w:val="0"/>
                <w:spacing w:val="0"/>
                <w:sz w:val="24"/>
                <w:szCs w:val="24"/>
                <w:shd w:val="clear" w:fill="F9FAFB"/>
              </w:rPr>
              <w:t>电子签名与归档模块</w:t>
            </w:r>
          </w:p>
        </w:tc>
        <w:tc>
          <w:tcPr>
            <w:tcW w:w="3733" w:type="pct"/>
            <w:vAlign w:val="center"/>
          </w:tcPr>
          <w:p w14:paraId="6CECADA9">
            <w:pPr>
              <w:numPr>
                <w:ilvl w:val="0"/>
                <w:numId w:val="7"/>
              </w:numPr>
              <w:bidi w:val="0"/>
              <w:spacing w:line="360" w:lineRule="auto"/>
              <w:rPr>
                <w:rFonts w:hint="default"/>
                <w:lang w:val="en-US" w:eastAsia="zh-CN"/>
              </w:rPr>
            </w:pPr>
            <w:r>
              <w:rPr>
                <w:rFonts w:ascii="Segoe UI" w:hAnsi="Segoe UI" w:eastAsia="Segoe UI" w:cs="Segoe UI"/>
                <w:i w:val="0"/>
                <w:iCs w:val="0"/>
                <w:caps w:val="0"/>
                <w:spacing w:val="0"/>
                <w:sz w:val="24"/>
                <w:szCs w:val="24"/>
                <w:shd w:val="clear" w:fill="F9FAFB"/>
              </w:rPr>
              <w:t>电子认证服务集成</w:t>
            </w:r>
            <w:r>
              <w:rPr>
                <w:rFonts w:hint="eastAsia"/>
                <w:lang w:val="en-US" w:eastAsia="zh-CN"/>
              </w:rPr>
              <w:t>：根据医院的选定的CA服务，开发API接口将系统与CA服务提供商进行集成，实现从生成签名请求到接收签名证书的一系列流程自动化。</w:t>
            </w:r>
          </w:p>
          <w:p w14:paraId="6223E9B6">
            <w:pPr>
              <w:numPr>
                <w:ilvl w:val="0"/>
                <w:numId w:val="7"/>
              </w:numPr>
              <w:bidi w:val="0"/>
              <w:spacing w:line="360" w:lineRule="auto"/>
              <w:ind w:left="0" w:leftChars="0" w:firstLine="0" w:firstLineChars="0"/>
              <w:rPr>
                <w:rFonts w:hint="default"/>
                <w:lang w:val="en-US" w:eastAsia="zh-CN"/>
              </w:rPr>
            </w:pPr>
            <w:r>
              <w:rPr>
                <w:rFonts w:hint="eastAsia"/>
                <w:lang w:val="en-US" w:eastAsia="zh-CN"/>
              </w:rPr>
              <w:t>签名请求：在医生工作站、护士以及输血科室设置验证机制，当完成输血医嘱、标本交接、审核等工作后，在提交前需要经过电子签名确认，系统自动生成签名请求，并在后台无缝地完成签名过程。</w:t>
            </w:r>
          </w:p>
          <w:p w14:paraId="51112D92">
            <w:pPr>
              <w:numPr>
                <w:ilvl w:val="0"/>
                <w:numId w:val="7"/>
              </w:numPr>
              <w:bidi w:val="0"/>
              <w:spacing w:line="360" w:lineRule="auto"/>
              <w:ind w:left="0" w:leftChars="0" w:firstLine="0" w:firstLineChars="0"/>
              <w:rPr>
                <w:rFonts w:hint="default"/>
                <w:lang w:val="en-US" w:eastAsia="zh-CN"/>
              </w:rPr>
            </w:pPr>
            <w:r>
              <w:rPr>
                <w:rFonts w:hint="eastAsia"/>
                <w:lang w:val="en-US" w:eastAsia="zh-CN"/>
              </w:rPr>
              <w:t>文档归档管理：各科室的签名将在后台储存，且为</w:t>
            </w:r>
            <w:r>
              <w:rPr>
                <w:rFonts w:hint="default"/>
                <w:lang w:val="en-US" w:eastAsia="zh-CN"/>
              </w:rPr>
              <w:t>减少人工干预，将已签名的临床发血单存入档案库。</w:t>
            </w:r>
          </w:p>
        </w:tc>
      </w:tr>
      <w:tr w14:paraId="38D3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CEB4CF2">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903" w:type="pct"/>
            <w:vAlign w:val="center"/>
          </w:tcPr>
          <w:p w14:paraId="5A779264">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输血申请</w:t>
            </w:r>
          </w:p>
        </w:tc>
        <w:tc>
          <w:tcPr>
            <w:tcW w:w="3733" w:type="pct"/>
            <w:vAlign w:val="center"/>
          </w:tcPr>
          <w:p w14:paraId="338A8938">
            <w:pPr>
              <w:keepNext w:val="0"/>
              <w:keepLines w:val="0"/>
              <w:pageBreakBefore w:val="0"/>
              <w:widowControl w:val="0"/>
              <w:numPr>
                <w:ilvl w:val="0"/>
                <w:numId w:val="8"/>
              </w:numPr>
              <w:tabs>
                <w:tab w:val="left" w:pos="780"/>
              </w:tabs>
              <w:kinsoku/>
              <w:wordWrap/>
              <w:overflowPunct/>
              <w:topLinePunct w:val="0"/>
              <w:autoSpaceDE/>
              <w:autoSpaceDN/>
              <w:bidi w:val="0"/>
              <w:adjustRightInd/>
              <w:snapToGrid/>
              <w:spacing w:before="156" w:beforeLines="50" w:line="360" w:lineRule="auto"/>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界面调整：</w:t>
            </w:r>
            <w:r>
              <w:rPr>
                <w:rFonts w:hint="eastAsia" w:ascii="宋体" w:hAnsi="宋体" w:eastAsia="宋体" w:cs="宋体"/>
                <w:szCs w:val="21"/>
                <w:lang w:val="en-US" w:eastAsia="zh-CN"/>
              </w:rPr>
              <w:t>改进输血申请界面，使其能够自动抓取患者的首要诊断信息</w:t>
            </w:r>
            <w:r>
              <w:rPr>
                <w:rFonts w:hint="eastAsia" w:ascii="宋体" w:hAnsi="宋体" w:cs="宋体"/>
                <w:szCs w:val="21"/>
                <w:lang w:val="en-US" w:eastAsia="zh-CN"/>
              </w:rPr>
              <w:t>，并</w:t>
            </w:r>
            <w:r>
              <w:rPr>
                <w:rFonts w:hint="eastAsia" w:ascii="宋体" w:hAnsi="宋体" w:eastAsia="宋体" w:cs="宋体"/>
                <w:szCs w:val="21"/>
                <w:lang w:val="en-US" w:eastAsia="zh-CN"/>
              </w:rPr>
              <w:t>去除不必要的字段限制，允许更灵活地输入临床表现。</w:t>
            </w:r>
          </w:p>
          <w:p w14:paraId="4A1A258D">
            <w:pPr>
              <w:keepNext w:val="0"/>
              <w:keepLines w:val="0"/>
              <w:pageBreakBefore w:val="0"/>
              <w:widowControl w:val="0"/>
              <w:numPr>
                <w:ilvl w:val="0"/>
                <w:numId w:val="8"/>
              </w:numPr>
              <w:tabs>
                <w:tab w:val="left" w:pos="780"/>
              </w:tabs>
              <w:kinsoku/>
              <w:wordWrap/>
              <w:overflowPunct/>
              <w:topLinePunct w:val="0"/>
              <w:autoSpaceDE/>
              <w:autoSpaceDN/>
              <w:bidi w:val="0"/>
              <w:adjustRightInd/>
              <w:snapToGrid/>
              <w:spacing w:before="156" w:beforeLines="50" w:line="360" w:lineRule="auto"/>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优化交互：</w:t>
            </w:r>
            <w:r>
              <w:rPr>
                <w:rFonts w:hint="eastAsia" w:ascii="宋体" w:hAnsi="宋体" w:eastAsia="宋体" w:cs="宋体"/>
                <w:szCs w:val="21"/>
                <w:lang w:val="en-US" w:eastAsia="zh-CN"/>
              </w:rPr>
              <w:t>优化与LIS系统的数据交互逻辑，</w:t>
            </w:r>
            <w:r>
              <w:rPr>
                <w:rFonts w:hint="eastAsia" w:ascii="宋体" w:hAnsi="宋体" w:cs="宋体"/>
                <w:szCs w:val="21"/>
                <w:lang w:val="en-US" w:eastAsia="zh-CN"/>
              </w:rPr>
              <w:t>临床表现增加选项罗列与勾选，对接LIS检验结果数据采集，</w:t>
            </w:r>
            <w:r>
              <w:rPr>
                <w:rFonts w:hint="eastAsia" w:ascii="宋体" w:hAnsi="宋体" w:eastAsia="宋体" w:cs="宋体"/>
                <w:szCs w:val="21"/>
                <w:lang w:val="en-US" w:eastAsia="zh-CN"/>
              </w:rPr>
              <w:t>确保检验结果的完整获取。</w:t>
            </w:r>
          </w:p>
          <w:p w14:paraId="3AA2A43E">
            <w:pPr>
              <w:keepNext w:val="0"/>
              <w:keepLines w:val="0"/>
              <w:pageBreakBefore w:val="0"/>
              <w:widowControl w:val="0"/>
              <w:numPr>
                <w:ilvl w:val="0"/>
                <w:numId w:val="8"/>
              </w:numPr>
              <w:tabs>
                <w:tab w:val="left" w:pos="780"/>
              </w:tabs>
              <w:kinsoku/>
              <w:wordWrap/>
              <w:overflowPunct/>
              <w:topLinePunct w:val="0"/>
              <w:autoSpaceDE/>
              <w:autoSpaceDN/>
              <w:bidi w:val="0"/>
              <w:adjustRightInd/>
              <w:snapToGrid/>
              <w:spacing w:before="156" w:beforeLines="50" w:line="360" w:lineRule="auto"/>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自定义更新：</w:t>
            </w:r>
            <w:r>
              <w:rPr>
                <w:rFonts w:hint="eastAsia" w:ascii="宋体" w:hAnsi="宋体" w:eastAsia="宋体" w:cs="宋体"/>
                <w:szCs w:val="21"/>
                <w:lang w:val="en-US" w:eastAsia="zh-CN"/>
              </w:rPr>
              <w:t>根据患者性别动态调整显示内容。</w:t>
            </w:r>
          </w:p>
        </w:tc>
      </w:tr>
      <w:tr w14:paraId="4B0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FD5B834">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903" w:type="pct"/>
            <w:vAlign w:val="center"/>
          </w:tcPr>
          <w:p w14:paraId="7E87EA4C">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病程记录</w:t>
            </w:r>
          </w:p>
        </w:tc>
        <w:tc>
          <w:tcPr>
            <w:tcW w:w="3733" w:type="pct"/>
            <w:vAlign w:val="center"/>
          </w:tcPr>
          <w:p w14:paraId="2A875EC8">
            <w:pPr>
              <w:keepNext w:val="0"/>
              <w:keepLines w:val="0"/>
              <w:pageBreakBefore w:val="0"/>
              <w:widowControl w:val="0"/>
              <w:numPr>
                <w:ilvl w:val="0"/>
                <w:numId w:val="9"/>
              </w:numPr>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模板优化：</w:t>
            </w:r>
            <w:r>
              <w:rPr>
                <w:rFonts w:hint="eastAsia" w:ascii="宋体" w:hAnsi="宋体" w:eastAsia="宋体" w:cs="宋体"/>
                <w:szCs w:val="21"/>
                <w:lang w:val="en-US" w:eastAsia="zh-CN"/>
              </w:rPr>
              <w:t>配合</w:t>
            </w:r>
            <w:r>
              <w:rPr>
                <w:rFonts w:hint="eastAsia" w:ascii="宋体" w:hAnsi="宋体" w:cs="宋体"/>
                <w:szCs w:val="21"/>
                <w:lang w:val="en-US" w:eastAsia="zh-CN"/>
              </w:rPr>
              <w:t>医院HIS系统</w:t>
            </w:r>
            <w:r>
              <w:rPr>
                <w:rFonts w:hint="eastAsia" w:ascii="宋体" w:hAnsi="宋体" w:eastAsia="宋体" w:cs="宋体"/>
                <w:szCs w:val="21"/>
                <w:lang w:val="en-US" w:eastAsia="zh-CN"/>
              </w:rPr>
              <w:t>病历书写中“临床用血病程记录“模板优化，输血记录相关内容可从临床用血管理系统进行抓取，临床用血管理系统同步进行相应的优化改造。实现同一患者同一血液输注疗程（含手术患者）输血记录的集成书写。</w:t>
            </w:r>
          </w:p>
          <w:p w14:paraId="2801DCFD">
            <w:pPr>
              <w:keepNext w:val="0"/>
              <w:keepLines w:val="0"/>
              <w:pageBreakBefore w:val="0"/>
              <w:widowControl w:val="0"/>
              <w:numPr>
                <w:ilvl w:val="0"/>
                <w:numId w:val="9"/>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简化流程：</w:t>
            </w:r>
            <w:r>
              <w:rPr>
                <w:rFonts w:hint="eastAsia" w:ascii="宋体" w:hAnsi="宋体" w:eastAsia="宋体" w:cs="宋体"/>
                <w:szCs w:val="21"/>
                <w:lang w:val="en-US" w:eastAsia="zh-CN"/>
              </w:rPr>
              <w:t>手术患者术中用血输血记录合并书写，输血后评价由麻醉师勾选相应用血申请单后集中进行评价；</w:t>
            </w:r>
          </w:p>
          <w:p w14:paraId="1D4342DB">
            <w:pPr>
              <w:keepNext w:val="0"/>
              <w:keepLines w:val="0"/>
              <w:pageBreakBefore w:val="0"/>
              <w:widowControl w:val="0"/>
              <w:numPr>
                <w:ilvl w:val="0"/>
                <w:numId w:val="9"/>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集中评价机制：</w:t>
            </w:r>
            <w:r>
              <w:rPr>
                <w:rFonts w:hint="eastAsia" w:ascii="宋体" w:hAnsi="宋体" w:eastAsia="宋体" w:cs="宋体"/>
                <w:szCs w:val="21"/>
                <w:lang w:val="en-US" w:eastAsia="zh-CN"/>
              </w:rPr>
              <w:t>病区患者24小时内通过大量用血审批的用血申请，可由系统判断筛选后进行集成统一评价。</w:t>
            </w:r>
          </w:p>
        </w:tc>
      </w:tr>
      <w:tr w14:paraId="5877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DD318F5">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903" w:type="pct"/>
            <w:vAlign w:val="center"/>
          </w:tcPr>
          <w:p w14:paraId="53EEF457">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ascii="Segoe UI" w:hAnsi="Segoe UI" w:eastAsia="Segoe UI" w:cs="Segoe UI"/>
                <w:i w:val="0"/>
                <w:iCs w:val="0"/>
                <w:caps w:val="0"/>
                <w:spacing w:val="0"/>
                <w:sz w:val="24"/>
                <w:szCs w:val="24"/>
                <w:shd w:val="clear" w:fill="F9FAFB"/>
              </w:rPr>
              <w:t>全流程闭环管理节点</w:t>
            </w:r>
          </w:p>
        </w:tc>
        <w:tc>
          <w:tcPr>
            <w:tcW w:w="3733" w:type="pct"/>
            <w:vAlign w:val="center"/>
          </w:tcPr>
          <w:p w14:paraId="7B003F4E">
            <w:pPr>
              <w:keepNext w:val="0"/>
              <w:keepLines w:val="0"/>
              <w:pageBreakBefore w:val="0"/>
              <w:widowControl w:val="0"/>
              <w:numPr>
                <w:ilvl w:val="0"/>
                <w:numId w:val="10"/>
              </w:numPr>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cs="宋体"/>
                <w:szCs w:val="21"/>
                <w:lang w:val="en-US" w:eastAsia="zh-CN"/>
              </w:rPr>
              <w:t>设计和改造：实现输血全流程闭环管理，包括新增关键节点：</w:t>
            </w:r>
          </w:p>
          <w:p w14:paraId="14B966DE">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ascii="宋体" w:hAnsi="宋体" w:eastAsia="宋体" w:cs="宋体"/>
                <w:szCs w:val="21"/>
                <w:lang w:val="en-US" w:eastAsia="zh-CN"/>
              </w:rPr>
            </w:pPr>
            <w:r>
              <w:rPr>
                <w:rFonts w:hint="default" w:ascii="宋体" w:hAnsi="宋体" w:eastAsia="宋体" w:cs="宋体"/>
                <w:szCs w:val="21"/>
                <w:lang w:val="en-US" w:eastAsia="zh-CN"/>
              </w:rPr>
              <w:t>护士端增加输血巡视功能（巡视时间只能在开始与结束时间之间，两个时间都存在时才进行判断）。</w:t>
            </w:r>
          </w:p>
          <w:p w14:paraId="208B6D82">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ascii="宋体" w:hAnsi="宋体" w:eastAsia="宋体" w:cs="宋体"/>
                <w:szCs w:val="21"/>
                <w:lang w:val="en-US" w:eastAsia="zh-CN"/>
              </w:rPr>
            </w:pPr>
            <w:r>
              <w:rPr>
                <w:rFonts w:hint="default" w:ascii="宋体" w:hAnsi="宋体" w:eastAsia="宋体" w:cs="宋体"/>
                <w:szCs w:val="21"/>
                <w:lang w:val="en-US" w:eastAsia="zh-CN"/>
              </w:rPr>
              <w:t>增加节点</w:t>
            </w:r>
            <w:r>
              <w:rPr>
                <w:rFonts w:hint="eastAsia" w:ascii="宋体" w:hAnsi="宋体" w:eastAsia="宋体" w:cs="宋体"/>
                <w:szCs w:val="21"/>
                <w:lang w:val="en-US" w:eastAsia="zh-CN"/>
              </w:rPr>
              <w:t>“</w:t>
            </w:r>
            <w:r>
              <w:rPr>
                <w:rFonts w:hint="default" w:ascii="宋体" w:hAnsi="宋体" w:eastAsia="宋体" w:cs="宋体"/>
                <w:szCs w:val="21"/>
                <w:lang w:val="en-US" w:eastAsia="zh-CN"/>
              </w:rPr>
              <w:t>取血通知</w:t>
            </w:r>
            <w:r>
              <w:rPr>
                <w:rFonts w:hint="eastAsia" w:ascii="宋体" w:hAnsi="宋体" w:eastAsia="宋体" w:cs="宋体"/>
                <w:szCs w:val="21"/>
                <w:lang w:val="en-US" w:eastAsia="zh-CN"/>
              </w:rPr>
              <w:t>“</w:t>
            </w:r>
            <w:r>
              <w:rPr>
                <w:rFonts w:hint="default" w:ascii="宋体" w:hAnsi="宋体" w:eastAsia="宋体" w:cs="宋体"/>
                <w:szCs w:val="21"/>
                <w:lang w:val="en-US" w:eastAsia="zh-CN"/>
              </w:rPr>
              <w:t>、</w:t>
            </w:r>
          </w:p>
          <w:p w14:paraId="32FEFF96">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ascii="宋体" w:hAnsi="宋体" w:eastAsia="宋体" w:cs="宋体"/>
                <w:szCs w:val="21"/>
                <w:lang w:val="en-US" w:eastAsia="zh-CN"/>
              </w:rPr>
            </w:pPr>
            <w:r>
              <w:rPr>
                <w:rFonts w:hint="default" w:ascii="宋体" w:hAnsi="宋体" w:eastAsia="宋体" w:cs="宋体"/>
                <w:szCs w:val="21"/>
                <w:lang w:val="en-US" w:eastAsia="zh-CN"/>
              </w:rPr>
              <w:t>修改节点发血（传2个执行人(发血人、审核人)）、</w:t>
            </w:r>
          </w:p>
          <w:p w14:paraId="4F78EC9A">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ascii="宋体" w:hAnsi="宋体" w:eastAsia="宋体" w:cs="宋体"/>
                <w:szCs w:val="21"/>
                <w:lang w:val="en-US" w:eastAsia="zh-CN"/>
              </w:rPr>
            </w:pPr>
            <w:r>
              <w:rPr>
                <w:rFonts w:hint="default" w:ascii="宋体" w:hAnsi="宋体" w:eastAsia="宋体" w:cs="宋体"/>
                <w:szCs w:val="21"/>
                <w:lang w:val="en-US" w:eastAsia="zh-CN"/>
              </w:rPr>
              <w:t>病区交接（传2个执行人（审核出库人，入科人））</w:t>
            </w:r>
          </w:p>
          <w:p w14:paraId="1069E9D5">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ascii="宋体" w:hAnsi="宋体" w:eastAsia="宋体" w:cs="宋体"/>
                <w:szCs w:val="21"/>
                <w:lang w:val="en-US" w:eastAsia="zh-CN"/>
              </w:rPr>
            </w:pPr>
            <w:r>
              <w:rPr>
                <w:rFonts w:hint="default" w:ascii="宋体" w:hAnsi="宋体" w:eastAsia="宋体" w:cs="宋体"/>
                <w:szCs w:val="21"/>
                <w:lang w:val="en-US" w:eastAsia="zh-CN"/>
              </w:rPr>
              <w:t>新增输血取消功能节点</w:t>
            </w:r>
          </w:p>
          <w:p w14:paraId="6325A64C">
            <w:pPr>
              <w:keepNext w:val="0"/>
              <w:keepLines w:val="0"/>
              <w:pageBreakBefore w:val="0"/>
              <w:widowControl w:val="0"/>
              <w:numPr>
                <w:ilvl w:val="0"/>
                <w:numId w:val="10"/>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default" w:ascii="宋体" w:hAnsi="宋体" w:eastAsia="宋体" w:cs="宋体"/>
                <w:szCs w:val="21"/>
                <w:lang w:val="en-US" w:eastAsia="zh-CN"/>
              </w:rPr>
            </w:pPr>
            <w:r>
              <w:rPr>
                <w:rFonts w:hint="eastAsia" w:ascii="宋体" w:hAnsi="宋体" w:cs="宋体"/>
                <w:szCs w:val="21"/>
                <w:lang w:val="en-US" w:eastAsia="zh-CN"/>
              </w:rPr>
              <w:t>自定义更新：</w:t>
            </w:r>
            <w:r>
              <w:rPr>
                <w:rFonts w:hint="default" w:ascii="宋体" w:hAnsi="宋体" w:eastAsia="宋体" w:cs="宋体"/>
                <w:szCs w:val="21"/>
                <w:lang w:val="en-US" w:eastAsia="zh-CN"/>
              </w:rPr>
              <w:t>将</w:t>
            </w:r>
            <w:r>
              <w:rPr>
                <w:rFonts w:hint="eastAsia" w:ascii="宋体" w:hAnsi="宋体" w:eastAsia="宋体" w:cs="宋体"/>
                <w:szCs w:val="21"/>
                <w:lang w:val="en-US" w:eastAsia="zh-CN"/>
              </w:rPr>
              <w:t>“</w:t>
            </w:r>
            <w:r>
              <w:rPr>
                <w:rFonts w:hint="default" w:ascii="宋体" w:hAnsi="宋体" w:eastAsia="宋体" w:cs="宋体"/>
                <w:szCs w:val="21"/>
                <w:lang w:val="en-US" w:eastAsia="zh-CN"/>
              </w:rPr>
              <w:t>血袋状态</w:t>
            </w:r>
            <w:r>
              <w:rPr>
                <w:rFonts w:hint="eastAsia" w:ascii="宋体" w:hAnsi="宋体" w:eastAsia="宋体" w:cs="宋体"/>
                <w:szCs w:val="21"/>
                <w:lang w:val="en-US" w:eastAsia="zh-CN"/>
              </w:rPr>
              <w:t>“</w:t>
            </w:r>
            <w:r>
              <w:rPr>
                <w:rFonts w:hint="default" w:ascii="宋体" w:hAnsi="宋体" w:eastAsia="宋体" w:cs="宋体"/>
                <w:szCs w:val="21"/>
                <w:lang w:val="en-US" w:eastAsia="zh-CN"/>
              </w:rPr>
              <w:t>列名修改为</w:t>
            </w:r>
            <w:r>
              <w:rPr>
                <w:rFonts w:hint="eastAsia" w:ascii="宋体" w:hAnsi="宋体" w:eastAsia="宋体" w:cs="宋体"/>
                <w:szCs w:val="21"/>
                <w:lang w:val="en-US" w:eastAsia="zh-CN"/>
              </w:rPr>
              <w:t>“</w:t>
            </w:r>
            <w:r>
              <w:rPr>
                <w:rFonts w:hint="default" w:ascii="宋体" w:hAnsi="宋体" w:eastAsia="宋体" w:cs="宋体"/>
                <w:szCs w:val="21"/>
                <w:lang w:val="en-US" w:eastAsia="zh-CN"/>
              </w:rPr>
              <w:t>输血取消</w:t>
            </w:r>
            <w:r>
              <w:rPr>
                <w:rFonts w:hint="eastAsia" w:ascii="宋体" w:hAnsi="宋体" w:eastAsia="宋体" w:cs="宋体"/>
                <w:szCs w:val="21"/>
                <w:lang w:val="en-US" w:eastAsia="zh-CN"/>
              </w:rPr>
              <w:t>“</w:t>
            </w:r>
            <w:r>
              <w:rPr>
                <w:rFonts w:hint="default" w:ascii="宋体" w:hAnsi="宋体" w:eastAsia="宋体" w:cs="宋体"/>
                <w:szCs w:val="21"/>
                <w:lang w:val="en-US" w:eastAsia="zh-CN"/>
              </w:rPr>
              <w:t>。当进行输血取消登记时，则显示</w:t>
            </w:r>
            <w:r>
              <w:rPr>
                <w:rFonts w:hint="eastAsia" w:ascii="宋体" w:hAnsi="宋体" w:eastAsia="宋体" w:cs="宋体"/>
                <w:szCs w:val="21"/>
                <w:lang w:val="en-US" w:eastAsia="zh-CN"/>
              </w:rPr>
              <w:t>“</w:t>
            </w:r>
            <w:r>
              <w:rPr>
                <w:rFonts w:hint="default" w:ascii="宋体" w:hAnsi="宋体" w:eastAsia="宋体" w:cs="宋体"/>
                <w:szCs w:val="21"/>
                <w:lang w:val="en-US" w:eastAsia="zh-CN"/>
              </w:rPr>
              <w:t>输血取消</w:t>
            </w:r>
            <w:r>
              <w:rPr>
                <w:rFonts w:hint="eastAsia" w:ascii="宋体" w:hAnsi="宋体" w:eastAsia="宋体" w:cs="宋体"/>
                <w:szCs w:val="21"/>
                <w:lang w:val="en-US" w:eastAsia="zh-CN"/>
              </w:rPr>
              <w:t>“</w:t>
            </w:r>
            <w:r>
              <w:rPr>
                <w:rFonts w:hint="default" w:ascii="宋体" w:hAnsi="宋体" w:eastAsia="宋体" w:cs="宋体"/>
                <w:szCs w:val="21"/>
                <w:lang w:val="en-US" w:eastAsia="zh-CN"/>
              </w:rPr>
              <w:t>。</w:t>
            </w:r>
          </w:p>
          <w:p w14:paraId="3803A629">
            <w:pPr>
              <w:keepNext w:val="0"/>
              <w:keepLines w:val="0"/>
              <w:pageBreakBefore w:val="0"/>
              <w:widowControl w:val="0"/>
              <w:numPr>
                <w:ilvl w:val="0"/>
                <w:numId w:val="10"/>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default"/>
                <w:lang w:val="en-US" w:eastAsia="zh-CN"/>
              </w:rPr>
            </w:pPr>
            <w:r>
              <w:rPr>
                <w:rFonts w:hint="eastAsia" w:ascii="宋体" w:hAnsi="宋体" w:cs="宋体"/>
                <w:szCs w:val="21"/>
                <w:lang w:val="en-US" w:eastAsia="zh-CN"/>
              </w:rPr>
              <w:t>输血巡视新增：</w:t>
            </w:r>
            <w:r>
              <w:rPr>
                <w:rFonts w:hint="default" w:ascii="宋体" w:hAnsi="宋体" w:eastAsia="宋体" w:cs="宋体"/>
                <w:szCs w:val="21"/>
                <w:lang w:val="en-US" w:eastAsia="zh-CN"/>
              </w:rPr>
              <w:t>增加首次巡视人与首次巡视时间列。</w:t>
            </w:r>
          </w:p>
          <w:p w14:paraId="3A6C7F95">
            <w:pPr>
              <w:keepNext w:val="0"/>
              <w:keepLines w:val="0"/>
              <w:pageBreakBefore w:val="0"/>
              <w:widowControl w:val="0"/>
              <w:numPr>
                <w:ilvl w:val="0"/>
                <w:numId w:val="10"/>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default"/>
                <w:lang w:val="en-US" w:eastAsia="zh-CN"/>
              </w:rPr>
            </w:pPr>
            <w:r>
              <w:rPr>
                <w:rFonts w:hint="default"/>
                <w:lang w:val="en-US" w:eastAsia="zh-CN"/>
              </w:rPr>
              <w:t>移动护理接口改造：输血结束登记验证</w:t>
            </w:r>
          </w:p>
          <w:p w14:paraId="16251D7E">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在进行输血结束登记时，系统应自动检查是否已完成输血巡视。如果未完成输血巡视，系统将阻止输血结束的登记，并显示提示信息</w:t>
            </w:r>
            <w:r>
              <w:rPr>
                <w:rFonts w:hint="eastAsia"/>
                <w:lang w:val="en-US" w:eastAsia="zh-CN"/>
              </w:rPr>
              <w:t>，</w:t>
            </w:r>
            <w:r>
              <w:rPr>
                <w:rFonts w:hint="default"/>
                <w:lang w:val="en-US" w:eastAsia="zh-CN"/>
              </w:rPr>
              <w:t xml:space="preserve"> 确保每次输血都经过了必要的监控和记录。</w:t>
            </w:r>
          </w:p>
          <w:p w14:paraId="75019652">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增加加压输血字段</w:t>
            </w:r>
            <w:r>
              <w:rPr>
                <w:rFonts w:hint="eastAsia"/>
                <w:lang w:val="en-US" w:eastAsia="zh-CN"/>
              </w:rPr>
              <w:t>，</w:t>
            </w:r>
            <w:r>
              <w:rPr>
                <w:rFonts w:hint="default"/>
                <w:lang w:val="en-US" w:eastAsia="zh-CN"/>
              </w:rPr>
              <w:t>在输血结束登记表单中新增一个名为“是否加压输血”的字段，用于记录输血过程中是否采用了加压输血的方式。</w:t>
            </w:r>
          </w:p>
          <w:p w14:paraId="06C4F1C0">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输血巡视登记优化</w:t>
            </w:r>
          </w:p>
          <w:p w14:paraId="3501069F">
            <w:pPr>
              <w:keepNext w:val="0"/>
              <w:keepLines w:val="0"/>
              <w:pageBreakBefore w:val="0"/>
              <w:widowControl w:val="0"/>
              <w:numPr>
                <w:ilvl w:val="2"/>
                <w:numId w:val="10"/>
              </w:numPr>
              <w:tabs>
                <w:tab w:val="clear" w:pos="1260"/>
              </w:tabs>
              <w:kinsoku/>
              <w:wordWrap/>
              <w:overflowPunct/>
              <w:topLinePunct w:val="0"/>
              <w:autoSpaceDE/>
              <w:autoSpaceDN/>
              <w:bidi w:val="0"/>
              <w:adjustRightInd/>
              <w:snapToGrid/>
              <w:spacing w:before="156" w:beforeLines="50" w:line="360" w:lineRule="auto"/>
              <w:ind w:left="1260" w:leftChars="0" w:hanging="420" w:firstLineChars="0"/>
              <w:textAlignment w:val="auto"/>
              <w:outlineLvl w:val="0"/>
              <w:rPr>
                <w:rFonts w:hint="default"/>
                <w:lang w:val="en-US" w:eastAsia="zh-CN"/>
              </w:rPr>
            </w:pPr>
            <w:r>
              <w:rPr>
                <w:rFonts w:hint="default"/>
                <w:lang w:val="en-US" w:eastAsia="zh-CN"/>
              </w:rPr>
              <w:t>滴速记录：在输血巡视登记界面添加一个名为“滴速”的字段，以便准确记录输血过程中的滴速。</w:t>
            </w:r>
          </w:p>
          <w:p w14:paraId="45BAD689">
            <w:pPr>
              <w:keepNext w:val="0"/>
              <w:keepLines w:val="0"/>
              <w:pageBreakBefore w:val="0"/>
              <w:widowControl w:val="0"/>
              <w:numPr>
                <w:ilvl w:val="2"/>
                <w:numId w:val="10"/>
              </w:numPr>
              <w:tabs>
                <w:tab w:val="clear" w:pos="1260"/>
              </w:tabs>
              <w:kinsoku/>
              <w:wordWrap/>
              <w:overflowPunct/>
              <w:topLinePunct w:val="0"/>
              <w:autoSpaceDE/>
              <w:autoSpaceDN/>
              <w:bidi w:val="0"/>
              <w:adjustRightInd/>
              <w:snapToGrid/>
              <w:spacing w:before="156" w:beforeLines="50" w:line="360" w:lineRule="auto"/>
              <w:ind w:left="1260" w:leftChars="0" w:hanging="420" w:firstLineChars="0"/>
              <w:textAlignment w:val="auto"/>
              <w:outlineLvl w:val="0"/>
              <w:rPr>
                <w:rFonts w:hint="default"/>
                <w:lang w:val="en-US" w:eastAsia="zh-CN"/>
              </w:rPr>
            </w:pPr>
            <w:r>
              <w:rPr>
                <w:rFonts w:hint="default"/>
                <w:lang w:val="en-US" w:eastAsia="zh-CN"/>
              </w:rPr>
              <w:t>血液核对信息增强：通过血袋号查询血液核对信息时，扩展以包含新的属性，该属性不仅包含滴速信息，还增加了两个新字段：“是否有输血反应”和“是否加压输血”</w:t>
            </w:r>
            <w:r>
              <w:rPr>
                <w:rFonts w:hint="eastAsia"/>
                <w:lang w:val="en-US" w:eastAsia="zh-CN"/>
              </w:rPr>
              <w:t>。</w:t>
            </w:r>
          </w:p>
          <w:p w14:paraId="334A38B9">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取消输血巡视卡控</w:t>
            </w:r>
            <w:r>
              <w:rPr>
                <w:rFonts w:hint="eastAsia"/>
                <w:lang w:val="en-US" w:eastAsia="zh-CN"/>
              </w:rPr>
              <w:t>：</w:t>
            </w:r>
            <w:r>
              <w:rPr>
                <w:rFonts w:hint="default"/>
                <w:lang w:val="en-US" w:eastAsia="zh-CN"/>
              </w:rPr>
              <w:t>调整系统设置，取消原有关于必须先完成输血巡视才能进行输血结束登记的强制要求。尽管如此，系统仍会提醒用户“请先完成输血巡视”，但不再作为硬性条件限制输血结束登记的操作。</w:t>
            </w:r>
          </w:p>
          <w:p w14:paraId="67A331A1">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输血巡视与前核对接口调整</w:t>
            </w:r>
            <w:r>
              <w:rPr>
                <w:rFonts w:hint="eastAsia"/>
                <w:lang w:val="en-US" w:eastAsia="zh-CN"/>
              </w:rPr>
              <w:t>：更新</w:t>
            </w:r>
            <w:r>
              <w:rPr>
                <w:rFonts w:hint="default"/>
                <w:lang w:val="en-US" w:eastAsia="zh-CN"/>
              </w:rPr>
              <w:t>输血巡视记录接口反馈信息</w:t>
            </w:r>
            <w:r>
              <w:rPr>
                <w:rFonts w:hint="eastAsia"/>
                <w:lang w:val="en-US" w:eastAsia="zh-CN"/>
              </w:rPr>
              <w:t>以及修改</w:t>
            </w:r>
            <w:r>
              <w:rPr>
                <w:rFonts w:hint="default"/>
                <w:lang w:val="en-US" w:eastAsia="zh-CN"/>
              </w:rPr>
              <w:t>输血前核对接口</w:t>
            </w:r>
            <w:r>
              <w:rPr>
                <w:rFonts w:hint="eastAsia"/>
                <w:lang w:val="en-US" w:eastAsia="zh-CN"/>
              </w:rPr>
              <w:t>提</w:t>
            </w:r>
            <w:r>
              <w:rPr>
                <w:rFonts w:hint="default"/>
                <w:lang w:val="en-US" w:eastAsia="zh-CN"/>
              </w:rPr>
              <w:t>示信息， 提高用户体验的</w:t>
            </w:r>
            <w:r>
              <w:rPr>
                <w:rFonts w:hint="eastAsia"/>
                <w:lang w:val="en-US" w:eastAsia="zh-CN"/>
              </w:rPr>
              <w:t>并</w:t>
            </w:r>
            <w:r>
              <w:rPr>
                <w:rFonts w:hint="default"/>
                <w:lang w:val="en-US" w:eastAsia="zh-CN"/>
              </w:rPr>
              <w:t>减少误解的可能性。</w:t>
            </w:r>
          </w:p>
          <w:p w14:paraId="14BA355C">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交叉配血知识库提醒</w:t>
            </w:r>
            <w:r>
              <w:rPr>
                <w:rFonts w:hint="eastAsia"/>
                <w:lang w:val="en-US" w:eastAsia="zh-CN"/>
              </w:rPr>
              <w:t>：</w:t>
            </w:r>
            <w:r>
              <w:rPr>
                <w:rFonts w:hint="default"/>
                <w:lang w:val="en-US" w:eastAsia="zh-CN"/>
              </w:rPr>
              <w:t>在调用交叉配血功能并展示申请单信息时，集成知识库提醒功能。通过参数控制开关状态，帮助医护人员了解相关注意事项</w:t>
            </w:r>
            <w:r>
              <w:rPr>
                <w:rFonts w:hint="eastAsia"/>
                <w:lang w:val="en-US" w:eastAsia="zh-CN"/>
              </w:rPr>
              <w:t>。</w:t>
            </w:r>
          </w:p>
          <w:p w14:paraId="3633C219">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输血前核对记录修改权限</w:t>
            </w:r>
            <w:r>
              <w:rPr>
                <w:rFonts w:hint="eastAsia"/>
                <w:lang w:val="en-US" w:eastAsia="zh-CN"/>
              </w:rPr>
              <w:t>：</w:t>
            </w:r>
            <w:r>
              <w:rPr>
                <w:rFonts w:hint="default"/>
                <w:lang w:val="en-US" w:eastAsia="zh-CN"/>
              </w:rPr>
              <w:t>当输入特定令牌值（如999）时，允许修改已有的输血前核对记录。为了保留历史数据，系统会创建一个新的表格来保存修改前的所有信息。</w:t>
            </w:r>
          </w:p>
          <w:p w14:paraId="209833BD">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获取血袋信息接口更新</w:t>
            </w:r>
            <w:r>
              <w:rPr>
                <w:rFonts w:hint="eastAsia"/>
                <w:lang w:val="en-US" w:eastAsia="zh-CN"/>
              </w:rPr>
              <w:t>：</w:t>
            </w:r>
            <w:r>
              <w:rPr>
                <w:rFonts w:hint="default"/>
                <w:lang w:val="en-US" w:eastAsia="zh-CN"/>
              </w:rPr>
              <w:t>更新接口</w:t>
            </w:r>
            <w:r>
              <w:rPr>
                <w:rFonts w:hint="eastAsia"/>
                <w:lang w:val="en-US" w:eastAsia="zh-CN"/>
              </w:rPr>
              <w:t>，修改</w:t>
            </w:r>
            <w:r>
              <w:rPr>
                <w:rFonts w:hint="default"/>
                <w:lang w:val="en-US" w:eastAsia="zh-CN"/>
              </w:rPr>
              <w:t>血袋状态</w:t>
            </w:r>
            <w:r>
              <w:rPr>
                <w:rFonts w:hint="eastAsia"/>
                <w:lang w:val="en-US" w:eastAsia="zh-CN"/>
              </w:rPr>
              <w:t>标识</w:t>
            </w:r>
            <w:r>
              <w:rPr>
                <w:rFonts w:hint="default"/>
                <w:lang w:val="en-US" w:eastAsia="zh-CN"/>
              </w:rPr>
              <w:t>通过。具体状态包括：A：已入科B：输血前已核对C：正在巡视D：输血后已核对</w:t>
            </w:r>
          </w:p>
          <w:p w14:paraId="04CA6353">
            <w:pPr>
              <w:keepNext w:val="0"/>
              <w:keepLines w:val="0"/>
              <w:pageBreakBefore w:val="0"/>
              <w:widowControl w:val="0"/>
              <w:numPr>
                <w:ilvl w:val="1"/>
                <w:numId w:val="10"/>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default"/>
                <w:lang w:val="en-US" w:eastAsia="zh-CN"/>
              </w:rPr>
            </w:pPr>
            <w:r>
              <w:rPr>
                <w:rFonts w:hint="default"/>
                <w:lang w:val="en-US" w:eastAsia="zh-CN"/>
              </w:rPr>
              <w:t>前置核对信息：新增</w:t>
            </w:r>
            <w:r>
              <w:rPr>
                <w:rFonts w:hint="eastAsia"/>
                <w:lang w:val="en-US" w:eastAsia="zh-CN"/>
              </w:rPr>
              <w:t>输血前核对</w:t>
            </w:r>
            <w:r>
              <w:rPr>
                <w:rFonts w:hint="default"/>
                <w:lang w:val="en-US" w:eastAsia="zh-CN"/>
              </w:rPr>
              <w:t>属性，格式为“操作人工号|操作时间”，</w:t>
            </w:r>
            <w:r>
              <w:rPr>
                <w:rFonts w:hint="eastAsia"/>
                <w:lang w:val="en-US" w:eastAsia="zh-CN"/>
              </w:rPr>
              <w:t>并</w:t>
            </w:r>
            <w:r>
              <w:rPr>
                <w:rFonts w:hint="default"/>
                <w:lang w:val="en-US" w:eastAsia="zh-CN"/>
              </w:rPr>
              <w:t>提供输血前核对护士的信息及操作时间，便于追溯责任。</w:t>
            </w:r>
          </w:p>
        </w:tc>
      </w:tr>
      <w:tr w14:paraId="0D73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A45D9BC">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903" w:type="pct"/>
            <w:vAlign w:val="center"/>
          </w:tcPr>
          <w:p w14:paraId="4F22A19B">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cs="宋体"/>
                <w:szCs w:val="21"/>
                <w:lang w:val="en-US" w:eastAsia="zh-CN"/>
              </w:rPr>
              <w:t>输血后评价模块</w:t>
            </w:r>
          </w:p>
        </w:tc>
        <w:tc>
          <w:tcPr>
            <w:tcW w:w="3733" w:type="pct"/>
            <w:vAlign w:val="center"/>
          </w:tcPr>
          <w:p w14:paraId="6A6AE061">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cs="宋体"/>
                <w:szCs w:val="21"/>
                <w:lang w:val="en-US" w:eastAsia="zh-CN"/>
              </w:rPr>
            </w:pPr>
            <w:r>
              <w:rPr>
                <w:rFonts w:hint="eastAsia" w:ascii="宋体" w:hAnsi="宋体" w:cs="宋体"/>
                <w:szCs w:val="21"/>
                <w:lang w:val="en-US" w:eastAsia="zh-CN"/>
              </w:rPr>
              <w:t>生命体征数据采集与必填项设置</w:t>
            </w:r>
          </w:p>
          <w:p w14:paraId="5CF6101C">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生命体征数据采集：系统应自动从护理记录中抓取患者的生命体征数据（如血压、心率等），并显示在输血评价界面。如果由于技术限制或数据缺失无法自动抓取这些信息，则应在相应字段设置为必填项，确保医生手动输入必要的生命体征数据。</w:t>
            </w:r>
          </w:p>
          <w:p w14:paraId="513EE2F3">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ascii="宋体" w:hAnsi="宋体" w:cs="宋体"/>
                <w:szCs w:val="21"/>
                <w:lang w:val="en-US" w:eastAsia="zh-CN"/>
              </w:rPr>
              <w:t>数据验证：当临床诊断及体征填写完成后，系统应重新检查该单据的相关信息是否完整。如果发现某些关键字段为空，系统将提示用户补充完整。</w:t>
            </w:r>
          </w:p>
          <w:p w14:paraId="01397FF3">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实验室指标处理</w:t>
            </w:r>
          </w:p>
          <w:p w14:paraId="4006E1C3">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选择性抓取实验室指标：系统只需自动抓取已出结果的实验室检测值（例如血常规、凝血功能等），对于尚未得出结果的检测项目则不进行抓取，避免不必要的信息冗余。</w:t>
            </w:r>
          </w:p>
          <w:p w14:paraId="3F311206">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自动筛选未评价名单</w:t>
            </w:r>
          </w:p>
          <w:p w14:paraId="3500F318">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简化医生工作流程：系统自动生成当日或前一日未完成输血评价的患者名单，供医生直接勾选进行评价，减少手动操作步骤。</w:t>
            </w:r>
          </w:p>
          <w:p w14:paraId="7D7C5E57">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完善下拉选项内容</w:t>
            </w:r>
          </w:p>
          <w:p w14:paraId="012A3DFB">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完善“临床表现”填写框：检查并更新“临床表现”下拉选择项的内容，确保所有可能的情况都被涵盖，以满足临床实际需求。</w:t>
            </w:r>
          </w:p>
          <w:p w14:paraId="03864792">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新增“抢救”选项：在“输血当日治疗评估原因”的下拉选项中，除了现有的出院、转科、死亡选项外，增加“抢救”这一选项，以便更好地反映实际情况。</w:t>
            </w:r>
          </w:p>
          <w:p w14:paraId="220E85FE">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设置合理的评价时限</w:t>
            </w:r>
          </w:p>
          <w:p w14:paraId="6E9A9FD8">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调整评价时限：将输血评价的时间限制设定为“输血后的第二个自然日”，而不是目前的24小时后。这样可以给医生更多时间进行全面评估，同时保持对及时性的要求。</w:t>
            </w:r>
          </w:p>
          <w:p w14:paraId="2CC16027">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自动检索未评价信息</w:t>
            </w:r>
          </w:p>
          <w:p w14:paraId="5BBE0B38">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智能检索功能：当医生打开输血评价界面时，系统应自动检索出尚未完成有效性评价的所有相关信息，并将其展示在右侧的检索窗口中，方便医生快速定位需要处理的事项。</w:t>
            </w:r>
          </w:p>
          <w:p w14:paraId="227F7F07">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控制多患者单据勾选</w:t>
            </w:r>
          </w:p>
          <w:p w14:paraId="60D6E3E8">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lang w:val="en-US" w:eastAsia="zh-CN"/>
              </w:rPr>
            </w:pPr>
            <w:r>
              <w:rPr>
                <w:rFonts w:hint="eastAsia"/>
                <w:lang w:val="en-US" w:eastAsia="zh-CN"/>
              </w:rPr>
              <w:t>防止错误操作：当医生尝试勾选多个不同患者的输血申请单时，系统应提供适当的控制措施，阻止此类操作的发生，确保每次只针对同一患者的数据进行处理，维护数据的一致性和准确性。</w:t>
            </w:r>
          </w:p>
          <w:p w14:paraId="3FE18EB2">
            <w:pPr>
              <w:keepNext w:val="0"/>
              <w:keepLines w:val="0"/>
              <w:pageBreakBefore w:val="0"/>
              <w:widowControl w:val="0"/>
              <w:numPr>
                <w:ilvl w:val="0"/>
                <w:numId w:val="11"/>
              </w:numPr>
              <w:tabs>
                <w:tab w:val="left" w:pos="780"/>
              </w:tabs>
              <w:kinsoku/>
              <w:wordWrap/>
              <w:overflowPunct/>
              <w:topLinePunct w:val="0"/>
              <w:autoSpaceDE/>
              <w:autoSpaceDN/>
              <w:bidi w:val="0"/>
              <w:adjustRightInd/>
              <w:snapToGrid/>
              <w:spacing w:before="156" w:beforeLines="50" w:line="360" w:lineRule="auto"/>
              <w:ind w:left="0" w:leftChars="0" w:firstLine="0" w:firstLineChars="0"/>
              <w:textAlignment w:val="auto"/>
              <w:outlineLvl w:val="0"/>
              <w:rPr>
                <w:rFonts w:hint="eastAsia"/>
                <w:lang w:val="en-US" w:eastAsia="zh-CN"/>
              </w:rPr>
            </w:pPr>
            <w:r>
              <w:rPr>
                <w:rFonts w:hint="eastAsia"/>
                <w:lang w:val="en-US" w:eastAsia="zh-CN"/>
              </w:rPr>
              <w:t>列表排序优化</w:t>
            </w:r>
          </w:p>
          <w:p w14:paraId="60C303CF">
            <w:pPr>
              <w:keepNext w:val="0"/>
              <w:keepLines w:val="0"/>
              <w:pageBreakBefore w:val="0"/>
              <w:widowControl w:val="0"/>
              <w:numPr>
                <w:ilvl w:val="1"/>
                <w:numId w:val="11"/>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ascii="宋体" w:hAnsi="宋体" w:eastAsia="宋体" w:cs="宋体"/>
                <w:szCs w:val="21"/>
                <w:lang w:val="en-US" w:eastAsia="zh-CN"/>
              </w:rPr>
            </w:pPr>
            <w:r>
              <w:rPr>
                <w:rFonts w:hint="eastAsia"/>
                <w:lang w:val="en-US" w:eastAsia="zh-CN"/>
              </w:rPr>
              <w:t>按时间倒序排列申请单：在显示输血申请单列表时，按照提交时间的倒序排列，使得最近提交的申请单位于列表顶部，便于医生优先处理最新的请求。</w:t>
            </w:r>
          </w:p>
        </w:tc>
      </w:tr>
      <w:tr w14:paraId="250D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D0F1586">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903" w:type="pct"/>
            <w:vAlign w:val="center"/>
          </w:tcPr>
          <w:p w14:paraId="00B84C94">
            <w:pPr>
              <w:keepNext w:val="0"/>
              <w:keepLines w:val="0"/>
              <w:pageBreakBefore w:val="0"/>
              <w:widowControl w:val="0"/>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default" w:ascii="宋体" w:hAnsi="宋体" w:eastAsia="宋体" w:cs="宋体"/>
                <w:szCs w:val="21"/>
                <w:lang w:val="en-US" w:eastAsia="zh-CN"/>
              </w:rPr>
            </w:pPr>
            <w:r>
              <w:rPr>
                <w:rFonts w:hint="default" w:ascii="宋体" w:hAnsi="宋体" w:eastAsia="宋体" w:cs="宋体"/>
                <w:szCs w:val="21"/>
                <w:lang w:val="en-US" w:eastAsia="zh-CN"/>
              </w:rPr>
              <w:t>增加血制品临期弹框提醒功能</w:t>
            </w:r>
          </w:p>
        </w:tc>
        <w:tc>
          <w:tcPr>
            <w:tcW w:w="3733" w:type="pct"/>
            <w:vAlign w:val="center"/>
          </w:tcPr>
          <w:p w14:paraId="7D60D7BE">
            <w:pPr>
              <w:keepNext w:val="0"/>
              <w:keepLines w:val="0"/>
              <w:pageBreakBefore w:val="0"/>
              <w:widowControl w:val="0"/>
              <w:numPr>
                <w:ilvl w:val="0"/>
                <w:numId w:val="12"/>
              </w:numPr>
              <w:tabs>
                <w:tab w:val="left" w:pos="780"/>
              </w:tabs>
              <w:kinsoku/>
              <w:wordWrap/>
              <w:overflowPunct/>
              <w:topLinePunct w:val="0"/>
              <w:autoSpaceDE/>
              <w:autoSpaceDN/>
              <w:bidi w:val="0"/>
              <w:adjustRightInd/>
              <w:snapToGrid/>
              <w:spacing w:before="156" w:beforeLines="50" w:line="360" w:lineRule="auto"/>
              <w:ind w:firstLine="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如触犯以</w:t>
            </w:r>
            <w:r>
              <w:rPr>
                <w:rFonts w:hint="eastAsia" w:ascii="宋体" w:hAnsi="宋体" w:cs="宋体"/>
                <w:szCs w:val="21"/>
                <w:lang w:val="en-US" w:eastAsia="zh-CN"/>
              </w:rPr>
              <w:t>下</w:t>
            </w:r>
            <w:r>
              <w:rPr>
                <w:rFonts w:hint="eastAsia" w:ascii="宋体" w:hAnsi="宋体" w:eastAsia="宋体" w:cs="宋体"/>
                <w:szCs w:val="21"/>
                <w:lang w:val="en-US" w:eastAsia="zh-CN"/>
              </w:rPr>
              <w:t>规则，登录</w:t>
            </w:r>
            <w:r>
              <w:rPr>
                <w:rFonts w:hint="eastAsia" w:ascii="宋体" w:hAnsi="宋体" w:cs="宋体"/>
                <w:szCs w:val="21"/>
                <w:lang w:val="en-US" w:eastAsia="zh-CN"/>
              </w:rPr>
              <w:t>系统</w:t>
            </w:r>
            <w:r>
              <w:rPr>
                <w:rFonts w:hint="eastAsia" w:ascii="宋体" w:hAnsi="宋体" w:eastAsia="宋体" w:cs="宋体"/>
                <w:szCs w:val="21"/>
                <w:lang w:val="en-US" w:eastAsia="zh-CN"/>
              </w:rPr>
              <w:t>时</w:t>
            </w:r>
            <w:r>
              <w:rPr>
                <w:rFonts w:hint="eastAsia" w:ascii="宋体" w:hAnsi="宋体" w:cs="宋体"/>
                <w:szCs w:val="21"/>
                <w:lang w:val="en-US" w:eastAsia="zh-CN"/>
              </w:rPr>
              <w:t>须有</w:t>
            </w:r>
            <w:r>
              <w:rPr>
                <w:rFonts w:hint="eastAsia" w:ascii="宋体" w:hAnsi="宋体" w:eastAsia="宋体" w:cs="宋体"/>
                <w:szCs w:val="21"/>
                <w:lang w:val="en-US" w:eastAsia="zh-CN"/>
              </w:rPr>
              <w:t>即时弹框，红色方框显示在界面右下角。需输入工号及密码方可消除，并可查询到消除记录。</w:t>
            </w:r>
          </w:p>
          <w:p w14:paraId="1FA486DE">
            <w:pPr>
              <w:keepNext w:val="0"/>
              <w:keepLines w:val="0"/>
              <w:pageBreakBefore w:val="0"/>
              <w:widowControl w:val="0"/>
              <w:numPr>
                <w:ilvl w:val="1"/>
                <w:numId w:val="12"/>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红细胞悬液有效期提醒：</w:t>
            </w:r>
            <w:r>
              <w:rPr>
                <w:rFonts w:hint="eastAsia" w:ascii="宋体" w:hAnsi="宋体" w:eastAsia="宋体" w:cs="宋体"/>
                <w:szCs w:val="21"/>
                <w:lang w:val="en-US" w:eastAsia="zh-CN"/>
              </w:rPr>
              <w:t>库存红细胞悬液剩余5天有效期，弹框提醒</w:t>
            </w:r>
            <w:r>
              <w:rPr>
                <w:rFonts w:hint="eastAsia" w:ascii="宋体" w:hAnsi="宋体" w:cs="宋体"/>
                <w:szCs w:val="21"/>
                <w:lang w:val="en-US" w:eastAsia="zh-CN"/>
              </w:rPr>
              <w:t>。</w:t>
            </w:r>
          </w:p>
          <w:p w14:paraId="3C470891">
            <w:pPr>
              <w:keepNext w:val="0"/>
              <w:keepLines w:val="0"/>
              <w:pageBreakBefore w:val="0"/>
              <w:widowControl w:val="0"/>
              <w:numPr>
                <w:ilvl w:val="1"/>
                <w:numId w:val="12"/>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血小板</w:t>
            </w:r>
            <w:r>
              <w:rPr>
                <w:rFonts w:hint="eastAsia" w:ascii="宋体" w:hAnsi="宋体" w:cs="宋体"/>
                <w:szCs w:val="21"/>
                <w:lang w:val="en-US" w:eastAsia="zh-CN"/>
              </w:rPr>
              <w:t>有效期提醒：</w:t>
            </w:r>
            <w:r>
              <w:rPr>
                <w:rFonts w:hint="eastAsia" w:ascii="宋体" w:hAnsi="宋体" w:eastAsia="宋体" w:cs="宋体"/>
                <w:szCs w:val="21"/>
                <w:lang w:val="en-US" w:eastAsia="zh-CN"/>
              </w:rPr>
              <w:t>库存血小板剩余1天有效期，弹框提醒</w:t>
            </w:r>
            <w:r>
              <w:rPr>
                <w:rFonts w:hint="eastAsia" w:ascii="宋体" w:hAnsi="宋体" w:cs="宋体"/>
                <w:szCs w:val="21"/>
                <w:lang w:val="en-US" w:eastAsia="zh-CN"/>
              </w:rPr>
              <w:t>。</w:t>
            </w:r>
          </w:p>
          <w:p w14:paraId="1ABE64A6">
            <w:pPr>
              <w:keepNext w:val="0"/>
              <w:keepLines w:val="0"/>
              <w:pageBreakBefore w:val="0"/>
              <w:widowControl w:val="0"/>
              <w:numPr>
                <w:ilvl w:val="1"/>
                <w:numId w:val="12"/>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新鲜冰冻血浆及普通冰冻血浆</w:t>
            </w:r>
            <w:r>
              <w:rPr>
                <w:rFonts w:hint="eastAsia" w:ascii="宋体" w:hAnsi="宋体" w:cs="宋体"/>
                <w:szCs w:val="21"/>
                <w:lang w:val="en-US" w:eastAsia="zh-CN"/>
              </w:rPr>
              <w:t>有效期提醒：</w:t>
            </w:r>
            <w:r>
              <w:rPr>
                <w:rFonts w:hint="eastAsia" w:ascii="宋体" w:hAnsi="宋体" w:eastAsia="宋体" w:cs="宋体"/>
                <w:szCs w:val="21"/>
                <w:lang w:val="en-US" w:eastAsia="zh-CN"/>
              </w:rPr>
              <w:t>库存新鲜冰冻血浆及普通冰冻血浆剩余15 天有效期，弹框提醒</w:t>
            </w:r>
            <w:r>
              <w:rPr>
                <w:rFonts w:hint="eastAsia" w:ascii="宋体" w:hAnsi="宋体" w:cs="宋体"/>
                <w:szCs w:val="21"/>
                <w:lang w:val="en-US" w:eastAsia="zh-CN"/>
              </w:rPr>
              <w:t>。</w:t>
            </w:r>
          </w:p>
          <w:p w14:paraId="333C3983">
            <w:pPr>
              <w:keepNext w:val="0"/>
              <w:keepLines w:val="0"/>
              <w:pageBreakBefore w:val="0"/>
              <w:widowControl w:val="0"/>
              <w:numPr>
                <w:ilvl w:val="1"/>
                <w:numId w:val="12"/>
              </w:numPr>
              <w:tabs>
                <w:tab w:val="clear" w:pos="840"/>
              </w:tabs>
              <w:kinsoku/>
              <w:wordWrap/>
              <w:overflowPunct/>
              <w:topLinePunct w:val="0"/>
              <w:autoSpaceDE/>
              <w:autoSpaceDN/>
              <w:bidi w:val="0"/>
              <w:adjustRightInd/>
              <w:snapToGrid/>
              <w:spacing w:before="156" w:beforeLines="50" w:line="360" w:lineRule="auto"/>
              <w:ind w:left="840" w:leftChars="0" w:hanging="420" w:firstLineChars="0"/>
              <w:textAlignment w:val="auto"/>
              <w:outlineLvl w:val="0"/>
              <w:rPr>
                <w:rFonts w:hint="eastAsia" w:ascii="宋体" w:hAnsi="宋体" w:eastAsia="宋体" w:cs="宋体"/>
                <w:szCs w:val="21"/>
                <w:lang w:val="en-US" w:eastAsia="zh-CN"/>
              </w:rPr>
            </w:pPr>
            <w:r>
              <w:rPr>
                <w:rFonts w:hint="eastAsia" w:ascii="宋体" w:hAnsi="宋体" w:cs="宋体"/>
                <w:szCs w:val="21"/>
                <w:lang w:val="en-US" w:eastAsia="zh-CN"/>
              </w:rPr>
              <w:t>具体提示信息</w:t>
            </w:r>
            <w:r>
              <w:rPr>
                <w:rFonts w:hint="eastAsia" w:ascii="宋体" w:hAnsi="宋体" w:eastAsia="宋体" w:cs="宋体"/>
                <w:szCs w:val="21"/>
                <w:lang w:val="en-US" w:eastAsia="zh-CN"/>
              </w:rPr>
              <w:t>:“X”型红细胞悬液，血袋号:XXX，有效期至XX年XX月XX日请尽快处理!血小板及血浆提醒内容类同，如有多种血制品种同时临期可显示在同一提醒框中。</w:t>
            </w:r>
          </w:p>
        </w:tc>
      </w:tr>
    </w:tbl>
    <w:p w14:paraId="0C157CD7">
      <w:pPr>
        <w:pStyle w:val="51"/>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ascii="宋体" w:hAnsi="宋体" w:eastAsia="宋体"/>
          <w:sz w:val="32"/>
          <w:szCs w:val="32"/>
        </w:rPr>
      </w:pPr>
      <w:bookmarkStart w:id="1" w:name="_6.1.2、容器服务器"/>
      <w:bookmarkEnd w:id="1"/>
    </w:p>
    <w:p w14:paraId="3A4A315D">
      <w:pPr>
        <w:pStyle w:val="3"/>
        <w:numPr>
          <w:ilvl w:val="0"/>
          <w:numId w:val="3"/>
        </w:numPr>
        <w:spacing w:before="0" w:after="0"/>
        <w:rPr>
          <w:rFonts w:ascii="宋体" w:hAnsi="宋体"/>
          <w:sz w:val="21"/>
          <w:szCs w:val="21"/>
        </w:rPr>
      </w:pPr>
      <w:r>
        <w:rPr>
          <w:rFonts w:hint="eastAsia" w:ascii="宋体" w:hAnsi="宋体"/>
          <w:sz w:val="32"/>
          <w:szCs w:val="32"/>
        </w:rPr>
        <w:t>项目工期</w:t>
      </w:r>
    </w:p>
    <w:p w14:paraId="735DC1FA">
      <w:pPr>
        <w:numPr>
          <w:ilvl w:val="0"/>
          <w:numId w:val="13"/>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w:t>
      </w:r>
      <w:r>
        <w:rPr>
          <w:rFonts w:hint="eastAsia" w:ascii="宋体" w:hAnsi="宋体" w:cs="宋体"/>
          <w:szCs w:val="21"/>
          <w:lang w:val="en-US" w:eastAsia="zh-CN"/>
        </w:rPr>
        <w:t>承建商</w:t>
      </w:r>
      <w:r>
        <w:rPr>
          <w:rFonts w:hint="eastAsia" w:ascii="宋体" w:hAnsi="宋体" w:cs="宋体"/>
          <w:szCs w:val="21"/>
        </w:rPr>
        <w:t>须在</w:t>
      </w:r>
      <w:r>
        <w:rPr>
          <w:rFonts w:ascii="宋体" w:hAnsi="宋体" w:cs="宋体"/>
          <w:szCs w:val="21"/>
        </w:rPr>
        <w:t>5</w:t>
      </w:r>
      <w:r>
        <w:rPr>
          <w:rFonts w:hint="eastAsia" w:ascii="宋体" w:hAnsi="宋体" w:cs="宋体"/>
          <w:szCs w:val="21"/>
        </w:rPr>
        <w:t>个工作日内对《用户需求说明书》进行补充、确认或提出意见。</w:t>
      </w:r>
    </w:p>
    <w:p w14:paraId="4E13F87B">
      <w:pPr>
        <w:numPr>
          <w:ilvl w:val="0"/>
          <w:numId w:val="13"/>
        </w:numPr>
        <w:tabs>
          <w:tab w:val="left" w:pos="780"/>
        </w:tabs>
        <w:spacing w:before="156" w:beforeLines="50" w:line="360" w:lineRule="auto"/>
        <w:outlineLvl w:val="0"/>
        <w:rPr>
          <w:rFonts w:ascii="宋体" w:hAnsi="宋体" w:cs="宋体"/>
          <w:szCs w:val="21"/>
        </w:rPr>
      </w:pPr>
      <w:r>
        <w:rPr>
          <w:rFonts w:hint="eastAsia" w:ascii="宋体" w:hAnsi="宋体" w:cs="宋体"/>
          <w:szCs w:val="21"/>
          <w:lang w:val="en-US" w:eastAsia="zh-CN"/>
        </w:rPr>
        <w:t>承建商</w:t>
      </w:r>
      <w:r>
        <w:rPr>
          <w:rFonts w:hint="eastAsia" w:ascii="宋体" w:hAnsi="宋体" w:cs="宋体"/>
          <w:szCs w:val="21"/>
        </w:rPr>
        <w:t>对《用户需求说明书》提出意见后，院方组织进行用户需求调研，</w:t>
      </w:r>
      <w:r>
        <w:rPr>
          <w:rFonts w:hint="eastAsia" w:ascii="宋体" w:hAnsi="宋体" w:cs="宋体"/>
          <w:szCs w:val="21"/>
          <w:lang w:val="en-US" w:eastAsia="zh-CN"/>
        </w:rPr>
        <w:t>承建商</w:t>
      </w:r>
      <w:r>
        <w:rPr>
          <w:rFonts w:hint="eastAsia" w:ascii="宋体" w:hAnsi="宋体" w:cs="宋体"/>
          <w:szCs w:val="21"/>
        </w:rPr>
        <w:t>根据调研情况提供业务调研记录、现况分析、功能设计及说明，双方共同整理并在</w:t>
      </w:r>
      <w:r>
        <w:rPr>
          <w:rFonts w:ascii="宋体" w:hAnsi="宋体" w:cs="宋体"/>
          <w:szCs w:val="21"/>
          <w:u w:val="single"/>
        </w:rPr>
        <w:t>14</w:t>
      </w:r>
      <w:r>
        <w:rPr>
          <w:rFonts w:hint="eastAsia" w:ascii="宋体" w:hAnsi="宋体" w:cs="宋体"/>
          <w:szCs w:val="21"/>
        </w:rPr>
        <w:t>个工作日内确认《需求规格说明书》。</w:t>
      </w:r>
    </w:p>
    <w:p w14:paraId="062B8FAD">
      <w:pPr>
        <w:numPr>
          <w:ilvl w:val="0"/>
          <w:numId w:val="13"/>
        </w:numPr>
        <w:tabs>
          <w:tab w:val="left" w:pos="780"/>
        </w:tabs>
        <w:spacing w:before="156" w:beforeLines="50" w:line="360" w:lineRule="auto"/>
        <w:outlineLvl w:val="0"/>
        <w:rPr>
          <w:rFonts w:ascii="宋体" w:hAnsi="宋体" w:cs="宋体"/>
          <w:szCs w:val="21"/>
        </w:rPr>
      </w:pPr>
      <w:r>
        <w:rPr>
          <w:rFonts w:hint="eastAsia" w:ascii="宋体" w:hAnsi="宋体" w:cs="宋体"/>
          <w:szCs w:val="21"/>
          <w:lang w:val="en-US" w:eastAsia="zh-CN"/>
        </w:rPr>
        <w:t>承建商</w:t>
      </w:r>
      <w:r>
        <w:rPr>
          <w:rFonts w:hint="eastAsia" w:ascii="宋体" w:hAnsi="宋体" w:cs="宋体"/>
          <w:szCs w:val="21"/>
        </w:rPr>
        <w:t>须在《需求规格说明书》确认后的</w:t>
      </w:r>
      <w:r>
        <w:rPr>
          <w:rFonts w:hint="eastAsia" w:ascii="宋体" w:hAnsi="宋体" w:cs="宋体"/>
          <w:szCs w:val="21"/>
          <w:lang w:val="en-US" w:eastAsia="zh-CN"/>
        </w:rPr>
        <w:t>60</w:t>
      </w:r>
      <w:r>
        <w:rPr>
          <w:rFonts w:hint="eastAsia" w:ascii="宋体" w:hAnsi="宋体" w:cs="宋体"/>
          <w:szCs w:val="21"/>
        </w:rPr>
        <w:t>个工作日内完成实施导入和保证系统正常工作。</w:t>
      </w:r>
    </w:p>
    <w:p w14:paraId="63442A98">
      <w:pPr>
        <w:numPr>
          <w:ilvl w:val="0"/>
          <w:numId w:val="13"/>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lang w:val="en-US" w:eastAsia="zh-CN"/>
        </w:rPr>
        <w:t>承建商</w:t>
      </w:r>
      <w:r>
        <w:rPr>
          <w:rFonts w:hint="eastAsia" w:ascii="宋体" w:hAnsi="宋体" w:cs="宋体"/>
          <w:szCs w:val="21"/>
        </w:rPr>
        <w:t>完成软件实施，并根据</w:t>
      </w:r>
      <w:r>
        <w:rPr>
          <w:rFonts w:hint="eastAsia" w:ascii="宋体" w:hAnsi="宋体" w:cs="宋体"/>
          <w:szCs w:val="21"/>
          <w:lang w:val="en-US" w:eastAsia="zh-CN"/>
        </w:rPr>
        <w:t>院</w:t>
      </w:r>
      <w:r>
        <w:rPr>
          <w:rFonts w:hint="eastAsia" w:ascii="宋体" w:hAnsi="宋体" w:cs="宋体"/>
          <w:szCs w:val="21"/>
        </w:rPr>
        <w:t>方提出的新需求完成修改后，系统运行</w:t>
      </w:r>
      <w:r>
        <w:rPr>
          <w:rFonts w:hint="eastAsia" w:ascii="宋体" w:hAnsi="宋体" w:cs="宋体"/>
          <w:szCs w:val="21"/>
          <w:lang w:eastAsia="zh-CN"/>
        </w:rPr>
        <w:t>1</w:t>
      </w:r>
      <w:r>
        <w:rPr>
          <w:rFonts w:hint="eastAsia" w:ascii="宋体" w:hAnsi="宋体" w:cs="宋体"/>
          <w:szCs w:val="21"/>
        </w:rPr>
        <w:t>个月以上无软件故障出现，则由</w:t>
      </w:r>
      <w:r>
        <w:rPr>
          <w:rFonts w:hint="eastAsia" w:ascii="宋体" w:hAnsi="宋体" w:cs="宋体"/>
          <w:szCs w:val="21"/>
          <w:lang w:val="en-US" w:eastAsia="zh-CN"/>
        </w:rPr>
        <w:t>承建商</w:t>
      </w:r>
      <w:r>
        <w:rPr>
          <w:rFonts w:hint="eastAsia" w:ascii="宋体" w:hAnsi="宋体" w:cs="宋体"/>
          <w:szCs w:val="21"/>
        </w:rPr>
        <w:t>向</w:t>
      </w:r>
      <w:r>
        <w:rPr>
          <w:rFonts w:hint="eastAsia" w:ascii="宋体" w:hAnsi="宋体" w:cs="宋体"/>
          <w:szCs w:val="21"/>
          <w:lang w:val="en-US" w:eastAsia="zh-CN"/>
        </w:rPr>
        <w:t>院</w:t>
      </w:r>
      <w:r>
        <w:rPr>
          <w:rFonts w:hint="eastAsia" w:ascii="宋体" w:hAnsi="宋体" w:cs="宋体"/>
          <w:szCs w:val="21"/>
        </w:rPr>
        <w:t>方申请验收。</w:t>
      </w:r>
    </w:p>
    <w:p w14:paraId="551C1509">
      <w:pPr>
        <w:numPr>
          <w:ilvl w:val="0"/>
          <w:numId w:val="13"/>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以上各阶段</w:t>
      </w:r>
      <w:r>
        <w:rPr>
          <w:rFonts w:hint="eastAsia" w:ascii="宋体" w:hAnsi="宋体" w:cs="宋体"/>
          <w:szCs w:val="21"/>
          <w:lang w:val="en-US" w:eastAsia="zh-CN"/>
        </w:rPr>
        <w:t>承建商</w:t>
      </w:r>
      <w:r>
        <w:rPr>
          <w:rFonts w:hint="eastAsia" w:ascii="宋体" w:hAnsi="宋体" w:cs="宋体"/>
          <w:szCs w:val="21"/>
        </w:rPr>
        <w:t>如因提交合同标的质量问题而致工期延误则由</w:t>
      </w:r>
      <w:r>
        <w:rPr>
          <w:rFonts w:hint="eastAsia" w:ascii="宋体" w:hAnsi="宋体" w:cs="宋体"/>
          <w:szCs w:val="21"/>
          <w:lang w:val="en-US" w:eastAsia="zh-CN"/>
        </w:rPr>
        <w:t>承建商</w:t>
      </w:r>
      <w:r>
        <w:rPr>
          <w:rFonts w:hint="eastAsia" w:ascii="宋体" w:hAnsi="宋体" w:cs="宋体"/>
          <w:szCs w:val="21"/>
        </w:rPr>
        <w:t>对延误工期承担责任；如因</w:t>
      </w:r>
      <w:r>
        <w:rPr>
          <w:rFonts w:hint="eastAsia" w:ascii="宋体" w:hAnsi="宋体" w:cs="宋体"/>
          <w:szCs w:val="21"/>
          <w:lang w:val="en-US" w:eastAsia="zh-CN"/>
        </w:rPr>
        <w:t>院</w:t>
      </w:r>
      <w:r>
        <w:rPr>
          <w:rFonts w:hint="eastAsia" w:ascii="宋体" w:hAnsi="宋体" w:cs="宋体"/>
          <w:szCs w:val="21"/>
        </w:rPr>
        <w:t>方未按约定提供支持与配合工作致工期延误则由</w:t>
      </w:r>
      <w:r>
        <w:rPr>
          <w:rFonts w:hint="eastAsia" w:ascii="宋体" w:hAnsi="宋体" w:cs="宋体"/>
          <w:szCs w:val="21"/>
          <w:lang w:val="en-US" w:eastAsia="zh-CN"/>
        </w:rPr>
        <w:t>院</w:t>
      </w:r>
      <w:r>
        <w:rPr>
          <w:rFonts w:hint="eastAsia" w:ascii="宋体" w:hAnsi="宋体" w:cs="宋体"/>
          <w:szCs w:val="21"/>
        </w:rPr>
        <w:t>方对延误工期承担责任。</w:t>
      </w:r>
    </w:p>
    <w:p w14:paraId="071A8731">
      <w:pPr>
        <w:rPr>
          <w:rFonts w:ascii="宋体" w:hAnsi="宋体"/>
          <w:lang w:val="zh-CN" w:eastAsia="zh-CN"/>
        </w:rPr>
      </w:pPr>
    </w:p>
    <w:p w14:paraId="69931A22">
      <w:pPr>
        <w:pStyle w:val="3"/>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14:paraId="1C58101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034BEBAE">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6A04F8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DB70719">
      <w:pPr>
        <w:rPr>
          <w:rFonts w:ascii="宋体" w:hAnsi="宋体"/>
          <w:lang w:eastAsia="zh-CN"/>
        </w:rPr>
      </w:pPr>
    </w:p>
    <w:p w14:paraId="454E1E0C">
      <w:pPr>
        <w:pStyle w:val="3"/>
        <w:numPr>
          <w:ilvl w:val="0"/>
          <w:numId w:val="3"/>
        </w:numPr>
        <w:spacing w:before="0" w:after="0"/>
        <w:rPr>
          <w:rFonts w:ascii="宋体" w:hAnsi="宋体"/>
          <w:color w:val="FF0000"/>
          <w:sz w:val="32"/>
          <w:szCs w:val="32"/>
        </w:rPr>
      </w:pPr>
      <w:r>
        <w:rPr>
          <w:rFonts w:hint="eastAsia" w:ascii="宋体" w:hAnsi="宋体"/>
          <w:sz w:val="32"/>
          <w:szCs w:val="32"/>
        </w:rPr>
        <w:t>后续维护服务</w:t>
      </w:r>
    </w:p>
    <w:p w14:paraId="008A3692">
      <w:pPr>
        <w:tabs>
          <w:tab w:val="left" w:pos="780"/>
        </w:tabs>
        <w:spacing w:before="156" w:beforeLines="50" w:line="360" w:lineRule="auto"/>
        <w:ind w:firstLine="420" w:firstLineChars="200"/>
        <w:outlineLvl w:val="0"/>
        <w:rPr>
          <w:rFonts w:hint="eastAsia" w:ascii="宋体" w:hAnsi="宋体" w:cs="宋体"/>
          <w:szCs w:val="21"/>
          <w:lang w:val="en-US" w:eastAsia="zh-CN"/>
        </w:rPr>
      </w:pPr>
      <w:r>
        <w:rPr>
          <w:rFonts w:hint="eastAsia" w:ascii="宋体" w:hAnsi="宋体" w:cs="宋体"/>
          <w:szCs w:val="21"/>
          <w:lang w:val="en-US" w:eastAsia="zh-CN"/>
        </w:rPr>
        <w:t>应用软件维护期从合同标的验收合格之日（分段验收的以最后验收期为准）算起，期限为24个月。在维护期内，承建商提供技术支持和指导，以及软件的局部改进完善以及故障情况下的现场问题解决。维保期内承建商为院方提供维护及服务的部门及固定的专职技术人员,提供7*24小时响应服务。</w:t>
      </w:r>
    </w:p>
    <w:p w14:paraId="4059FE8A">
      <w:pPr>
        <w:tabs>
          <w:tab w:val="left" w:pos="780"/>
        </w:tabs>
        <w:spacing w:before="156" w:beforeLines="50" w:line="360" w:lineRule="auto"/>
        <w:ind w:firstLine="420" w:firstLineChars="200"/>
        <w:outlineLvl w:val="0"/>
        <w:rPr>
          <w:rFonts w:hint="eastAsia" w:ascii="宋体" w:hAnsi="宋体" w:cs="宋体"/>
          <w:szCs w:val="21"/>
          <w:lang w:val="en-US" w:eastAsia="zh-CN"/>
        </w:rPr>
      </w:pPr>
      <w:r>
        <w:rPr>
          <w:rFonts w:hint="eastAsia" w:ascii="宋体" w:hAnsi="宋体" w:cs="宋体"/>
          <w:szCs w:val="21"/>
          <w:lang w:val="en-US" w:eastAsia="zh-CN"/>
        </w:rPr>
        <w:t>在维护期结束前，须由承建商和院方进行一次全面检查，任何缺陷必须由承建商负责修复，在修复之后，承建商应将缺陷原因、修复内容、完成修理及恢复正常的时间和日期等报告给院方，形成项目总结报告加盖公章提交院方。</w:t>
      </w:r>
    </w:p>
    <w:p w14:paraId="77BC3CF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lang w:eastAsia="zh-CN"/>
        </w:rPr>
        <w:t>承建商</w:t>
      </w:r>
      <w:r>
        <w:rPr>
          <w:rFonts w:hint="eastAsia" w:ascii="宋体" w:hAnsi="宋体" w:cs="宋体"/>
          <w:szCs w:val="21"/>
        </w:rPr>
        <w:t>应作出无推诿承诺。即</w:t>
      </w:r>
      <w:r>
        <w:rPr>
          <w:rFonts w:hint="eastAsia" w:ascii="宋体" w:hAnsi="宋体" w:cs="宋体"/>
          <w:szCs w:val="21"/>
          <w:lang w:eastAsia="zh-CN"/>
        </w:rPr>
        <w:t>承建商</w:t>
      </w:r>
      <w:r>
        <w:rPr>
          <w:rFonts w:hint="eastAsia" w:ascii="宋体" w:hAnsi="宋体" w:cs="宋体"/>
          <w:szCs w:val="21"/>
        </w:rPr>
        <w:t>在收到</w:t>
      </w:r>
      <w:r>
        <w:rPr>
          <w:rFonts w:hint="eastAsia" w:ascii="宋体" w:hAnsi="宋体" w:cs="宋体"/>
          <w:szCs w:val="21"/>
          <w:lang w:eastAsia="zh-CN"/>
        </w:rPr>
        <w:t>院方</w:t>
      </w:r>
      <w:r>
        <w:rPr>
          <w:rFonts w:hint="eastAsia" w:ascii="宋体" w:hAnsi="宋体" w:cs="宋体"/>
          <w:szCs w:val="21"/>
        </w:rPr>
        <w:t>报修通知及要求后，须立即派技术人员到场，全力协助、使系统尽快恢复正常。</w:t>
      </w:r>
    </w:p>
    <w:p w14:paraId="6B97BAD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w:t>
      </w:r>
      <w:r>
        <w:rPr>
          <w:rFonts w:hint="eastAsia" w:ascii="宋体" w:hAnsi="宋体" w:cs="宋体"/>
          <w:szCs w:val="21"/>
          <w:lang w:val="en-US" w:eastAsia="zh-CN"/>
        </w:rPr>
        <w:t>服务</w:t>
      </w:r>
      <w:r>
        <w:rPr>
          <w:rFonts w:hint="eastAsia" w:ascii="宋体" w:hAnsi="宋体" w:cs="宋体"/>
          <w:szCs w:val="21"/>
        </w:rPr>
        <w:t>期的，双方另行协商签订维护合同，服务方报价不超过合同软件部分金额的8%。</w:t>
      </w:r>
    </w:p>
    <w:p w14:paraId="7FA308E9">
      <w:pPr>
        <w:pStyle w:val="3"/>
        <w:numPr>
          <w:ilvl w:val="0"/>
          <w:numId w:val="3"/>
        </w:numPr>
        <w:spacing w:before="0" w:after="0"/>
        <w:rPr>
          <w:rFonts w:ascii="宋体" w:hAnsi="宋体"/>
          <w:color w:val="FF0000"/>
          <w:sz w:val="32"/>
          <w:szCs w:val="32"/>
        </w:rPr>
      </w:pPr>
      <w:r>
        <w:rPr>
          <w:rFonts w:hint="eastAsia" w:ascii="宋体" w:hAnsi="宋体"/>
          <w:sz w:val="32"/>
          <w:szCs w:val="32"/>
        </w:rPr>
        <w:t>合同款支付方式</w:t>
      </w:r>
    </w:p>
    <w:p w14:paraId="05CE98EE">
      <w:pPr>
        <w:spacing w:line="360" w:lineRule="auto"/>
        <w:ind w:firstLine="630" w:firstLineChars="300"/>
        <w:rPr>
          <w:rFonts w:ascii="宋体" w:hAnsi="宋体" w:cs="宋体"/>
          <w:szCs w:val="21"/>
        </w:rPr>
      </w:pPr>
      <w:r>
        <w:rPr>
          <w:rFonts w:hint="eastAsia" w:ascii="宋体" w:hAnsi="宋体" w:cs="宋体"/>
          <w:szCs w:val="21"/>
        </w:rPr>
        <w:t>(一)合同签订后，甲方在收到乙方开具相应金额正式发票后，向乙方支付合同总金额的30%。</w:t>
      </w:r>
    </w:p>
    <w:p w14:paraId="6E72CC32">
      <w:pPr>
        <w:spacing w:line="360" w:lineRule="auto"/>
        <w:ind w:firstLine="630" w:firstLineChars="300"/>
        <w:rPr>
          <w:rFonts w:ascii="宋体" w:hAnsi="宋体" w:cs="宋体"/>
          <w:szCs w:val="21"/>
        </w:rPr>
      </w:pPr>
      <w:r>
        <w:rPr>
          <w:rFonts w:hint="eastAsia" w:ascii="宋体" w:hAnsi="宋体" w:cs="宋体"/>
          <w:szCs w:val="21"/>
        </w:rPr>
        <w:t>(三)</w:t>
      </w:r>
      <w:r>
        <w:rPr>
          <w:rFonts w:hint="eastAsia" w:ascii="宋体" w:hAnsi="宋体" w:cs="宋体"/>
          <w:szCs w:val="21"/>
          <w:lang w:eastAsia="zh-CN"/>
        </w:rPr>
        <w:t>软件验收通过后，甲方在收到乙方开具相应金额正式发票后，向乙方支付合同总金额的</w:t>
      </w:r>
      <w:r>
        <w:rPr>
          <w:rFonts w:hint="eastAsia" w:ascii="宋体" w:hAnsi="宋体" w:cs="宋体"/>
          <w:szCs w:val="21"/>
          <w:lang w:val="en-US" w:eastAsia="zh-CN"/>
        </w:rPr>
        <w:t>70</w:t>
      </w:r>
      <w:r>
        <w:rPr>
          <w:rFonts w:hint="eastAsia" w:ascii="宋体" w:hAnsi="宋体" w:cs="宋体"/>
          <w:szCs w:val="21"/>
          <w:lang w:eastAsia="zh-CN"/>
        </w:rPr>
        <w:t>%</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1C034">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4</w:t>
    </w:r>
    <w:r>
      <w:rPr>
        <w:caps/>
        <w:color w:val="5B9BD5"/>
      </w:rPr>
      <w:fldChar w:fldCharType="end"/>
    </w:r>
  </w:p>
  <w:p w14:paraId="04687E8B">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singleLevel"/>
    <w:tmpl w:val="00000001"/>
    <w:lvl w:ilvl="0" w:tentative="0">
      <w:start w:val="1"/>
      <w:numFmt w:val="decimal"/>
      <w:suff w:val="space"/>
      <w:lvlText w:val="%1."/>
      <w:lvlJc w:val="left"/>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03"/>
    <w:multiLevelType w:val="singleLevel"/>
    <w:tmpl w:val="00000003"/>
    <w:lvl w:ilvl="0" w:tentative="0">
      <w:start w:val="1"/>
      <w:numFmt w:val="decimal"/>
      <w:suff w:val="space"/>
      <w:lvlText w:val="%1."/>
      <w:lvlJc w:val="left"/>
    </w:lvl>
  </w:abstractNum>
  <w:abstractNum w:abstractNumId="4">
    <w:nsid w:val="00000004"/>
    <w:multiLevelType w:val="multilevel"/>
    <w:tmpl w:val="00000004"/>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00000005"/>
    <w:multiLevelType w:val="multilevel"/>
    <w:tmpl w:val="00000005"/>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00000006"/>
    <w:multiLevelType w:val="multilevel"/>
    <w:tmpl w:val="00000006"/>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8">
    <w:nsid w:val="00000008"/>
    <w:multiLevelType w:val="singleLevel"/>
    <w:tmpl w:val="00000008"/>
    <w:lvl w:ilvl="0" w:tentative="0">
      <w:start w:val="1"/>
      <w:numFmt w:val="decimal"/>
      <w:suff w:val="space"/>
      <w:lvlText w:val="%1."/>
      <w:lvlJc w:val="left"/>
    </w:lvl>
  </w:abstractNum>
  <w:abstractNum w:abstractNumId="9">
    <w:nsid w:val="00000009"/>
    <w:multiLevelType w:val="multilevel"/>
    <w:tmpl w:val="00000009"/>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pStyle w:val="52"/>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0000000A"/>
    <w:multiLevelType w:val="multilevel"/>
    <w:tmpl w:val="0000000A"/>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0000000B"/>
    <w:multiLevelType w:val="singleLevel"/>
    <w:tmpl w:val="0000000B"/>
    <w:lvl w:ilvl="0" w:tentative="0">
      <w:start w:val="1"/>
      <w:numFmt w:val="decimal"/>
      <w:suff w:val="space"/>
      <w:lvlText w:val="%1."/>
      <w:lvlJc w:val="left"/>
    </w:lvl>
  </w:abstractNum>
  <w:abstractNum w:abstractNumId="12">
    <w:nsid w:val="0000000C"/>
    <w:multiLevelType w:val="multilevel"/>
    <w:tmpl w:val="0000000C"/>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7"/>
  </w:num>
  <w:num w:numId="2">
    <w:abstractNumId w:val="9"/>
  </w:num>
  <w:num w:numId="3">
    <w:abstractNumId w:val="10"/>
  </w:num>
  <w:num w:numId="4">
    <w:abstractNumId w:val="8"/>
  </w:num>
  <w:num w:numId="5">
    <w:abstractNumId w:val="11"/>
  </w:num>
  <w:num w:numId="6">
    <w:abstractNumId w:val="0"/>
  </w:num>
  <w:num w:numId="7">
    <w:abstractNumId w:val="1"/>
  </w:num>
  <w:num w:numId="8">
    <w:abstractNumId w:val="2"/>
  </w:num>
  <w:num w:numId="9">
    <w:abstractNumId w:val="3"/>
  </w:num>
  <w:num w:numId="10">
    <w:abstractNumId w:val="5"/>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1513470"/>
    <w:rsid w:val="62FA7296"/>
    <w:rsid w:val="7A4D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4">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5">
    <w:name w:val="heading 3"/>
    <w:basedOn w:val="1"/>
    <w:next w:val="1"/>
    <w:link w:val="29"/>
    <w:qFormat/>
    <w:uiPriority w:val="0"/>
    <w:pPr>
      <w:keepNext/>
      <w:keepLines/>
      <w:spacing w:before="260" w:after="260" w:line="416" w:lineRule="auto"/>
      <w:outlineLvl w:val="2"/>
    </w:pPr>
    <w:rPr>
      <w:b/>
      <w:bCs/>
      <w:sz w:val="30"/>
      <w:szCs w:val="30"/>
      <w:lang w:val="zh-CN" w:eastAsia="zh-CN"/>
    </w:rPr>
  </w:style>
  <w:style w:type="paragraph" w:styleId="6">
    <w:name w:val="heading 4"/>
    <w:basedOn w:val="1"/>
    <w:next w:val="1"/>
    <w:link w:val="30"/>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7">
    <w:name w:val="heading 5"/>
    <w:basedOn w:val="1"/>
    <w:next w:val="1"/>
    <w:link w:val="31"/>
    <w:qFormat/>
    <w:uiPriority w:val="0"/>
    <w:pPr>
      <w:keepNext/>
      <w:keepLines/>
      <w:numPr>
        <w:ilvl w:val="4"/>
        <w:numId w:val="1"/>
      </w:numPr>
      <w:spacing w:before="280" w:after="290" w:line="376" w:lineRule="auto"/>
      <w:outlineLvl w:val="4"/>
    </w:pPr>
    <w:rPr>
      <w:b/>
      <w:bCs/>
      <w:sz w:val="28"/>
      <w:szCs w:val="28"/>
      <w:lang w:val="zh-CN" w:eastAsia="zh-CN"/>
    </w:rPr>
  </w:style>
  <w:style w:type="paragraph" w:styleId="8">
    <w:name w:val="heading 6"/>
    <w:basedOn w:val="1"/>
    <w:next w:val="1"/>
    <w:link w:val="32"/>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9">
    <w:name w:val="heading 7"/>
    <w:basedOn w:val="1"/>
    <w:next w:val="1"/>
    <w:link w:val="33"/>
    <w:qFormat/>
    <w:uiPriority w:val="0"/>
    <w:pPr>
      <w:keepNext/>
      <w:keepLines/>
      <w:numPr>
        <w:ilvl w:val="6"/>
        <w:numId w:val="1"/>
      </w:numPr>
      <w:spacing w:before="240" w:after="64" w:line="320" w:lineRule="auto"/>
      <w:outlineLvl w:val="6"/>
    </w:pPr>
    <w:rPr>
      <w:b/>
      <w:bCs/>
      <w:sz w:val="24"/>
      <w:lang w:val="zh-CN" w:eastAsia="zh-CN"/>
    </w:rPr>
  </w:style>
  <w:style w:type="paragraph" w:styleId="10">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1">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sz w:val="30"/>
      <w:szCs w:val="20"/>
    </w:rPr>
  </w:style>
  <w:style w:type="paragraph" w:styleId="12">
    <w:name w:val="Normal Indent"/>
    <w:basedOn w:val="1"/>
    <w:link w:val="36"/>
    <w:qFormat/>
    <w:uiPriority w:val="99"/>
    <w:pPr>
      <w:spacing w:before="120" w:beforeLines="50" w:line="360" w:lineRule="auto"/>
      <w:ind w:firstLine="512" w:firstLineChars="200"/>
    </w:pPr>
    <w:rPr>
      <w:spacing w:val="8"/>
      <w:sz w:val="24"/>
      <w:szCs w:val="20"/>
    </w:rPr>
  </w:style>
  <w:style w:type="paragraph" w:styleId="13">
    <w:name w:val="annotation text"/>
    <w:basedOn w:val="1"/>
    <w:link w:val="37"/>
    <w:qFormat/>
    <w:uiPriority w:val="0"/>
    <w:pPr>
      <w:jc w:val="left"/>
    </w:pPr>
    <w:rPr>
      <w:kern w:val="0"/>
      <w:sz w:val="20"/>
      <w:lang w:val="zh-CN" w:eastAsia="zh-CN"/>
    </w:rPr>
  </w:style>
  <w:style w:type="paragraph" w:styleId="14">
    <w:name w:val="Plain Text"/>
    <w:basedOn w:val="1"/>
    <w:link w:val="38"/>
    <w:qFormat/>
    <w:uiPriority w:val="0"/>
    <w:rPr>
      <w:rFonts w:ascii="Calibri" w:hAnsi="Courier New"/>
      <w:szCs w:val="20"/>
      <w:lang w:val="zh-CN" w:eastAsia="zh-CN"/>
    </w:rPr>
  </w:style>
  <w:style w:type="paragraph" w:styleId="15">
    <w:name w:val="Balloon Text"/>
    <w:basedOn w:val="1"/>
    <w:link w:val="39"/>
    <w:qFormat/>
    <w:uiPriority w:val="0"/>
    <w:rPr>
      <w:sz w:val="18"/>
      <w:szCs w:val="18"/>
      <w:lang w:val="zh-CN" w:eastAsia="zh-CN"/>
    </w:rPr>
  </w:style>
  <w:style w:type="paragraph" w:styleId="16">
    <w:name w:val="footer"/>
    <w:basedOn w:val="1"/>
    <w:link w:val="40"/>
    <w:qFormat/>
    <w:uiPriority w:val="0"/>
    <w:pPr>
      <w:tabs>
        <w:tab w:val="center" w:pos="4153"/>
        <w:tab w:val="right" w:pos="8306"/>
      </w:tabs>
      <w:snapToGrid w:val="0"/>
      <w:jc w:val="left"/>
    </w:pPr>
    <w:rPr>
      <w:sz w:val="18"/>
      <w:szCs w:val="18"/>
      <w:lang w:val="zh-CN" w:eastAsia="zh-CN"/>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8">
    <w:name w:val="Subtitle"/>
    <w:basedOn w:val="1"/>
    <w:next w:val="1"/>
    <w:link w:val="66"/>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Hyperlink"/>
    <w:qFormat/>
    <w:uiPriority w:val="0"/>
    <w:rPr>
      <w:color w:val="0563C1"/>
      <w:u w:val="single"/>
    </w:rPr>
  </w:style>
  <w:style w:type="character" w:styleId="25">
    <w:name w:val="HTML Code"/>
    <w:basedOn w:val="22"/>
    <w:qFormat/>
    <w:uiPriority w:val="0"/>
    <w:rPr>
      <w:rFonts w:ascii="Courier New" w:hAnsi="Courier New"/>
      <w:sz w:val="20"/>
    </w:rPr>
  </w:style>
  <w:style w:type="character" w:styleId="26">
    <w:name w:val="annotation reference"/>
    <w:qFormat/>
    <w:uiPriority w:val="99"/>
    <w:rPr>
      <w:sz w:val="21"/>
      <w:szCs w:val="21"/>
    </w:rPr>
  </w:style>
  <w:style w:type="character" w:customStyle="1" w:styleId="27">
    <w:name w:val="标题 1 字符"/>
    <w:link w:val="3"/>
    <w:qFormat/>
    <w:uiPriority w:val="0"/>
    <w:rPr>
      <w:b/>
      <w:bCs/>
      <w:kern w:val="44"/>
      <w:sz w:val="44"/>
      <w:szCs w:val="44"/>
      <w:lang w:val="zh-CN" w:eastAsia="zh-CN"/>
    </w:rPr>
  </w:style>
  <w:style w:type="character" w:customStyle="1" w:styleId="28">
    <w:name w:val="标题 2 字符"/>
    <w:link w:val="4"/>
    <w:qFormat/>
    <w:uiPriority w:val="0"/>
    <w:rPr>
      <w:rFonts w:ascii="等线 Light" w:hAnsi="等线 Light" w:eastAsia="等线 Light" w:cs="Times New Roman"/>
      <w:b/>
      <w:bCs/>
      <w:kern w:val="2"/>
      <w:sz w:val="32"/>
      <w:szCs w:val="32"/>
    </w:rPr>
  </w:style>
  <w:style w:type="character" w:customStyle="1" w:styleId="29">
    <w:name w:val="标题 3 字符"/>
    <w:link w:val="5"/>
    <w:qFormat/>
    <w:uiPriority w:val="0"/>
    <w:rPr>
      <w:b/>
      <w:bCs/>
      <w:kern w:val="2"/>
      <w:sz w:val="30"/>
      <w:szCs w:val="30"/>
    </w:rPr>
  </w:style>
  <w:style w:type="character" w:customStyle="1" w:styleId="30">
    <w:name w:val="标题 4 字符"/>
    <w:link w:val="6"/>
    <w:qFormat/>
    <w:uiPriority w:val="0"/>
    <w:rPr>
      <w:rFonts w:ascii="宋体" w:hAnsi="宋体"/>
      <w:b/>
      <w:bCs/>
      <w:kern w:val="2"/>
      <w:sz w:val="28"/>
      <w:szCs w:val="28"/>
    </w:rPr>
  </w:style>
  <w:style w:type="character" w:customStyle="1" w:styleId="31">
    <w:name w:val="标题 5 字符"/>
    <w:link w:val="7"/>
    <w:qFormat/>
    <w:uiPriority w:val="0"/>
    <w:rPr>
      <w:b/>
      <w:bCs/>
      <w:kern w:val="2"/>
      <w:sz w:val="28"/>
      <w:szCs w:val="28"/>
    </w:rPr>
  </w:style>
  <w:style w:type="character" w:customStyle="1" w:styleId="32">
    <w:name w:val="标题 6 字符"/>
    <w:link w:val="8"/>
    <w:qFormat/>
    <w:uiPriority w:val="0"/>
    <w:rPr>
      <w:rFonts w:ascii="等线 Light" w:hAnsi="等线 Light" w:eastAsia="等线 Light"/>
      <w:b/>
      <w:bCs/>
      <w:kern w:val="2"/>
      <w:sz w:val="24"/>
      <w:szCs w:val="24"/>
    </w:rPr>
  </w:style>
  <w:style w:type="character" w:customStyle="1" w:styleId="33">
    <w:name w:val="标题 7 字符"/>
    <w:link w:val="9"/>
    <w:qFormat/>
    <w:uiPriority w:val="0"/>
    <w:rPr>
      <w:b/>
      <w:bCs/>
      <w:kern w:val="2"/>
      <w:sz w:val="24"/>
      <w:szCs w:val="24"/>
    </w:rPr>
  </w:style>
  <w:style w:type="character" w:customStyle="1" w:styleId="34">
    <w:name w:val="标题 8 字符"/>
    <w:link w:val="10"/>
    <w:qFormat/>
    <w:uiPriority w:val="0"/>
    <w:rPr>
      <w:rFonts w:ascii="等线 Light" w:hAnsi="等线 Light" w:eastAsia="等线 Light"/>
      <w:kern w:val="2"/>
      <w:sz w:val="24"/>
      <w:szCs w:val="24"/>
    </w:rPr>
  </w:style>
  <w:style w:type="character" w:customStyle="1" w:styleId="35">
    <w:name w:val="标题 9 字符"/>
    <w:link w:val="11"/>
    <w:qFormat/>
    <w:uiPriority w:val="0"/>
    <w:rPr>
      <w:rFonts w:ascii="等线 Light" w:hAnsi="等线 Light" w:eastAsia="等线 Light"/>
      <w:kern w:val="2"/>
      <w:sz w:val="21"/>
      <w:szCs w:val="21"/>
    </w:rPr>
  </w:style>
  <w:style w:type="character" w:customStyle="1" w:styleId="36">
    <w:name w:val="正文缩进 字符"/>
    <w:link w:val="12"/>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lang w:val="zh-CN" w:eastAsia="zh-CN"/>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字符"/>
    <w:link w:val="51"/>
    <w:qFormat/>
    <w:uiPriority w:val="34"/>
    <w:rPr>
      <w:rFonts w:ascii="等线" w:hAnsi="等线" w:eastAsia="等线"/>
      <w:kern w:val="2"/>
      <w:sz w:val="21"/>
      <w:szCs w:val="22"/>
    </w:rPr>
  </w:style>
  <w:style w:type="paragraph" w:styleId="51">
    <w:name w:val="List Paragraph"/>
    <w:basedOn w:val="1"/>
    <w:link w:val="50"/>
    <w:qFormat/>
    <w:uiPriority w:val="34"/>
    <w:pPr>
      <w:ind w:firstLine="420" w:firstLineChars="200"/>
    </w:pPr>
    <w:rPr>
      <w:rFonts w:ascii="等线" w:hAnsi="等线" w:eastAsia="等线"/>
      <w:szCs w:val="22"/>
      <w:lang w:val="zh-CN" w:eastAsia="zh-CN"/>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6"/>
    <w:next w:val="1"/>
    <w:qFormat/>
    <w:uiPriority w:val="0"/>
    <w:pPr>
      <w:widowControl/>
      <w:numPr>
        <w:ilvl w:val="0"/>
        <w:numId w:val="2"/>
      </w:numPr>
      <w:spacing w:after="156"/>
      <w:ind w:left="200" w:leftChars="200"/>
      <w:jc w:val="left"/>
    </w:pPr>
    <w:rPr>
      <w:rFonts w:ascii="Arial" w:hAnsi="Arial" w:eastAsia="黑体"/>
      <w:bCs w:val="0"/>
      <w:kern w:val="0"/>
    </w:rPr>
  </w:style>
  <w:style w:type="paragraph" w:customStyle="1" w:styleId="59">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3"/>
    <w:next w:val="1"/>
    <w:qFormat/>
    <w:uiPriority w:val="0"/>
    <w:pPr>
      <w:pageBreakBefore/>
      <w:numPr>
        <w:ilvl w:val="0"/>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Id w:val="0"/>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副标题 字符"/>
    <w:link w:val="18"/>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4580</Words>
  <Characters>4640</Characters>
  <Paragraphs>120</Paragraphs>
  <TotalTime>12</TotalTime>
  <ScaleCrop>false</ScaleCrop>
  <LinksUpToDate>false</LinksUpToDate>
  <CharactersWithSpaces>4646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赵杰</cp:lastModifiedBy>
  <dcterms:modified xsi:type="dcterms:W3CDTF">2025-03-31T03:49:45Z</dcterms:modified>
  <dc:title>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3461CB32A6CC4CF6A4DD788CBDB269C1_13</vt:lpwstr>
  </property>
  <property fmtid="{D5CDD505-2E9C-101B-9397-08002B2CF9AE}" pid="4" name="KSOTemplateDocerSaveRecord">
    <vt:lpwstr>eyJoZGlkIjoiZTNmZWQ4ZDMyMDU2MTY4ZmY4YjFhYjNkNzYxMTI0OWEiLCJ1c2VySWQiOiI4MjEzNDE2NTAifQ==</vt:lpwstr>
  </property>
</Properties>
</file>