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E05BC">
      <w:pPr>
        <w:spacing w:before="624" w:beforeLines="200" w:after="312" w:afterLines="100" w:line="360" w:lineRule="auto"/>
        <w:ind w:left="-283" w:leftChars="-135" w:right="-426" w:rightChars="-203"/>
        <w:jc w:val="center"/>
        <w:rPr>
          <w:rFonts w:hint="eastAsia"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</w:rPr>
        <w:t>Medicine Advances《医学前沿（英文）》杂志期刊公众号、投审稿系统租赁及配套服务项目</w:t>
      </w:r>
      <w:r>
        <w:rPr>
          <w:rFonts w:hint="eastAsia" w:ascii="仿宋" w:hAnsi="仿宋" w:eastAsia="仿宋" w:cs="仿宋"/>
          <w:b/>
          <w:sz w:val="44"/>
          <w:szCs w:val="30"/>
        </w:rPr>
        <w:t>（2025年）</w:t>
      </w:r>
      <w:r>
        <w:rPr>
          <w:rFonts w:hint="eastAsia" w:ascii="仿宋" w:hAnsi="仿宋" w:eastAsia="仿宋" w:cs="仿宋"/>
          <w:b/>
          <w:sz w:val="44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sz w:val="44"/>
          <w:szCs w:val="30"/>
        </w:rPr>
        <w:t>需求</w:t>
      </w:r>
    </w:p>
    <w:p w14:paraId="16289F9F">
      <w:pPr>
        <w:spacing w:line="360" w:lineRule="auto"/>
        <w:ind w:left="432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本次院内比选采购限价：98万元，需按照采购清单分项报价，采购内容如下：</w:t>
      </w:r>
    </w:p>
    <w:p w14:paraId="1F0EE4ED">
      <w:pPr>
        <w:pStyle w:val="2"/>
        <w:numPr>
          <w:ilvl w:val="0"/>
          <w:numId w:val="0"/>
        </w:numPr>
        <w:spacing w:before="0" w:after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一、项目名称</w:t>
      </w:r>
    </w:p>
    <w:p w14:paraId="19711398">
      <w:pPr>
        <w:spacing w:line="360" w:lineRule="auto"/>
        <w:ind w:left="432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项目名称：Medicine Advances《医学前沿（英文）》杂志期刊公众号、投审稿系统租赁及配套服务项目</w:t>
      </w:r>
      <w:r>
        <w:rPr>
          <w:rFonts w:hint="eastAsia" w:ascii="仿宋" w:hAnsi="仿宋" w:eastAsia="仿宋" w:cs="仿宋"/>
          <w:sz w:val="24"/>
        </w:rPr>
        <w:t>（2025年</w:t>
      </w:r>
      <w:r>
        <w:rPr>
          <w:rFonts w:hint="eastAsia" w:ascii="仿宋" w:hAnsi="仿宋" w:eastAsia="仿宋" w:cs="仿宋"/>
          <w:sz w:val="24"/>
          <w:lang w:val="en-US" w:eastAsia="zh-CN"/>
        </w:rPr>
        <w:t>度</w:t>
      </w:r>
      <w:bookmarkStart w:id="2" w:name="_GoBack"/>
      <w:bookmarkEnd w:id="2"/>
      <w:r>
        <w:rPr>
          <w:rFonts w:hint="eastAsia" w:ascii="仿宋" w:hAnsi="仿宋" w:eastAsia="仿宋" w:cs="仿宋"/>
          <w:sz w:val="24"/>
        </w:rPr>
        <w:t>）</w:t>
      </w:r>
    </w:p>
    <w:p w14:paraId="22096A3D">
      <w:pPr>
        <w:pStyle w:val="2"/>
        <w:numPr>
          <w:ilvl w:val="0"/>
          <w:numId w:val="0"/>
        </w:numPr>
        <w:spacing w:before="0" w:after="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32"/>
          <w:szCs w:val="32"/>
        </w:rPr>
        <w:t>二、项目内容</w:t>
      </w:r>
    </w:p>
    <w:tbl>
      <w:tblPr>
        <w:tblStyle w:val="1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657"/>
        <w:gridCol w:w="4536"/>
      </w:tblGrid>
      <w:tr w14:paraId="1A55A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 w14:paraId="757BD32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3657" w:type="dxa"/>
            <w:vAlign w:val="center"/>
          </w:tcPr>
          <w:p w14:paraId="2A60EB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内容</w:t>
            </w:r>
          </w:p>
        </w:tc>
        <w:tc>
          <w:tcPr>
            <w:tcW w:w="4536" w:type="dxa"/>
            <w:vAlign w:val="center"/>
          </w:tcPr>
          <w:p w14:paraId="632B973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内容描述</w:t>
            </w:r>
          </w:p>
        </w:tc>
      </w:tr>
      <w:tr w14:paraId="01884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 w14:paraId="63629804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</w:t>
            </w:r>
          </w:p>
        </w:tc>
        <w:tc>
          <w:tcPr>
            <w:tcW w:w="3657" w:type="dxa"/>
            <w:vAlign w:val="center"/>
          </w:tcPr>
          <w:p w14:paraId="586EC0A5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期刊数字平台运营与管理</w:t>
            </w:r>
          </w:p>
        </w:tc>
        <w:tc>
          <w:tcPr>
            <w:tcW w:w="4536" w:type="dxa"/>
            <w:vAlign w:val="center"/>
          </w:tcPr>
          <w:p w14:paraId="2BE16910">
            <w:pPr>
              <w:jc w:val="center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>详见四、详细内容描述 序号1</w:t>
            </w:r>
          </w:p>
        </w:tc>
      </w:tr>
      <w:tr w14:paraId="03976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 w14:paraId="64EF75DA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3657" w:type="dxa"/>
            <w:vAlign w:val="center"/>
          </w:tcPr>
          <w:p w14:paraId="51891818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期刊投审稿系统运营与维护</w:t>
            </w:r>
          </w:p>
        </w:tc>
        <w:tc>
          <w:tcPr>
            <w:tcW w:w="4536" w:type="dxa"/>
            <w:vAlign w:val="center"/>
          </w:tcPr>
          <w:p w14:paraId="136E253E">
            <w:pPr>
              <w:jc w:val="center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>详见四、详细内容描述 序号2</w:t>
            </w:r>
          </w:p>
        </w:tc>
      </w:tr>
      <w:tr w14:paraId="3BE9B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 w14:paraId="62E92BE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3657" w:type="dxa"/>
            <w:vAlign w:val="center"/>
          </w:tcPr>
          <w:p w14:paraId="4E45B677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期刊内容宣传服务</w:t>
            </w:r>
          </w:p>
        </w:tc>
        <w:tc>
          <w:tcPr>
            <w:tcW w:w="4536" w:type="dxa"/>
            <w:vAlign w:val="center"/>
          </w:tcPr>
          <w:p w14:paraId="6375DE9A">
            <w:pPr>
              <w:jc w:val="center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>详见四、详细内容描述 序号3</w:t>
            </w:r>
          </w:p>
        </w:tc>
      </w:tr>
      <w:tr w14:paraId="65943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 w14:paraId="7071066A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</w:t>
            </w:r>
          </w:p>
        </w:tc>
        <w:tc>
          <w:tcPr>
            <w:tcW w:w="3657" w:type="dxa"/>
            <w:vAlign w:val="center"/>
          </w:tcPr>
          <w:p w14:paraId="5EA07353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期刊文章编辑加工与生产</w:t>
            </w:r>
          </w:p>
        </w:tc>
        <w:tc>
          <w:tcPr>
            <w:tcW w:w="4536" w:type="dxa"/>
            <w:vAlign w:val="center"/>
          </w:tcPr>
          <w:p w14:paraId="1E605120">
            <w:pPr>
              <w:jc w:val="center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>详见四、详细内容描述 序号4</w:t>
            </w:r>
          </w:p>
        </w:tc>
      </w:tr>
      <w:tr w14:paraId="7F33A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 w14:paraId="2C64CE4C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</w:t>
            </w:r>
          </w:p>
        </w:tc>
        <w:tc>
          <w:tcPr>
            <w:tcW w:w="3657" w:type="dxa"/>
            <w:vAlign w:val="center"/>
          </w:tcPr>
          <w:p w14:paraId="0C956E6B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期刊发展服务</w:t>
            </w:r>
          </w:p>
        </w:tc>
        <w:tc>
          <w:tcPr>
            <w:tcW w:w="4536" w:type="dxa"/>
            <w:vAlign w:val="center"/>
          </w:tcPr>
          <w:p w14:paraId="3E1D17B6">
            <w:pPr>
              <w:jc w:val="center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>详见四、详细内容描述 序号5</w:t>
            </w:r>
          </w:p>
        </w:tc>
      </w:tr>
      <w:tr w14:paraId="424F1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 w14:paraId="1C1CBA30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</w:t>
            </w:r>
          </w:p>
        </w:tc>
        <w:tc>
          <w:tcPr>
            <w:tcW w:w="3657" w:type="dxa"/>
            <w:vAlign w:val="center"/>
          </w:tcPr>
          <w:p w14:paraId="3A493767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期刊年审年检服务</w:t>
            </w:r>
          </w:p>
        </w:tc>
        <w:tc>
          <w:tcPr>
            <w:tcW w:w="4536" w:type="dxa"/>
            <w:vAlign w:val="center"/>
          </w:tcPr>
          <w:p w14:paraId="68F0C9D4">
            <w:pPr>
              <w:jc w:val="center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>详见四、详细内容描述 序号6</w:t>
            </w:r>
          </w:p>
        </w:tc>
      </w:tr>
      <w:tr w14:paraId="430B5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 w14:paraId="3EDA6B6D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</w:t>
            </w:r>
          </w:p>
        </w:tc>
        <w:tc>
          <w:tcPr>
            <w:tcW w:w="3657" w:type="dxa"/>
            <w:vAlign w:val="center"/>
          </w:tcPr>
          <w:p w14:paraId="618C96D7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期刊出版发行服务</w:t>
            </w:r>
          </w:p>
        </w:tc>
        <w:tc>
          <w:tcPr>
            <w:tcW w:w="4536" w:type="dxa"/>
            <w:vAlign w:val="center"/>
          </w:tcPr>
          <w:p w14:paraId="6346A820">
            <w:pPr>
              <w:jc w:val="center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>详见四、详细内容描述 序号7</w:t>
            </w:r>
          </w:p>
        </w:tc>
      </w:tr>
    </w:tbl>
    <w:p w14:paraId="0FF61CB9">
      <w:pPr>
        <w:pStyle w:val="2"/>
        <w:numPr>
          <w:ilvl w:val="0"/>
          <w:numId w:val="0"/>
        </w:numPr>
        <w:spacing w:after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三、租期</w:t>
      </w:r>
      <w:r>
        <w:rPr>
          <w:rFonts w:ascii="仿宋" w:hAnsi="仿宋" w:eastAsia="仿宋"/>
          <w:sz w:val="32"/>
          <w:szCs w:val="32"/>
        </w:rPr>
        <w:t>及服务周期：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2025年4月1日-2026年3月31日</w:t>
      </w:r>
    </w:p>
    <w:p w14:paraId="6FB898D4">
      <w:pPr>
        <w:pStyle w:val="2"/>
        <w:numPr>
          <w:ilvl w:val="0"/>
          <w:numId w:val="0"/>
        </w:numPr>
        <w:spacing w:before="0" w:after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四、详细内容描述</w:t>
      </w:r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378"/>
        <w:gridCol w:w="6174"/>
      </w:tblGrid>
      <w:tr w14:paraId="22205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95" w:type="pct"/>
            <w:vAlign w:val="center"/>
          </w:tcPr>
          <w:p w14:paraId="089B751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</w:pPr>
            <w:bookmarkStart w:id="0" w:name="_6.1.1、大数据服务器"/>
            <w:bookmarkEnd w:id="0"/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280" w:type="pct"/>
            <w:vAlign w:val="center"/>
          </w:tcPr>
          <w:p w14:paraId="4EE68F6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  <w:t>内容</w:t>
            </w:r>
          </w:p>
        </w:tc>
        <w:tc>
          <w:tcPr>
            <w:tcW w:w="3323" w:type="pct"/>
            <w:vAlign w:val="center"/>
          </w:tcPr>
          <w:p w14:paraId="7E190D4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Cs w:val="21"/>
              </w:rPr>
              <w:t>描述</w:t>
            </w:r>
          </w:p>
        </w:tc>
      </w:tr>
      <w:tr w14:paraId="722B1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395" w:type="pct"/>
            <w:vAlign w:val="center"/>
          </w:tcPr>
          <w:p w14:paraId="4DFCA1A5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280" w:type="pct"/>
            <w:vAlign w:val="center"/>
          </w:tcPr>
          <w:p w14:paraId="6FD20E9B">
            <w:pPr>
              <w:widowControl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2"/>
              </w:rPr>
              <w:t>▲</w:t>
            </w:r>
            <w:r>
              <w:rPr>
                <w:rFonts w:hint="eastAsia" w:ascii="仿宋" w:hAnsi="仿宋" w:eastAsia="仿宋"/>
                <w:sz w:val="24"/>
              </w:rPr>
              <w:t>期刊数字平台运营与管理</w:t>
            </w:r>
          </w:p>
        </w:tc>
        <w:tc>
          <w:tcPr>
            <w:tcW w:w="3323" w:type="pct"/>
            <w:vAlign w:val="center"/>
          </w:tcPr>
          <w:p w14:paraId="6809531A">
            <w:pPr>
              <w:pStyle w:val="48"/>
              <w:widowControl/>
              <w:numPr>
                <w:ilvl w:val="0"/>
                <w:numId w:val="2"/>
              </w:numPr>
              <w:ind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定期更新期刊数字平台内容，网页和公众号，</w:t>
            </w:r>
            <w:r>
              <w:rPr>
                <w:rFonts w:ascii="仿宋" w:hAnsi="仿宋" w:eastAsia="仿宋" w:cs="仿宋"/>
                <w:sz w:val="24"/>
                <w:szCs w:val="24"/>
              </w:rPr>
              <w:t>提升长期运营稳定性</w:t>
            </w:r>
          </w:p>
          <w:p w14:paraId="48C6041B">
            <w:pPr>
              <w:pStyle w:val="48"/>
              <w:widowControl/>
              <w:numPr>
                <w:ilvl w:val="0"/>
                <w:numId w:val="2"/>
              </w:numPr>
              <w:ind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持续优化平台界面与功能，简化操作流程</w:t>
            </w:r>
          </w:p>
          <w:p w14:paraId="6F985CB8">
            <w:pPr>
              <w:pStyle w:val="48"/>
              <w:widowControl/>
              <w:numPr>
                <w:ilvl w:val="0"/>
                <w:numId w:val="2"/>
              </w:numPr>
              <w:ind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确保平台具备自适应功能，能够在各类终端（如手机、iPad、微信公众平台等）上流畅呈现</w:t>
            </w:r>
          </w:p>
          <w:p w14:paraId="26CF1A27">
            <w:pPr>
              <w:pStyle w:val="48"/>
              <w:widowControl/>
              <w:numPr>
                <w:ilvl w:val="0"/>
                <w:numId w:val="2"/>
              </w:numPr>
              <w:ind w:firstLineChars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全网支持开放获取模式，提供多种下载格式（如PDF、HTML等）</w:t>
            </w:r>
          </w:p>
        </w:tc>
      </w:tr>
      <w:tr w14:paraId="7F6AA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395" w:type="pct"/>
            <w:vAlign w:val="center"/>
          </w:tcPr>
          <w:p w14:paraId="36858CF1"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280" w:type="pct"/>
            <w:vAlign w:val="center"/>
          </w:tcPr>
          <w:p w14:paraId="3C7CDC3C">
            <w:pPr>
              <w:widowControl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2"/>
              </w:rPr>
              <w:t>▲</w:t>
            </w:r>
            <w:r>
              <w:rPr>
                <w:rFonts w:hint="eastAsia" w:ascii="仿宋" w:hAnsi="仿宋" w:eastAsia="仿宋"/>
                <w:sz w:val="24"/>
              </w:rPr>
              <w:t>期刊投审稿系统运营与维护</w:t>
            </w:r>
          </w:p>
        </w:tc>
        <w:tc>
          <w:tcPr>
            <w:tcW w:w="3323" w:type="pct"/>
            <w:vAlign w:val="center"/>
          </w:tcPr>
          <w:p w14:paraId="3F00E342">
            <w:pPr>
              <w:pStyle w:val="48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完善投审稿系统的人员与权限管理</w:t>
            </w:r>
          </w:p>
          <w:p w14:paraId="1D19BCBF">
            <w:pPr>
              <w:pStyle w:val="48"/>
              <w:widowControl/>
              <w:numPr>
                <w:ilvl w:val="0"/>
                <w:numId w:val="3"/>
              </w:numPr>
              <w:ind w:firstLineChars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优化编辑、审稿人和作者三方之间的交流平台</w:t>
            </w:r>
          </w:p>
        </w:tc>
      </w:tr>
      <w:tr w14:paraId="30507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395" w:type="pct"/>
            <w:vAlign w:val="center"/>
          </w:tcPr>
          <w:p w14:paraId="6E013E01"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3</w:t>
            </w:r>
          </w:p>
        </w:tc>
        <w:tc>
          <w:tcPr>
            <w:tcW w:w="1280" w:type="pct"/>
            <w:vAlign w:val="center"/>
          </w:tcPr>
          <w:p w14:paraId="40B4AC7E">
            <w:pPr>
              <w:widowControl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2"/>
              </w:rPr>
              <w:t>▲</w:t>
            </w:r>
            <w:r>
              <w:rPr>
                <w:rFonts w:hint="eastAsia" w:ascii="仿宋" w:hAnsi="仿宋" w:eastAsia="仿宋"/>
                <w:sz w:val="24"/>
              </w:rPr>
              <w:t>期刊内容宣传服务</w:t>
            </w:r>
          </w:p>
        </w:tc>
        <w:tc>
          <w:tcPr>
            <w:tcW w:w="3323" w:type="pct"/>
            <w:vAlign w:val="center"/>
          </w:tcPr>
          <w:p w14:paraId="6E4A28A0">
            <w:pPr>
              <w:pStyle w:val="48"/>
              <w:widowControl/>
              <w:numPr>
                <w:ilvl w:val="0"/>
                <w:numId w:val="4"/>
              </w:numPr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加强国际媒体平台宣传力度，包括Wiley和SciOpen网站长期展示、Facebook、Twitter等平台持续宣传</w:t>
            </w:r>
          </w:p>
          <w:p w14:paraId="2E056D93">
            <w:pPr>
              <w:pStyle w:val="48"/>
              <w:widowControl/>
              <w:numPr>
                <w:ilvl w:val="0"/>
                <w:numId w:val="4"/>
              </w:numPr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针对特刊，高被引文章以及期刊资讯进行定期精准邮件推广</w:t>
            </w:r>
          </w:p>
          <w:p w14:paraId="17E110DB">
            <w:pPr>
              <w:pStyle w:val="48"/>
              <w:widowControl/>
              <w:numPr>
                <w:ilvl w:val="0"/>
                <w:numId w:val="4"/>
              </w:numPr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强化国内宣传渠道，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包括出版社官网、</w:t>
            </w:r>
            <w:r>
              <w:rPr>
                <w:rFonts w:ascii="仿宋" w:hAnsi="仿宋" w:eastAsia="仿宋"/>
                <w:sz w:val="24"/>
                <w:szCs w:val="24"/>
              </w:rPr>
              <w:t>公众号等平台的深度运营</w:t>
            </w:r>
          </w:p>
        </w:tc>
      </w:tr>
      <w:tr w14:paraId="06256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395" w:type="pct"/>
            <w:vAlign w:val="center"/>
          </w:tcPr>
          <w:p w14:paraId="19531879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bookmarkStart w:id="1" w:name="_6.1.2、容器服务器"/>
            <w:bookmarkEnd w:id="1"/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280" w:type="pct"/>
            <w:vAlign w:val="center"/>
          </w:tcPr>
          <w:p w14:paraId="23DE966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2"/>
              </w:rPr>
              <w:t>▲</w:t>
            </w:r>
            <w:r>
              <w:rPr>
                <w:rFonts w:hint="eastAsia" w:ascii="仿宋" w:hAnsi="仿宋" w:eastAsia="仿宋"/>
                <w:sz w:val="24"/>
              </w:rPr>
              <w:t>期刊文章编辑加工与生产</w:t>
            </w:r>
          </w:p>
        </w:tc>
        <w:tc>
          <w:tcPr>
            <w:tcW w:w="3323" w:type="pct"/>
            <w:vAlign w:val="center"/>
          </w:tcPr>
          <w:p w14:paraId="11F1704D">
            <w:pPr>
              <w:pStyle w:val="48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制定生产流程和进程，按时出版</w:t>
            </w:r>
          </w:p>
          <w:p w14:paraId="766DFB88">
            <w:pPr>
              <w:pStyle w:val="48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严格执行“三审三校”制度，确保文章高标准</w:t>
            </w:r>
          </w:p>
          <w:p w14:paraId="02D024EE">
            <w:pPr>
              <w:pStyle w:val="48"/>
              <w:widowControl/>
              <w:numPr>
                <w:ilvl w:val="0"/>
                <w:numId w:val="5"/>
              </w:numPr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提供专业的文章排版、润色和优化图表服务</w:t>
            </w:r>
          </w:p>
        </w:tc>
      </w:tr>
      <w:tr w14:paraId="6A7B2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395" w:type="pct"/>
            <w:vAlign w:val="center"/>
          </w:tcPr>
          <w:p w14:paraId="6357AF77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280" w:type="pct"/>
            <w:vAlign w:val="center"/>
          </w:tcPr>
          <w:p w14:paraId="35F362F4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2"/>
              </w:rPr>
              <w:t>▲</w:t>
            </w:r>
            <w:r>
              <w:rPr>
                <w:rFonts w:hint="eastAsia" w:ascii="仿宋" w:hAnsi="仿宋" w:eastAsia="仿宋"/>
                <w:sz w:val="24"/>
              </w:rPr>
              <w:t>期刊发展服务</w:t>
            </w:r>
          </w:p>
        </w:tc>
        <w:tc>
          <w:tcPr>
            <w:tcW w:w="3323" w:type="pct"/>
            <w:vAlign w:val="center"/>
          </w:tcPr>
          <w:p w14:paraId="139493EE">
            <w:pPr>
              <w:pStyle w:val="48"/>
              <w:widowControl/>
              <w:numPr>
                <w:ilvl w:val="0"/>
                <w:numId w:val="6"/>
              </w:numPr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监测文章的新增被引量、访问量等数据，定期分析期刊发展趋势</w:t>
            </w:r>
          </w:p>
          <w:p w14:paraId="194CFF49">
            <w:pPr>
              <w:pStyle w:val="48"/>
              <w:widowControl/>
              <w:numPr>
                <w:ilvl w:val="0"/>
                <w:numId w:val="6"/>
              </w:numPr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定期评审期刊发展状况，并根据趋势调整学术定位</w:t>
            </w:r>
          </w:p>
          <w:p w14:paraId="7BFE6BD1">
            <w:pPr>
              <w:pStyle w:val="48"/>
              <w:widowControl/>
              <w:numPr>
                <w:ilvl w:val="0"/>
                <w:numId w:val="6"/>
              </w:numPr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推进数据库收录与优化进程，</w:t>
            </w:r>
            <w:r>
              <w:rPr>
                <w:rFonts w:ascii="仿宋" w:hAnsi="仿宋" w:eastAsia="仿宋"/>
                <w:sz w:val="24"/>
                <w:szCs w:val="24"/>
              </w:rPr>
              <w:t>提升期刊可见度</w:t>
            </w:r>
          </w:p>
        </w:tc>
      </w:tr>
      <w:tr w14:paraId="16EC4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pct"/>
            <w:vAlign w:val="center"/>
          </w:tcPr>
          <w:p w14:paraId="12831777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280" w:type="pct"/>
            <w:vAlign w:val="center"/>
          </w:tcPr>
          <w:p w14:paraId="4A27DA57">
            <w:pPr>
              <w:widowControl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2"/>
              </w:rPr>
              <w:t>▲</w:t>
            </w:r>
            <w:r>
              <w:rPr>
                <w:rFonts w:hint="eastAsia" w:ascii="仿宋" w:hAnsi="仿宋" w:eastAsia="仿宋"/>
                <w:sz w:val="24"/>
              </w:rPr>
              <w:t>期刊年审年检服务</w:t>
            </w:r>
          </w:p>
        </w:tc>
        <w:tc>
          <w:tcPr>
            <w:tcW w:w="3323" w:type="pct"/>
            <w:vAlign w:val="center"/>
          </w:tcPr>
          <w:p w14:paraId="75F01897">
            <w:pPr>
              <w:pStyle w:val="48"/>
              <w:widowControl/>
              <w:ind w:left="420"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持续提供期刊年审年检服务，</w:t>
            </w:r>
            <w:r>
              <w:rPr>
                <w:rFonts w:ascii="仿宋" w:hAnsi="仿宋" w:eastAsia="仿宋"/>
                <w:sz w:val="24"/>
                <w:szCs w:val="24"/>
              </w:rPr>
              <w:t>确保合规运营</w:t>
            </w:r>
          </w:p>
        </w:tc>
      </w:tr>
      <w:tr w14:paraId="42A28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pct"/>
            <w:vAlign w:val="center"/>
          </w:tcPr>
          <w:p w14:paraId="00C5ECCB"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1280" w:type="pct"/>
            <w:vAlign w:val="center"/>
          </w:tcPr>
          <w:p w14:paraId="4419DF58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2"/>
              </w:rPr>
              <w:t>▲</w:t>
            </w:r>
            <w:r>
              <w:rPr>
                <w:rFonts w:hint="eastAsia" w:ascii="仿宋" w:hAnsi="仿宋" w:eastAsia="仿宋"/>
                <w:sz w:val="24"/>
              </w:rPr>
              <w:t>期刊出版发行服务</w:t>
            </w:r>
          </w:p>
        </w:tc>
        <w:tc>
          <w:tcPr>
            <w:tcW w:w="3323" w:type="pct"/>
            <w:vAlign w:val="center"/>
          </w:tcPr>
          <w:p w14:paraId="2F9A0445">
            <w:pPr>
              <w:pStyle w:val="48"/>
              <w:widowControl/>
              <w:ind w:left="420"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持续提供期刊出版发行服务，</w:t>
            </w:r>
            <w:r>
              <w:rPr>
                <w:rFonts w:ascii="仿宋" w:hAnsi="仿宋" w:eastAsia="仿宋"/>
                <w:sz w:val="24"/>
                <w:szCs w:val="24"/>
              </w:rPr>
              <w:t>提高发行覆盖率和可获取性</w:t>
            </w:r>
          </w:p>
        </w:tc>
      </w:tr>
    </w:tbl>
    <w:p w14:paraId="5B0F8103">
      <w:pPr>
        <w:pStyle w:val="2"/>
        <w:numPr>
          <w:ilvl w:val="0"/>
          <w:numId w:val="0"/>
        </w:numPr>
        <w:spacing w:after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五、服务方式</w:t>
      </w:r>
    </w:p>
    <w:p w14:paraId="2298A1CD">
      <w:pPr>
        <w:spacing w:line="360" w:lineRule="auto"/>
        <w:ind w:left="432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1、服务商成立专门的项目组开展工作，指派专人负责，按时完成工作内容。</w:t>
      </w:r>
    </w:p>
    <w:p w14:paraId="024F77DB">
      <w:pPr>
        <w:spacing w:line="360" w:lineRule="auto"/>
        <w:ind w:left="432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2、以驻场服务为主，其它电话、邮件指导、远程维护、技术交流方式不限。</w:t>
      </w:r>
    </w:p>
    <w:p w14:paraId="5182BE7F">
      <w:pPr>
        <w:pStyle w:val="2"/>
        <w:numPr>
          <w:ilvl w:val="0"/>
          <w:numId w:val="0"/>
        </w:numPr>
        <w:spacing w:after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 w:cs="仿宋"/>
          <w:sz w:val="32"/>
          <w:szCs w:val="32"/>
        </w:rPr>
        <w:t>合同款支付方式</w:t>
      </w:r>
    </w:p>
    <w:p w14:paraId="1FD2F1B8">
      <w:pPr>
        <w:tabs>
          <w:tab w:val="left" w:pos="780"/>
        </w:tabs>
        <w:spacing w:before="156" w:beforeLines="50" w:line="360" w:lineRule="auto"/>
        <w:ind w:firstLine="120" w:firstLineChars="50"/>
        <w:outlineLvl w:val="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(一)</w:t>
      </w:r>
      <w:r>
        <w:rPr>
          <w:rFonts w:hint="eastAsia" w:ascii="仿宋" w:hAnsi="仿宋" w:eastAsia="仿宋" w:cs="仿宋"/>
          <w:sz w:val="24"/>
        </w:rPr>
        <w:tab/>
      </w:r>
      <w:r>
        <w:rPr>
          <w:rFonts w:hint="eastAsia" w:ascii="仿宋" w:hAnsi="仿宋" w:eastAsia="仿宋" w:cs="仿宋"/>
          <w:sz w:val="24"/>
        </w:rPr>
        <w:t>服务期开始后，在收到服务商开具相应金额正式发票后，支付合同总金额的50%。</w:t>
      </w:r>
    </w:p>
    <w:p w14:paraId="7A8FE2AD">
      <w:pPr>
        <w:tabs>
          <w:tab w:val="left" w:pos="780"/>
        </w:tabs>
        <w:spacing w:before="156" w:beforeLines="50" w:line="360" w:lineRule="auto"/>
        <w:outlineLvl w:val="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(二)</w:t>
      </w:r>
      <w:r>
        <w:rPr>
          <w:rFonts w:hint="eastAsia" w:ascii="仿宋" w:hAnsi="仿宋" w:eastAsia="仿宋" w:cs="仿宋"/>
          <w:sz w:val="24"/>
        </w:rPr>
        <w:tab/>
      </w:r>
      <w:r>
        <w:rPr>
          <w:rFonts w:hint="eastAsia" w:ascii="仿宋" w:hAnsi="仿宋" w:eastAsia="仿宋" w:cs="仿宋"/>
          <w:sz w:val="24"/>
        </w:rPr>
        <w:t>服务时间达到50%后，服务商提供阶段性服务记录及开具相应金额正式发票后，支付合同总金额的40%。</w:t>
      </w:r>
    </w:p>
    <w:p w14:paraId="7CF807F2">
      <w:pPr>
        <w:tabs>
          <w:tab w:val="left" w:pos="780"/>
        </w:tabs>
        <w:spacing w:before="156" w:beforeLines="50" w:line="360" w:lineRule="auto"/>
        <w:outlineLvl w:val="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（三） 合同期满且通过服务验收，服务商提供完整服务记录及开具相应金额正式发票</w:t>
      </w:r>
      <w:r>
        <w:rPr>
          <w:rFonts w:hint="eastAsia" w:ascii="仿宋" w:hAnsi="仿宋" w:eastAsia="仿宋" w:cs="仿宋"/>
          <w:sz w:val="24"/>
        </w:rPr>
        <w:tab/>
      </w:r>
      <w:r>
        <w:rPr>
          <w:rFonts w:hint="eastAsia" w:ascii="仿宋" w:hAnsi="仿宋" w:eastAsia="仿宋" w:cs="仿宋"/>
          <w:sz w:val="24"/>
        </w:rPr>
        <w:t>后，支付合同总金额的10%。</w:t>
      </w:r>
    </w:p>
    <w:p w14:paraId="669C13B9">
      <w:pPr>
        <w:pStyle w:val="2"/>
        <w:numPr>
          <w:ilvl w:val="0"/>
          <w:numId w:val="0"/>
        </w:numPr>
        <w:spacing w:after="0"/>
        <w:rPr>
          <w:rFonts w:hint="eastAsia" w:ascii="仿宋" w:hAnsi="仿宋" w:eastAsia="仿宋" w:cs="宋体"/>
          <w:sz w:val="22"/>
          <w:szCs w:val="21"/>
        </w:rPr>
      </w:pPr>
    </w:p>
    <w:sectPr>
      <w:footerReference r:id="rId3" w:type="default"/>
      <w:pgSz w:w="11906" w:h="16838"/>
      <w:pgMar w:top="907" w:right="1418" w:bottom="850" w:left="1418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1A4B5">
    <w:pPr>
      <w:pStyle w:val="15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  <w:lang w:val="zh-CN"/>
      </w:rPr>
      <w:t>2</w:t>
    </w:r>
    <w:r>
      <w:rPr>
        <w:caps/>
        <w:color w:val="5B9BD5"/>
      </w:rPr>
      <w:fldChar w:fldCharType="end"/>
    </w:r>
  </w:p>
  <w:p w14:paraId="11A8BA54"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A3775F"/>
    <w:multiLevelType w:val="multilevel"/>
    <w:tmpl w:val="13A3775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>
    <w:nsid w:val="3DF07409"/>
    <w:multiLevelType w:val="multilevel"/>
    <w:tmpl w:val="3DF0740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016765F"/>
    <w:multiLevelType w:val="multilevel"/>
    <w:tmpl w:val="6016765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2634250"/>
    <w:multiLevelType w:val="multilevel"/>
    <w:tmpl w:val="6263425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68D6371"/>
    <w:multiLevelType w:val="multilevel"/>
    <w:tmpl w:val="768D637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xNGJmMzA0MjJiZjJjOGIxNTRjMzNkZTU2ZDZkZDAifQ=="/>
  </w:docVars>
  <w:rsids>
    <w:rsidRoot w:val="00303343"/>
    <w:rsid w:val="000051D2"/>
    <w:rsid w:val="000079DD"/>
    <w:rsid w:val="00012DCC"/>
    <w:rsid w:val="00015AA8"/>
    <w:rsid w:val="00016B63"/>
    <w:rsid w:val="00042DAC"/>
    <w:rsid w:val="0004334E"/>
    <w:rsid w:val="0004538E"/>
    <w:rsid w:val="00046B39"/>
    <w:rsid w:val="00054706"/>
    <w:rsid w:val="00066DE7"/>
    <w:rsid w:val="00074EDD"/>
    <w:rsid w:val="000757C1"/>
    <w:rsid w:val="0007780E"/>
    <w:rsid w:val="00086AE0"/>
    <w:rsid w:val="0009064D"/>
    <w:rsid w:val="00090A18"/>
    <w:rsid w:val="000B41B7"/>
    <w:rsid w:val="000D5317"/>
    <w:rsid w:val="000E276C"/>
    <w:rsid w:val="000F6503"/>
    <w:rsid w:val="00106D68"/>
    <w:rsid w:val="001106CE"/>
    <w:rsid w:val="001107F8"/>
    <w:rsid w:val="001116F6"/>
    <w:rsid w:val="001161EB"/>
    <w:rsid w:val="001169D0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56B1F"/>
    <w:rsid w:val="00162D29"/>
    <w:rsid w:val="0016487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0BD3"/>
    <w:rsid w:val="001D4A68"/>
    <w:rsid w:val="001D7749"/>
    <w:rsid w:val="001E3B38"/>
    <w:rsid w:val="001F20C2"/>
    <w:rsid w:val="00200054"/>
    <w:rsid w:val="002000DE"/>
    <w:rsid w:val="00202EFF"/>
    <w:rsid w:val="0020509F"/>
    <w:rsid w:val="00207A96"/>
    <w:rsid w:val="00214A6F"/>
    <w:rsid w:val="00221F1F"/>
    <w:rsid w:val="00223E47"/>
    <w:rsid w:val="00225DAF"/>
    <w:rsid w:val="00227C8A"/>
    <w:rsid w:val="002342D1"/>
    <w:rsid w:val="00241D77"/>
    <w:rsid w:val="0024384E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97EFA"/>
    <w:rsid w:val="002A01D6"/>
    <w:rsid w:val="002A4778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3419C"/>
    <w:rsid w:val="00336004"/>
    <w:rsid w:val="00341038"/>
    <w:rsid w:val="00351E6F"/>
    <w:rsid w:val="00352E7C"/>
    <w:rsid w:val="00353276"/>
    <w:rsid w:val="00360458"/>
    <w:rsid w:val="003666DD"/>
    <w:rsid w:val="00366980"/>
    <w:rsid w:val="00370A5D"/>
    <w:rsid w:val="003802E2"/>
    <w:rsid w:val="00385E95"/>
    <w:rsid w:val="00385FED"/>
    <w:rsid w:val="00391AE3"/>
    <w:rsid w:val="00397B7E"/>
    <w:rsid w:val="003A7269"/>
    <w:rsid w:val="003C0FB7"/>
    <w:rsid w:val="003C6D81"/>
    <w:rsid w:val="003D0F80"/>
    <w:rsid w:val="003D12FA"/>
    <w:rsid w:val="003D2595"/>
    <w:rsid w:val="003E7083"/>
    <w:rsid w:val="003F3286"/>
    <w:rsid w:val="003F629F"/>
    <w:rsid w:val="00403938"/>
    <w:rsid w:val="00405CE8"/>
    <w:rsid w:val="00410FBF"/>
    <w:rsid w:val="00413DA3"/>
    <w:rsid w:val="00414171"/>
    <w:rsid w:val="0041787F"/>
    <w:rsid w:val="00423450"/>
    <w:rsid w:val="0042702D"/>
    <w:rsid w:val="00430A23"/>
    <w:rsid w:val="00435C81"/>
    <w:rsid w:val="00437B01"/>
    <w:rsid w:val="0044060A"/>
    <w:rsid w:val="00440F72"/>
    <w:rsid w:val="004565AA"/>
    <w:rsid w:val="00456A2C"/>
    <w:rsid w:val="004630DC"/>
    <w:rsid w:val="00474AE0"/>
    <w:rsid w:val="0047796F"/>
    <w:rsid w:val="00482931"/>
    <w:rsid w:val="00483D0E"/>
    <w:rsid w:val="00495574"/>
    <w:rsid w:val="004A44FF"/>
    <w:rsid w:val="004C2C5B"/>
    <w:rsid w:val="004C4BBA"/>
    <w:rsid w:val="004D1A7D"/>
    <w:rsid w:val="004E2D8F"/>
    <w:rsid w:val="004E5E61"/>
    <w:rsid w:val="004F1410"/>
    <w:rsid w:val="00500264"/>
    <w:rsid w:val="00503808"/>
    <w:rsid w:val="00510B1E"/>
    <w:rsid w:val="005120A9"/>
    <w:rsid w:val="00517D7C"/>
    <w:rsid w:val="00520646"/>
    <w:rsid w:val="0052176F"/>
    <w:rsid w:val="0052604B"/>
    <w:rsid w:val="005272E6"/>
    <w:rsid w:val="0053088D"/>
    <w:rsid w:val="00532FB9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B3ADF"/>
    <w:rsid w:val="005C49D7"/>
    <w:rsid w:val="005C60FB"/>
    <w:rsid w:val="005C7EF5"/>
    <w:rsid w:val="005D1C7F"/>
    <w:rsid w:val="005D2402"/>
    <w:rsid w:val="005D2BF6"/>
    <w:rsid w:val="005D3A60"/>
    <w:rsid w:val="005E7C53"/>
    <w:rsid w:val="005F0356"/>
    <w:rsid w:val="005F73BC"/>
    <w:rsid w:val="00600923"/>
    <w:rsid w:val="006053FC"/>
    <w:rsid w:val="00612F3F"/>
    <w:rsid w:val="00620E68"/>
    <w:rsid w:val="00623637"/>
    <w:rsid w:val="006279C6"/>
    <w:rsid w:val="0064148A"/>
    <w:rsid w:val="00644F1D"/>
    <w:rsid w:val="00646B59"/>
    <w:rsid w:val="00647994"/>
    <w:rsid w:val="006604C2"/>
    <w:rsid w:val="006804F1"/>
    <w:rsid w:val="006861F5"/>
    <w:rsid w:val="00694A68"/>
    <w:rsid w:val="00697FBB"/>
    <w:rsid w:val="006B2085"/>
    <w:rsid w:val="006B21B8"/>
    <w:rsid w:val="006B7B58"/>
    <w:rsid w:val="006C36EB"/>
    <w:rsid w:val="006D4B15"/>
    <w:rsid w:val="006D59F7"/>
    <w:rsid w:val="006E4EF2"/>
    <w:rsid w:val="006E5E07"/>
    <w:rsid w:val="006F0434"/>
    <w:rsid w:val="006F4126"/>
    <w:rsid w:val="00701D12"/>
    <w:rsid w:val="0070239F"/>
    <w:rsid w:val="00712A19"/>
    <w:rsid w:val="0072309C"/>
    <w:rsid w:val="0072695B"/>
    <w:rsid w:val="0074224C"/>
    <w:rsid w:val="00750A70"/>
    <w:rsid w:val="00752912"/>
    <w:rsid w:val="007556BE"/>
    <w:rsid w:val="007621CC"/>
    <w:rsid w:val="0076668A"/>
    <w:rsid w:val="00776ADF"/>
    <w:rsid w:val="00784C08"/>
    <w:rsid w:val="00785EDF"/>
    <w:rsid w:val="00786A29"/>
    <w:rsid w:val="007948A8"/>
    <w:rsid w:val="00795F59"/>
    <w:rsid w:val="007C0A5B"/>
    <w:rsid w:val="007D22AB"/>
    <w:rsid w:val="007E1ADE"/>
    <w:rsid w:val="007E71E6"/>
    <w:rsid w:val="007F5726"/>
    <w:rsid w:val="0081575E"/>
    <w:rsid w:val="008168FB"/>
    <w:rsid w:val="00822BA6"/>
    <w:rsid w:val="0082628A"/>
    <w:rsid w:val="008419E9"/>
    <w:rsid w:val="008533D5"/>
    <w:rsid w:val="008548FB"/>
    <w:rsid w:val="00861587"/>
    <w:rsid w:val="008623FD"/>
    <w:rsid w:val="00866774"/>
    <w:rsid w:val="008735F6"/>
    <w:rsid w:val="00873B97"/>
    <w:rsid w:val="0088488F"/>
    <w:rsid w:val="008A62AC"/>
    <w:rsid w:val="008A659B"/>
    <w:rsid w:val="008B2206"/>
    <w:rsid w:val="008C255D"/>
    <w:rsid w:val="008D31F9"/>
    <w:rsid w:val="008D3291"/>
    <w:rsid w:val="008D59AA"/>
    <w:rsid w:val="008E145D"/>
    <w:rsid w:val="008E2B56"/>
    <w:rsid w:val="008E570C"/>
    <w:rsid w:val="008E69C8"/>
    <w:rsid w:val="00900232"/>
    <w:rsid w:val="00900BAA"/>
    <w:rsid w:val="00901F6A"/>
    <w:rsid w:val="00903734"/>
    <w:rsid w:val="00903878"/>
    <w:rsid w:val="00903B20"/>
    <w:rsid w:val="00903CF6"/>
    <w:rsid w:val="009052C7"/>
    <w:rsid w:val="009054FA"/>
    <w:rsid w:val="00905FFA"/>
    <w:rsid w:val="0092017A"/>
    <w:rsid w:val="00922032"/>
    <w:rsid w:val="00925C23"/>
    <w:rsid w:val="00927E08"/>
    <w:rsid w:val="009303FA"/>
    <w:rsid w:val="00941F0C"/>
    <w:rsid w:val="00943004"/>
    <w:rsid w:val="00947A51"/>
    <w:rsid w:val="00966A88"/>
    <w:rsid w:val="00973A47"/>
    <w:rsid w:val="00981ED8"/>
    <w:rsid w:val="009822C7"/>
    <w:rsid w:val="00982AA3"/>
    <w:rsid w:val="009863EF"/>
    <w:rsid w:val="00986A41"/>
    <w:rsid w:val="0098719A"/>
    <w:rsid w:val="00987F54"/>
    <w:rsid w:val="00991FF2"/>
    <w:rsid w:val="00992326"/>
    <w:rsid w:val="0099315B"/>
    <w:rsid w:val="00995DD9"/>
    <w:rsid w:val="009B3E4A"/>
    <w:rsid w:val="009B4476"/>
    <w:rsid w:val="009C1F02"/>
    <w:rsid w:val="009C3783"/>
    <w:rsid w:val="009C4E7E"/>
    <w:rsid w:val="009C664E"/>
    <w:rsid w:val="009D6951"/>
    <w:rsid w:val="009D7DD1"/>
    <w:rsid w:val="009E0351"/>
    <w:rsid w:val="009E214B"/>
    <w:rsid w:val="009E53AF"/>
    <w:rsid w:val="009F0270"/>
    <w:rsid w:val="009F61FA"/>
    <w:rsid w:val="00A05796"/>
    <w:rsid w:val="00A11F65"/>
    <w:rsid w:val="00A13BDB"/>
    <w:rsid w:val="00A13CB0"/>
    <w:rsid w:val="00A14FD8"/>
    <w:rsid w:val="00A22CA1"/>
    <w:rsid w:val="00A374B9"/>
    <w:rsid w:val="00A40103"/>
    <w:rsid w:val="00A419FD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E1DD2"/>
    <w:rsid w:val="00AE4106"/>
    <w:rsid w:val="00B10263"/>
    <w:rsid w:val="00B12138"/>
    <w:rsid w:val="00B17749"/>
    <w:rsid w:val="00B17AE9"/>
    <w:rsid w:val="00B17C05"/>
    <w:rsid w:val="00B20334"/>
    <w:rsid w:val="00B20819"/>
    <w:rsid w:val="00B225B9"/>
    <w:rsid w:val="00B24AB1"/>
    <w:rsid w:val="00B330F4"/>
    <w:rsid w:val="00B36BD9"/>
    <w:rsid w:val="00B370F7"/>
    <w:rsid w:val="00B418E3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9373B"/>
    <w:rsid w:val="00BA5A2D"/>
    <w:rsid w:val="00BA5B8F"/>
    <w:rsid w:val="00BB2B54"/>
    <w:rsid w:val="00BC3CA1"/>
    <w:rsid w:val="00BC49E5"/>
    <w:rsid w:val="00BC4C39"/>
    <w:rsid w:val="00BC6DB1"/>
    <w:rsid w:val="00BD3194"/>
    <w:rsid w:val="00BD5FA8"/>
    <w:rsid w:val="00BE23E5"/>
    <w:rsid w:val="00BE31E6"/>
    <w:rsid w:val="00BF757E"/>
    <w:rsid w:val="00BF7C0E"/>
    <w:rsid w:val="00BF7F5A"/>
    <w:rsid w:val="00C01B02"/>
    <w:rsid w:val="00C17719"/>
    <w:rsid w:val="00C20730"/>
    <w:rsid w:val="00C2470A"/>
    <w:rsid w:val="00C335D8"/>
    <w:rsid w:val="00C50E12"/>
    <w:rsid w:val="00C54491"/>
    <w:rsid w:val="00C61724"/>
    <w:rsid w:val="00C71B43"/>
    <w:rsid w:val="00C74D8F"/>
    <w:rsid w:val="00C751A9"/>
    <w:rsid w:val="00C766DD"/>
    <w:rsid w:val="00C76BDF"/>
    <w:rsid w:val="00C775CE"/>
    <w:rsid w:val="00C8030E"/>
    <w:rsid w:val="00C8720F"/>
    <w:rsid w:val="00C87C11"/>
    <w:rsid w:val="00C91697"/>
    <w:rsid w:val="00C92EAA"/>
    <w:rsid w:val="00C945B9"/>
    <w:rsid w:val="00C9490B"/>
    <w:rsid w:val="00C94FC4"/>
    <w:rsid w:val="00CA148F"/>
    <w:rsid w:val="00CA29F9"/>
    <w:rsid w:val="00CB6B73"/>
    <w:rsid w:val="00CC218D"/>
    <w:rsid w:val="00CC6334"/>
    <w:rsid w:val="00CC677A"/>
    <w:rsid w:val="00CD008E"/>
    <w:rsid w:val="00CD49B4"/>
    <w:rsid w:val="00CD6EDC"/>
    <w:rsid w:val="00CE00A5"/>
    <w:rsid w:val="00CE2D1F"/>
    <w:rsid w:val="00CE4C16"/>
    <w:rsid w:val="00CF1561"/>
    <w:rsid w:val="00CF1A40"/>
    <w:rsid w:val="00CF36EF"/>
    <w:rsid w:val="00CF4AE2"/>
    <w:rsid w:val="00CF5DDF"/>
    <w:rsid w:val="00D1110F"/>
    <w:rsid w:val="00D15B10"/>
    <w:rsid w:val="00D23E20"/>
    <w:rsid w:val="00D24437"/>
    <w:rsid w:val="00D30FA6"/>
    <w:rsid w:val="00D32842"/>
    <w:rsid w:val="00D37021"/>
    <w:rsid w:val="00D407EB"/>
    <w:rsid w:val="00D454AB"/>
    <w:rsid w:val="00D536AB"/>
    <w:rsid w:val="00D54E0C"/>
    <w:rsid w:val="00D5537A"/>
    <w:rsid w:val="00D71136"/>
    <w:rsid w:val="00D77F36"/>
    <w:rsid w:val="00D9057D"/>
    <w:rsid w:val="00DA026E"/>
    <w:rsid w:val="00DA1B8A"/>
    <w:rsid w:val="00DA576E"/>
    <w:rsid w:val="00DB0A86"/>
    <w:rsid w:val="00DB57B7"/>
    <w:rsid w:val="00DC33CF"/>
    <w:rsid w:val="00DC3415"/>
    <w:rsid w:val="00DC7A5D"/>
    <w:rsid w:val="00DD3DE6"/>
    <w:rsid w:val="00DE4534"/>
    <w:rsid w:val="00DF3D3A"/>
    <w:rsid w:val="00DF4228"/>
    <w:rsid w:val="00E06670"/>
    <w:rsid w:val="00E17266"/>
    <w:rsid w:val="00E26F5E"/>
    <w:rsid w:val="00E41E33"/>
    <w:rsid w:val="00E45268"/>
    <w:rsid w:val="00E47752"/>
    <w:rsid w:val="00E53030"/>
    <w:rsid w:val="00E535C9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6408"/>
    <w:rsid w:val="00EC0483"/>
    <w:rsid w:val="00EC33A4"/>
    <w:rsid w:val="00ED0897"/>
    <w:rsid w:val="00ED73FF"/>
    <w:rsid w:val="00ED7F01"/>
    <w:rsid w:val="00EE0478"/>
    <w:rsid w:val="00EE4612"/>
    <w:rsid w:val="00EE51DE"/>
    <w:rsid w:val="00EE5FF6"/>
    <w:rsid w:val="00EE609F"/>
    <w:rsid w:val="00EF5E01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45DB8"/>
    <w:rsid w:val="00F54D29"/>
    <w:rsid w:val="00F62BCD"/>
    <w:rsid w:val="00F74B77"/>
    <w:rsid w:val="00F764FE"/>
    <w:rsid w:val="00F80625"/>
    <w:rsid w:val="00F827B6"/>
    <w:rsid w:val="00F92BE5"/>
    <w:rsid w:val="00FA0574"/>
    <w:rsid w:val="00FB1BFF"/>
    <w:rsid w:val="00FB68D3"/>
    <w:rsid w:val="00FC4B75"/>
    <w:rsid w:val="00FE7554"/>
    <w:rsid w:val="00FF17FE"/>
    <w:rsid w:val="016F283F"/>
    <w:rsid w:val="06AA2B63"/>
    <w:rsid w:val="07683E04"/>
    <w:rsid w:val="12B805D3"/>
    <w:rsid w:val="142F1F9C"/>
    <w:rsid w:val="16D168D3"/>
    <w:rsid w:val="1A273F5F"/>
    <w:rsid w:val="1F7D2FF2"/>
    <w:rsid w:val="253A7396"/>
    <w:rsid w:val="2A8F4EC1"/>
    <w:rsid w:val="2DAA1599"/>
    <w:rsid w:val="2DC14652"/>
    <w:rsid w:val="33956C28"/>
    <w:rsid w:val="3D2B5100"/>
    <w:rsid w:val="3EB8694E"/>
    <w:rsid w:val="42200080"/>
    <w:rsid w:val="488C513A"/>
    <w:rsid w:val="4AD86657"/>
    <w:rsid w:val="548D2323"/>
    <w:rsid w:val="56293EE0"/>
    <w:rsid w:val="57F2733C"/>
    <w:rsid w:val="58BA3939"/>
    <w:rsid w:val="77BC6250"/>
    <w:rsid w:val="7BE41DE8"/>
    <w:rsid w:val="7EC11C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4">
    <w:name w:val="heading 3"/>
    <w:basedOn w:val="1"/>
    <w:next w:val="1"/>
    <w:link w:val="27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</w:rPr>
  </w:style>
  <w:style w:type="paragraph" w:styleId="5">
    <w:name w:val="heading 4"/>
    <w:basedOn w:val="1"/>
    <w:next w:val="1"/>
    <w:link w:val="28"/>
    <w:qFormat/>
    <w:uiPriority w:val="0"/>
    <w:pPr>
      <w:keepNext/>
      <w:keepLines/>
      <w:spacing w:before="280" w:after="290" w:line="376" w:lineRule="auto"/>
      <w:ind w:left="864" w:hanging="864"/>
      <w:outlineLvl w:val="3"/>
    </w:pPr>
    <w:rPr>
      <w:rFonts w:ascii="宋体" w:hAnsi="宋体"/>
      <w:b/>
      <w:bCs/>
      <w:sz w:val="28"/>
      <w:szCs w:val="28"/>
    </w:rPr>
  </w:style>
  <w:style w:type="paragraph" w:styleId="6">
    <w:name w:val="heading 5"/>
    <w:basedOn w:val="1"/>
    <w:next w:val="1"/>
    <w:link w:val="29"/>
    <w:qFormat/>
    <w:uiPriority w:val="0"/>
    <w:pPr>
      <w:keepNext/>
      <w:keepLines/>
      <w:spacing w:before="280" w:after="290" w:line="376" w:lineRule="auto"/>
      <w:ind w:left="2142" w:hanging="1008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0"/>
    <w:qFormat/>
    <w:uiPriority w:val="0"/>
    <w:pPr>
      <w:keepNext/>
      <w:keepLines/>
      <w:spacing w:before="240" w:after="64" w:line="320" w:lineRule="auto"/>
      <w:ind w:left="1152" w:hanging="1152"/>
      <w:outlineLvl w:val="5"/>
    </w:pPr>
    <w:rPr>
      <w:rFonts w:ascii="等线 Light" w:hAnsi="等线 Light" w:eastAsia="等线 Light"/>
      <w:b/>
      <w:bCs/>
      <w:sz w:val="24"/>
    </w:rPr>
  </w:style>
  <w:style w:type="paragraph" w:styleId="8">
    <w:name w:val="heading 7"/>
    <w:basedOn w:val="1"/>
    <w:next w:val="1"/>
    <w:link w:val="31"/>
    <w:qFormat/>
    <w:uiPriority w:val="0"/>
    <w:pPr>
      <w:keepNext/>
      <w:keepLines/>
      <w:spacing w:before="240" w:after="64" w:line="320" w:lineRule="auto"/>
      <w:ind w:left="1296" w:hanging="1296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2"/>
    <w:qFormat/>
    <w:uiPriority w:val="0"/>
    <w:pPr>
      <w:keepNext/>
      <w:keepLines/>
      <w:spacing w:before="240" w:after="64" w:line="320" w:lineRule="auto"/>
      <w:ind w:left="1440" w:hanging="1440"/>
      <w:outlineLvl w:val="7"/>
    </w:pPr>
    <w:rPr>
      <w:rFonts w:ascii="等线 Light" w:hAnsi="等线 Light" w:eastAsia="等线 Light"/>
      <w:sz w:val="24"/>
    </w:rPr>
  </w:style>
  <w:style w:type="paragraph" w:styleId="10">
    <w:name w:val="heading 9"/>
    <w:basedOn w:val="1"/>
    <w:next w:val="1"/>
    <w:link w:val="33"/>
    <w:qFormat/>
    <w:uiPriority w:val="0"/>
    <w:pPr>
      <w:keepNext/>
      <w:keepLines/>
      <w:spacing w:before="240" w:after="64" w:line="320" w:lineRule="auto"/>
      <w:ind w:left="1584" w:hanging="1584"/>
      <w:outlineLvl w:val="8"/>
    </w:pPr>
    <w:rPr>
      <w:rFonts w:ascii="等线 Light" w:hAnsi="等线 Light" w:eastAsia="等线 Light"/>
      <w:szCs w:val="21"/>
    </w:rPr>
  </w:style>
  <w:style w:type="character" w:default="1" w:styleId="21">
    <w:name w:val="Default Paragraph Font"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4"/>
    <w:qFormat/>
    <w:uiPriority w:val="99"/>
    <w:pPr>
      <w:spacing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2">
    <w:name w:val="annotation text"/>
    <w:basedOn w:val="1"/>
    <w:link w:val="35"/>
    <w:unhideWhenUsed/>
    <w:qFormat/>
    <w:uiPriority w:val="0"/>
    <w:pPr>
      <w:jc w:val="left"/>
    </w:pPr>
    <w:rPr>
      <w:kern w:val="0"/>
      <w:sz w:val="20"/>
    </w:rPr>
  </w:style>
  <w:style w:type="paragraph" w:styleId="13">
    <w:name w:val="Plain Text"/>
    <w:basedOn w:val="1"/>
    <w:link w:val="36"/>
    <w:qFormat/>
    <w:uiPriority w:val="0"/>
    <w:rPr>
      <w:rFonts w:ascii="Calibri" w:hAnsi="Courier New"/>
      <w:szCs w:val="20"/>
    </w:rPr>
  </w:style>
  <w:style w:type="paragraph" w:styleId="14">
    <w:name w:val="Balloon Text"/>
    <w:basedOn w:val="1"/>
    <w:link w:val="37"/>
    <w:qFormat/>
    <w:uiPriority w:val="0"/>
    <w:rPr>
      <w:sz w:val="18"/>
      <w:szCs w:val="18"/>
    </w:rPr>
  </w:style>
  <w:style w:type="paragraph" w:styleId="15">
    <w:name w:val="footer"/>
    <w:basedOn w:val="1"/>
    <w:link w:val="3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Subtitle"/>
    <w:basedOn w:val="1"/>
    <w:next w:val="1"/>
    <w:link w:val="63"/>
    <w:qFormat/>
    <w:uiPriority w:val="0"/>
    <w:pPr>
      <w:spacing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0">
    <w:name w:val="Table Grid"/>
    <w:basedOn w:val="1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2">
    <w:name w:val="FollowedHyperlink"/>
    <w:qFormat/>
    <w:uiPriority w:val="0"/>
    <w:rPr>
      <w:color w:val="800080"/>
      <w:u w:val="single"/>
    </w:rPr>
  </w:style>
  <w:style w:type="character" w:styleId="23">
    <w:name w:val="Hyperlink"/>
    <w:qFormat/>
    <w:uiPriority w:val="0"/>
    <w:rPr>
      <w:color w:val="0563C1"/>
      <w:u w:val="single"/>
    </w:rPr>
  </w:style>
  <w:style w:type="character" w:styleId="24">
    <w:name w:val="annotation reference"/>
    <w:unhideWhenUsed/>
    <w:qFormat/>
    <w:uiPriority w:val="99"/>
    <w:rPr>
      <w:sz w:val="21"/>
      <w:szCs w:val="21"/>
    </w:rPr>
  </w:style>
  <w:style w:type="character" w:customStyle="1" w:styleId="25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6">
    <w:name w:val="标题 2 字符"/>
    <w:link w:val="3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7">
    <w:name w:val="标题 3 字符"/>
    <w:link w:val="4"/>
    <w:qFormat/>
    <w:uiPriority w:val="0"/>
    <w:rPr>
      <w:b/>
      <w:bCs/>
      <w:kern w:val="2"/>
      <w:sz w:val="30"/>
      <w:szCs w:val="30"/>
    </w:rPr>
  </w:style>
  <w:style w:type="character" w:customStyle="1" w:styleId="28">
    <w:name w:val="标题 4 字符"/>
    <w:link w:val="5"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29">
    <w:name w:val="标题 5 字符"/>
    <w:link w:val="6"/>
    <w:qFormat/>
    <w:uiPriority w:val="0"/>
    <w:rPr>
      <w:b/>
      <w:bCs/>
      <w:kern w:val="2"/>
      <w:sz w:val="28"/>
      <w:szCs w:val="28"/>
    </w:rPr>
  </w:style>
  <w:style w:type="character" w:customStyle="1" w:styleId="30">
    <w:name w:val="标题 6 字符"/>
    <w:link w:val="7"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1">
    <w:name w:val="标题 7 字符"/>
    <w:link w:val="8"/>
    <w:qFormat/>
    <w:uiPriority w:val="0"/>
    <w:rPr>
      <w:b/>
      <w:bCs/>
      <w:kern w:val="2"/>
      <w:sz w:val="24"/>
      <w:szCs w:val="24"/>
    </w:rPr>
  </w:style>
  <w:style w:type="character" w:customStyle="1" w:styleId="32">
    <w:name w:val="标题 8 字符"/>
    <w:link w:val="9"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3">
    <w:name w:val="标题 9 字符"/>
    <w:link w:val="10"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4">
    <w:name w:val="正文缩进 字符"/>
    <w:link w:val="11"/>
    <w:qFormat/>
    <w:uiPriority w:val="99"/>
    <w:rPr>
      <w:spacing w:val="8"/>
      <w:kern w:val="2"/>
      <w:sz w:val="24"/>
      <w:lang w:val="en-US" w:eastAsia="zh-CN"/>
    </w:rPr>
  </w:style>
  <w:style w:type="character" w:customStyle="1" w:styleId="35">
    <w:name w:val="批注文字 字符1"/>
    <w:link w:val="12"/>
    <w:qFormat/>
    <w:uiPriority w:val="0"/>
    <w:rPr>
      <w:szCs w:val="24"/>
    </w:rPr>
  </w:style>
  <w:style w:type="character" w:customStyle="1" w:styleId="36">
    <w:name w:val="纯文本 字符"/>
    <w:link w:val="13"/>
    <w:qFormat/>
    <w:uiPriority w:val="0"/>
    <w:rPr>
      <w:rFonts w:ascii="Calibri" w:hAnsi="Courier New"/>
      <w:kern w:val="2"/>
      <w:sz w:val="21"/>
    </w:rPr>
  </w:style>
  <w:style w:type="character" w:customStyle="1" w:styleId="37">
    <w:name w:val="批注框文本 字符"/>
    <w:link w:val="14"/>
    <w:qFormat/>
    <w:uiPriority w:val="0"/>
    <w:rPr>
      <w:kern w:val="2"/>
      <w:sz w:val="18"/>
      <w:szCs w:val="18"/>
    </w:rPr>
  </w:style>
  <w:style w:type="character" w:customStyle="1" w:styleId="38">
    <w:name w:val="页脚 字符1"/>
    <w:link w:val="15"/>
    <w:qFormat/>
    <w:uiPriority w:val="0"/>
    <w:rPr>
      <w:kern w:val="2"/>
      <w:sz w:val="18"/>
      <w:szCs w:val="18"/>
    </w:rPr>
  </w:style>
  <w:style w:type="character" w:customStyle="1" w:styleId="39">
    <w:name w:val="页眉 字符"/>
    <w:link w:val="16"/>
    <w:qFormat/>
    <w:uiPriority w:val="0"/>
    <w:rPr>
      <w:kern w:val="2"/>
      <w:sz w:val="18"/>
      <w:szCs w:val="18"/>
    </w:rPr>
  </w:style>
  <w:style w:type="character" w:customStyle="1" w:styleId="40">
    <w:name w:val="正文（首行缩进2字符） Char"/>
    <w:link w:val="41"/>
    <w:qFormat/>
    <w:uiPriority w:val="0"/>
    <w:rPr>
      <w:kern w:val="2"/>
      <w:sz w:val="24"/>
      <w:szCs w:val="24"/>
    </w:rPr>
  </w:style>
  <w:style w:type="paragraph" w:customStyle="1" w:styleId="41">
    <w:name w:val="正文（首行缩进2字符）"/>
    <w:basedOn w:val="1"/>
    <w:link w:val="40"/>
    <w:qFormat/>
    <w:uiPriority w:val="0"/>
    <w:pPr>
      <w:spacing w:line="360" w:lineRule="auto"/>
      <w:ind w:firstLine="480" w:firstLineChars="200"/>
    </w:pPr>
    <w:rPr>
      <w:sz w:val="24"/>
    </w:rPr>
  </w:style>
  <w:style w:type="character" w:customStyle="1" w:styleId="42">
    <w:name w:val="段落 Char1"/>
    <w:link w:val="43"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3">
    <w:name w:val="段落"/>
    <w:link w:val="42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4">
    <w:name w:val="正文（安华金和） Char"/>
    <w:link w:val="45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5">
    <w:name w:val="正文（安华金和）"/>
    <w:link w:val="44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6">
    <w:name w:val="页脚 字符"/>
    <w:qFormat/>
    <w:uiPriority w:val="99"/>
  </w:style>
  <w:style w:type="character" w:customStyle="1" w:styleId="47">
    <w:name w:val="列表段落 字符"/>
    <w:link w:val="48"/>
    <w:qFormat/>
    <w:uiPriority w:val="34"/>
    <w:rPr>
      <w:rFonts w:ascii="等线" w:hAnsi="等线" w:eastAsia="等线"/>
      <w:kern w:val="2"/>
      <w:sz w:val="21"/>
      <w:szCs w:val="22"/>
    </w:rPr>
  </w:style>
  <w:style w:type="paragraph" w:styleId="48">
    <w:name w:val="List Paragraph"/>
    <w:basedOn w:val="1"/>
    <w:link w:val="47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49">
    <w:name w:val="插图标注（安华金和）"/>
    <w:next w:val="1"/>
    <w:qFormat/>
    <w:uiPriority w:val="0"/>
    <w:p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0">
    <w:name w:val="标题 2（DBSec）"/>
    <w:basedOn w:val="3"/>
    <w:next w:val="1"/>
    <w:qFormat/>
    <w:uiPriority w:val="0"/>
    <w:pPr>
      <w:spacing w:line="415" w:lineRule="auto"/>
      <w:ind w:left="794" w:leftChars="200" w:hanging="794"/>
      <w:jc w:val="left"/>
    </w:pPr>
    <w:rPr>
      <w:rFonts w:ascii="Arial" w:hAnsi="Arial" w:eastAsia="黑体"/>
      <w:bCs w:val="0"/>
    </w:rPr>
  </w:style>
  <w:style w:type="paragraph" w:customStyle="1" w:styleId="5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2">
    <w:name w:val="_Style 27"/>
    <w:basedOn w:val="1"/>
    <w:next w:val="48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3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4">
    <w:name w:val="标题 6（有编号）（安华金和）"/>
    <w:basedOn w:val="1"/>
    <w:next w:val="1"/>
    <w:qFormat/>
    <w:uiPriority w:val="0"/>
    <w:pPr>
      <w:keepNext/>
      <w:keepLines/>
      <w:spacing w:before="240" w:after="64" w:line="319" w:lineRule="auto"/>
      <w:ind w:hanging="1247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5">
    <w:name w:val="标题 4（DBSec）"/>
    <w:basedOn w:val="5"/>
    <w:next w:val="1"/>
    <w:qFormat/>
    <w:uiPriority w:val="0"/>
    <w:pPr>
      <w:widowControl/>
      <w:spacing w:after="156"/>
      <w:ind w:left="200" w:leftChars="200" w:hanging="420"/>
      <w:jc w:val="left"/>
    </w:pPr>
    <w:rPr>
      <w:rFonts w:ascii="Arial" w:hAnsi="Arial" w:eastAsia="黑体"/>
      <w:bCs w:val="0"/>
      <w:kern w:val="0"/>
    </w:rPr>
  </w:style>
  <w:style w:type="paragraph" w:customStyle="1" w:styleId="56">
    <w:name w:val="标题 3（DBSec）"/>
    <w:basedOn w:val="4"/>
    <w:next w:val="1"/>
    <w:qFormat/>
    <w:uiPriority w:val="0"/>
    <w:pPr>
      <w:tabs>
        <w:tab w:val="left" w:pos="960"/>
      </w:tabs>
      <w:spacing w:line="415" w:lineRule="auto"/>
      <w:ind w:left="200" w:leftChars="200" w:hanging="907"/>
      <w:jc w:val="left"/>
    </w:pPr>
    <w:rPr>
      <w:rFonts w:ascii="Arial" w:hAnsi="Arial" w:eastAsia="黑体"/>
      <w:bCs w:val="0"/>
      <w:kern w:val="0"/>
    </w:rPr>
  </w:style>
  <w:style w:type="paragraph" w:customStyle="1" w:styleId="57">
    <w:name w:val="标题 1（DBSec）"/>
    <w:basedOn w:val="2"/>
    <w:next w:val="1"/>
    <w:qFormat/>
    <w:uiPriority w:val="0"/>
    <w:pPr>
      <w:pageBreakBefore/>
      <w:numPr>
        <w:numId w:val="0"/>
      </w:numPr>
      <w:pBdr>
        <w:bottom w:val="single" w:color="auto" w:sz="48" w:space="1"/>
      </w:pBdr>
      <w:spacing w:before="600" w:line="576" w:lineRule="auto"/>
      <w:ind w:left="200" w:leftChars="200" w:hanging="420"/>
      <w:jc w:val="left"/>
    </w:pPr>
    <w:rPr>
      <w:rFonts w:ascii="Arial" w:hAnsi="Arial" w:eastAsia="黑体"/>
    </w:rPr>
  </w:style>
  <w:style w:type="paragraph" w:customStyle="1" w:styleId="58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59">
    <w:name w:val="表格标注（安华金和）"/>
    <w:basedOn w:val="49"/>
    <w:next w:val="1"/>
    <w:qFormat/>
    <w:uiPriority w:val="0"/>
  </w:style>
  <w:style w:type="paragraph" w:customStyle="1" w:styleId="60">
    <w:name w:val="标题 5（有编号）（安华金和）"/>
    <w:basedOn w:val="1"/>
    <w:next w:val="1"/>
    <w:qFormat/>
    <w:uiPriority w:val="0"/>
    <w:pPr>
      <w:keepNext/>
      <w:keepLines/>
      <w:spacing w:before="280" w:after="156" w:line="377" w:lineRule="auto"/>
      <w:ind w:hanging="1134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1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2">
    <w:name w:val="批注文字 字符"/>
    <w:qFormat/>
    <w:uiPriority w:val="99"/>
    <w:rPr>
      <w:kern w:val="2"/>
      <w:sz w:val="21"/>
      <w:szCs w:val="24"/>
    </w:rPr>
  </w:style>
  <w:style w:type="character" w:customStyle="1" w:styleId="63">
    <w:name w:val="副标题 字符"/>
    <w:link w:val="17"/>
    <w:qFormat/>
    <w:uiPriority w:val="0"/>
    <w:rPr>
      <w:rFonts w:ascii="Cambria" w:hAnsi="Cambria"/>
      <w:b/>
      <w:bCs/>
      <w:kern w:val="28"/>
      <w:sz w:val="32"/>
      <w:szCs w:val="32"/>
      <w:lang w:eastAsia="en-US"/>
    </w:rPr>
  </w:style>
  <w:style w:type="paragraph" w:customStyle="1" w:styleId="64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1033</Words>
  <Characters>1115</Characters>
  <Lines>8</Lines>
  <Paragraphs>2</Paragraphs>
  <TotalTime>0</TotalTime>
  <ScaleCrop>false</ScaleCrop>
  <LinksUpToDate>false</LinksUpToDate>
  <CharactersWithSpaces>1130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2023-10-20T02:20:00Z</dcterms:created>
  <dc:creator>陈永辉</dc:creator>
  <cp:lastModifiedBy>赵杰</cp:lastModifiedBy>
  <cp:lastPrinted>2023-03-01T08:16:00Z</cp:lastPrinted>
  <dcterms:modified xsi:type="dcterms:W3CDTF">2025-03-31T09:38:21Z</dcterms:modified>
  <dc:title>1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FDEC8912198846F2A3A5461B11E74850_13</vt:lpwstr>
  </property>
  <property fmtid="{D5CDD505-2E9C-101B-9397-08002B2CF9AE}" pid="4" name="KSOTemplateDocerSaveRecord">
    <vt:lpwstr>eyJoZGlkIjoiZTNmZWQ4ZDMyMDU2MTY4ZmY4YjFhYjNkNzYxMTI0OWEiLCJ1c2VySWQiOiI4MjEzNDE2NTAifQ==</vt:lpwstr>
  </property>
</Properties>
</file>