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DCBA3">
      <w:pPr>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rPr>
        <w:t>医院</w:t>
      </w:r>
      <w:r>
        <w:rPr>
          <w:rFonts w:hint="eastAsia" w:asciiTheme="majorEastAsia" w:hAnsiTheme="majorEastAsia" w:eastAsiaTheme="majorEastAsia" w:cstheme="majorEastAsia"/>
          <w:b/>
          <w:bCs/>
          <w:sz w:val="32"/>
          <w:szCs w:val="32"/>
          <w:lang w:val="en-US" w:eastAsia="zh-CN"/>
        </w:rPr>
        <w:t>共享轮椅服务项目</w:t>
      </w:r>
      <w:r>
        <w:rPr>
          <w:rFonts w:hint="eastAsia" w:asciiTheme="majorEastAsia" w:hAnsiTheme="majorEastAsia" w:eastAsiaTheme="majorEastAsia" w:cstheme="majorEastAsia"/>
          <w:b/>
          <w:bCs/>
          <w:sz w:val="32"/>
          <w:szCs w:val="32"/>
          <w:lang w:val="zh-CN"/>
        </w:rPr>
        <w:t>技术需求书</w:t>
      </w:r>
    </w:p>
    <w:p w14:paraId="517D1835">
      <w:pPr>
        <w:ind w:firstLine="141" w:firstLineChars="50"/>
        <w:rPr>
          <w:rFonts w:hint="eastAsia" w:ascii="宋体" w:hAnsi="宋体"/>
          <w:b/>
          <w:bCs/>
          <w:sz w:val="28"/>
          <w:szCs w:val="28"/>
        </w:rPr>
      </w:pPr>
    </w:p>
    <w:p w14:paraId="7C308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rPr>
      </w:pPr>
      <w:r>
        <w:rPr>
          <w:rFonts w:hint="eastAsia" w:ascii="宋体" w:hAnsi="宋体"/>
          <w:b/>
          <w:bCs/>
          <w:sz w:val="28"/>
          <w:szCs w:val="28"/>
        </w:rPr>
        <w:t>一、项目概况</w:t>
      </w:r>
    </w:p>
    <w:p w14:paraId="114725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为满足医院行动不便患者的需求，提升便民服务水平，改善患者就医体验，设置共享轮椅服务项目。</w:t>
      </w:r>
    </w:p>
    <w:p w14:paraId="41DB2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、采购项目名称</w:t>
      </w:r>
    </w:p>
    <w:p w14:paraId="6EE7F188">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eastAsia" w:ascii="宋体" w:hAnsi="宋体"/>
          <w:sz w:val="28"/>
          <w:szCs w:val="28"/>
        </w:rPr>
      </w:pPr>
      <w:r>
        <w:rPr>
          <w:rFonts w:hint="eastAsia" w:ascii="宋体" w:hAnsi="宋体"/>
          <w:sz w:val="28"/>
          <w:szCs w:val="28"/>
          <w:lang w:val="en-US" w:eastAsia="zh-CN"/>
        </w:rPr>
        <w:t>医院共享轮椅服务项目</w:t>
      </w:r>
    </w:p>
    <w:p w14:paraId="60153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rPr>
      </w:pPr>
      <w:r>
        <w:rPr>
          <w:rFonts w:hint="eastAsia" w:ascii="宋体" w:hAnsi="宋体"/>
          <w:b/>
          <w:bCs/>
          <w:sz w:val="28"/>
          <w:szCs w:val="28"/>
          <w:lang w:val="en-US" w:eastAsia="zh-CN"/>
        </w:rPr>
        <w:t>三、项目范围</w:t>
      </w:r>
    </w:p>
    <w:p w14:paraId="759F90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广东省人民医院范围，包括及不限于院本部、惠福分院、平洲分院、合群门诊及医院各属和租赁物业等。</w:t>
      </w:r>
    </w:p>
    <w:p w14:paraId="5BE915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bCs/>
          <w:sz w:val="28"/>
          <w:szCs w:val="28"/>
          <w:lang w:val="en-US"/>
        </w:rPr>
      </w:pPr>
      <w:r>
        <w:rPr>
          <w:rFonts w:hint="eastAsia" w:ascii="宋体" w:hAnsi="宋体"/>
          <w:b/>
          <w:bCs/>
          <w:sz w:val="28"/>
          <w:szCs w:val="28"/>
          <w:lang w:val="en-US" w:eastAsia="zh-CN"/>
        </w:rPr>
        <w:t>四、项目时限</w:t>
      </w:r>
    </w:p>
    <w:p w14:paraId="7BC754DD">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服务时长为两年。</w:t>
      </w:r>
    </w:p>
    <w:p w14:paraId="55B5AFAC">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r>
        <w:rPr>
          <w:rFonts w:hint="eastAsia"/>
          <w:color w:val="000000"/>
          <w:sz w:val="28"/>
          <w:szCs w:val="28"/>
          <w:lang w:val="en-US" w:eastAsia="zh-CN"/>
        </w:rPr>
        <w:t>合同期满，若采购方未完成新采购合同的签订，承包方须按原合同继续服务。</w:t>
      </w:r>
    </w:p>
    <w:p w14:paraId="60DDD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项目内容及需求</w:t>
      </w:r>
    </w:p>
    <w:p w14:paraId="31238BE6">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Fonts w:hint="default" w:ascii="宋体" w:hAnsi="宋体"/>
          <w:sz w:val="28"/>
          <w:szCs w:val="28"/>
          <w:highlight w:val="none"/>
          <w:lang w:val="en-US" w:eastAsia="zh-CN"/>
        </w:rPr>
      </w:pPr>
      <w:r>
        <w:rPr>
          <w:rFonts w:hint="eastAsia" w:ascii="宋体" w:hAnsi="宋体"/>
          <w:sz w:val="28"/>
          <w:szCs w:val="28"/>
          <w:highlight w:val="none"/>
          <w:lang w:val="en-US" w:eastAsia="zh-CN"/>
        </w:rPr>
        <w:t>详见附件：医院共享轮椅服务采购</w:t>
      </w:r>
      <w:r>
        <w:rPr>
          <w:rFonts w:hint="eastAsia"/>
          <w:sz w:val="28"/>
          <w:szCs w:val="28"/>
          <w:highlight w:val="none"/>
          <w:lang w:val="en-US" w:eastAsia="zh-CN"/>
        </w:rPr>
        <w:t>表</w:t>
      </w:r>
    </w:p>
    <w:p w14:paraId="7FE479B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b/>
          <w:bCs/>
          <w:sz w:val="28"/>
          <w:szCs w:val="28"/>
          <w:highlight w:val="none"/>
          <w:lang w:val="en-US" w:eastAsia="zh-CN"/>
        </w:rPr>
      </w:pPr>
      <w:r>
        <w:rPr>
          <w:rFonts w:hint="eastAsia" w:ascii="宋体" w:hAnsi="宋体"/>
          <w:b/>
          <w:bCs/>
          <w:sz w:val="28"/>
          <w:szCs w:val="28"/>
          <w:highlight w:val="none"/>
          <w:lang w:val="en-US" w:eastAsia="zh-CN"/>
        </w:rPr>
        <w:t>服务要求</w:t>
      </w:r>
    </w:p>
    <w:p w14:paraId="624CF3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highlight w:val="none"/>
        </w:rPr>
      </w:pPr>
      <w:r>
        <w:rPr>
          <w:rFonts w:hint="eastAsia"/>
          <w:b w:val="0"/>
          <w:bCs/>
          <w:color w:val="000000"/>
          <w:sz w:val="28"/>
          <w:szCs w:val="28"/>
          <w:highlight w:val="none"/>
        </w:rPr>
        <w:t>1、</w:t>
      </w:r>
      <w:r>
        <w:rPr>
          <w:rFonts w:hint="eastAsia"/>
          <w:b w:val="0"/>
          <w:bCs/>
          <w:color w:val="000000"/>
          <w:sz w:val="28"/>
          <w:szCs w:val="28"/>
          <w:highlight w:val="none"/>
          <w:lang w:val="en-US" w:eastAsia="zh-CN"/>
        </w:rPr>
        <w:t>承包</w:t>
      </w:r>
      <w:r>
        <w:rPr>
          <w:rFonts w:hint="eastAsia"/>
          <w:color w:val="000000"/>
          <w:sz w:val="28"/>
          <w:szCs w:val="28"/>
          <w:highlight w:val="none"/>
          <w:lang w:val="en-US" w:eastAsia="zh-CN"/>
        </w:rPr>
        <w:t>商需项目范围内按医院实际需求配置共享轮椅及其配套设施（包括及不限于数量、位置、后台数据查询等），入场的器材或设备必需</w:t>
      </w:r>
      <w:r>
        <w:rPr>
          <w:rFonts w:hint="eastAsia"/>
          <w:color w:val="000000"/>
          <w:sz w:val="28"/>
          <w:szCs w:val="28"/>
          <w:highlight w:val="none"/>
        </w:rPr>
        <w:t>是全新、未曾使用过的，其质量、规格及技术特征符合国家有关的规定及</w:t>
      </w:r>
      <w:r>
        <w:rPr>
          <w:rFonts w:hint="eastAsia" w:ascii="宋体" w:hAnsi="宋体" w:cs="宋体"/>
          <w:sz w:val="28"/>
          <w:szCs w:val="28"/>
          <w:highlight w:val="none"/>
        </w:rPr>
        <w:t>产品说明书上技术参数</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正品合格；</w:t>
      </w:r>
    </w:p>
    <w:p w14:paraId="4C0AA1A7">
      <w:pPr>
        <w:keepNext w:val="0"/>
        <w:keepLines w:val="0"/>
        <w:pageBreakBefore w:val="0"/>
        <w:widowControl w:val="0"/>
        <w:tabs>
          <w:tab w:val="left" w:pos="360"/>
          <w:tab w:val="left" w:pos="644"/>
        </w:tabs>
        <w:kinsoku/>
        <w:wordWrap/>
        <w:overflowPunct/>
        <w:topLinePunct w:val="0"/>
        <w:autoSpaceDE/>
        <w:autoSpaceDN/>
        <w:bidi w:val="0"/>
        <w:adjustRightInd/>
        <w:snapToGrid/>
        <w:spacing w:line="360" w:lineRule="auto"/>
        <w:ind w:firstLine="560" w:firstLineChars="200"/>
        <w:textAlignment w:val="auto"/>
        <w:rPr>
          <w:rFonts w:hint="eastAsia" w:eastAsiaTheme="minorEastAsia"/>
          <w:color w:val="000000"/>
          <w:sz w:val="28"/>
          <w:szCs w:val="28"/>
          <w:lang w:eastAsia="zh-CN"/>
        </w:rPr>
      </w:pPr>
      <w:r>
        <w:rPr>
          <w:rFonts w:hint="eastAsia"/>
          <w:color w:val="000000"/>
          <w:sz w:val="28"/>
          <w:szCs w:val="28"/>
        </w:rPr>
        <w:t>2、</w:t>
      </w:r>
      <w:r>
        <w:rPr>
          <w:rFonts w:hint="eastAsia"/>
          <w:color w:val="000000"/>
          <w:sz w:val="28"/>
          <w:szCs w:val="28"/>
          <w:lang w:val="en-US" w:eastAsia="zh-CN"/>
        </w:rPr>
        <w:t>使用期限</w:t>
      </w:r>
      <w:r>
        <w:rPr>
          <w:rFonts w:hint="eastAsia"/>
          <w:color w:val="auto"/>
          <w:sz w:val="28"/>
          <w:szCs w:val="28"/>
          <w:lang w:val="en-US" w:eastAsia="zh-CN"/>
        </w:rPr>
        <w:t>按设备厂家约定范围内，包括</w:t>
      </w:r>
      <w:r>
        <w:rPr>
          <w:rFonts w:hint="eastAsia"/>
          <w:color w:val="auto"/>
          <w:sz w:val="28"/>
          <w:szCs w:val="28"/>
        </w:rPr>
        <w:t>所供应的零配件及第三方产品等</w:t>
      </w:r>
      <w:r>
        <w:rPr>
          <w:rFonts w:hint="eastAsia"/>
          <w:color w:val="auto"/>
          <w:sz w:val="28"/>
          <w:szCs w:val="28"/>
          <w:lang w:eastAsia="zh-CN"/>
        </w:rPr>
        <w:t>；</w:t>
      </w:r>
    </w:p>
    <w:p w14:paraId="7C7C2669">
      <w:pPr>
        <w:keepNext w:val="0"/>
        <w:keepLines w:val="0"/>
        <w:pageBreakBefore w:val="0"/>
        <w:widowControl w:val="0"/>
        <w:tabs>
          <w:tab w:val="left" w:pos="360"/>
          <w:tab w:val="left" w:pos="644"/>
        </w:tabs>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val="en-US" w:eastAsia="zh-CN"/>
        </w:rPr>
      </w:pPr>
      <w:r>
        <w:rPr>
          <w:rFonts w:hint="eastAsia"/>
          <w:color w:val="auto"/>
          <w:sz w:val="28"/>
          <w:szCs w:val="28"/>
          <w:lang w:val="en-US" w:eastAsia="zh-CN"/>
        </w:rPr>
        <w:t>3、承包商提供的轮椅、配套设施、安装等需安全（防火、防电、防盗、卫生、使用便捷等）和合法，并进行有效的管理；</w:t>
      </w:r>
    </w:p>
    <w:p w14:paraId="3F19A6CE">
      <w:pPr>
        <w:keepNext w:val="0"/>
        <w:keepLines w:val="0"/>
        <w:pageBreakBefore w:val="0"/>
        <w:widowControl w:val="0"/>
        <w:tabs>
          <w:tab w:val="left" w:pos="360"/>
          <w:tab w:val="left" w:pos="644"/>
        </w:tabs>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val="en-US" w:eastAsia="zh-CN"/>
        </w:rPr>
      </w:pPr>
      <w:r>
        <w:rPr>
          <w:rFonts w:hint="eastAsia"/>
          <w:color w:val="auto"/>
          <w:sz w:val="28"/>
          <w:szCs w:val="28"/>
          <w:lang w:val="en-US" w:eastAsia="zh-CN"/>
        </w:rPr>
        <w:t>4、承包商须配备专业的运营团队有运营团队负责合同期的维护服务，发现故障及时反馈，排除故障及时上报，承包商须提供运营团队成员信息及相关人员资质复印件并加盖公章，交医院主管部门备案；</w:t>
      </w:r>
    </w:p>
    <w:p w14:paraId="22BF040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5、服务期间，承包商工作人员必须服从采购人现场管理人员指挥，文明服务，遵守医院各项规章制度及作息时间，按要求轮椅和服务，不得消极怠工，不得弄虚作假；</w:t>
      </w:r>
    </w:p>
    <w:p w14:paraId="702031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Theme="minorEastAsia"/>
          <w:color w:val="000000"/>
          <w:sz w:val="28"/>
          <w:szCs w:val="28"/>
          <w:lang w:eastAsia="zh-CN"/>
        </w:rPr>
      </w:pPr>
      <w:r>
        <w:rPr>
          <w:rFonts w:hint="eastAsia"/>
          <w:color w:val="000000"/>
          <w:sz w:val="28"/>
          <w:szCs w:val="28"/>
          <w:lang w:val="en-US" w:eastAsia="zh-CN"/>
        </w:rPr>
        <w:t>6、</w:t>
      </w:r>
      <w:r>
        <w:rPr>
          <w:rFonts w:hint="eastAsia"/>
          <w:color w:val="000000"/>
          <w:sz w:val="28"/>
          <w:szCs w:val="28"/>
        </w:rPr>
        <w:t>公司</w:t>
      </w:r>
      <w:r>
        <w:rPr>
          <w:rFonts w:hint="eastAsia"/>
          <w:color w:val="000000"/>
          <w:sz w:val="28"/>
          <w:szCs w:val="28"/>
          <w:lang w:val="en-US" w:eastAsia="zh-CN"/>
        </w:rPr>
        <w:t>需具有较强</w:t>
      </w:r>
      <w:r>
        <w:rPr>
          <w:rFonts w:hint="eastAsia"/>
          <w:color w:val="000000"/>
          <w:sz w:val="28"/>
          <w:szCs w:val="28"/>
        </w:rPr>
        <w:t>能力、服务好、信誉高，</w:t>
      </w:r>
      <w:r>
        <w:rPr>
          <w:rFonts w:hint="eastAsia"/>
          <w:color w:val="000000"/>
          <w:sz w:val="28"/>
          <w:szCs w:val="28"/>
          <w:lang w:val="en-US" w:eastAsia="zh-CN"/>
        </w:rPr>
        <w:t>须具备履行供应器材和服务所必需的设备、人员和专业技术能力，有同类业务合作经验优先考虑</w:t>
      </w:r>
      <w:r>
        <w:rPr>
          <w:rFonts w:hint="eastAsia"/>
          <w:color w:val="000000"/>
          <w:sz w:val="28"/>
          <w:szCs w:val="28"/>
        </w:rPr>
        <w:t>。</w:t>
      </w:r>
      <w:r>
        <w:rPr>
          <w:rFonts w:hint="eastAsia"/>
          <w:color w:val="000000"/>
          <w:sz w:val="28"/>
          <w:szCs w:val="28"/>
          <w:lang w:val="en-US" w:eastAsia="zh-CN"/>
        </w:rPr>
        <w:t>服务期内</w:t>
      </w:r>
      <w:r>
        <w:rPr>
          <w:rFonts w:hint="eastAsia"/>
          <w:color w:val="000000"/>
          <w:sz w:val="28"/>
          <w:szCs w:val="28"/>
        </w:rPr>
        <w:t>非因甲方的人为原因而出现产品质量</w:t>
      </w:r>
      <w:r>
        <w:rPr>
          <w:rFonts w:hint="eastAsia"/>
          <w:color w:val="000000"/>
          <w:sz w:val="28"/>
          <w:szCs w:val="28"/>
          <w:lang w:eastAsia="zh-CN"/>
        </w:rPr>
        <w:t>、</w:t>
      </w:r>
      <w:r>
        <w:rPr>
          <w:rFonts w:hint="eastAsia"/>
          <w:color w:val="000000"/>
          <w:sz w:val="28"/>
          <w:szCs w:val="28"/>
        </w:rPr>
        <w:t>安装</w:t>
      </w:r>
      <w:r>
        <w:rPr>
          <w:rFonts w:hint="eastAsia"/>
          <w:color w:val="000000"/>
          <w:sz w:val="28"/>
          <w:szCs w:val="28"/>
          <w:lang w:eastAsia="zh-CN"/>
        </w:rPr>
        <w:t>、</w:t>
      </w:r>
      <w:r>
        <w:rPr>
          <w:rFonts w:hint="eastAsia"/>
          <w:color w:val="000000"/>
          <w:sz w:val="28"/>
          <w:szCs w:val="28"/>
          <w:lang w:val="en-US" w:eastAsia="zh-CN"/>
        </w:rPr>
        <w:t>服务等</w:t>
      </w:r>
      <w:r>
        <w:rPr>
          <w:rFonts w:hint="eastAsia"/>
          <w:color w:val="000000"/>
          <w:sz w:val="28"/>
          <w:szCs w:val="28"/>
        </w:rPr>
        <w:t>问题，由</w:t>
      </w:r>
      <w:r>
        <w:rPr>
          <w:rFonts w:hint="eastAsia"/>
          <w:color w:val="000000"/>
          <w:sz w:val="28"/>
          <w:szCs w:val="28"/>
          <w:lang w:val="en-US" w:eastAsia="zh-CN"/>
        </w:rPr>
        <w:t>承包商</w:t>
      </w:r>
      <w:r>
        <w:rPr>
          <w:rFonts w:hint="eastAsia"/>
          <w:color w:val="000000"/>
          <w:sz w:val="28"/>
          <w:szCs w:val="28"/>
        </w:rPr>
        <w:t>负责</w:t>
      </w:r>
      <w:r>
        <w:rPr>
          <w:rFonts w:hint="eastAsia"/>
          <w:color w:val="000000"/>
          <w:sz w:val="28"/>
          <w:szCs w:val="28"/>
          <w:lang w:val="en-US" w:eastAsia="zh-CN"/>
        </w:rPr>
        <w:t>全部</w:t>
      </w:r>
      <w:r>
        <w:rPr>
          <w:rFonts w:hint="eastAsia"/>
          <w:color w:val="000000"/>
          <w:sz w:val="28"/>
          <w:szCs w:val="28"/>
        </w:rPr>
        <w:t>承担</w:t>
      </w:r>
      <w:r>
        <w:rPr>
          <w:rFonts w:hint="eastAsia"/>
          <w:color w:val="000000"/>
          <w:sz w:val="28"/>
          <w:szCs w:val="28"/>
          <w:lang w:val="en-US" w:eastAsia="zh-CN"/>
        </w:rPr>
        <w:t>责任及</w:t>
      </w:r>
      <w:r>
        <w:rPr>
          <w:rFonts w:hint="eastAsia"/>
          <w:color w:val="000000"/>
          <w:sz w:val="28"/>
          <w:szCs w:val="28"/>
        </w:rPr>
        <w:t>产生的一切费用</w:t>
      </w:r>
      <w:r>
        <w:rPr>
          <w:rFonts w:hint="eastAsia"/>
          <w:color w:val="000000"/>
          <w:sz w:val="28"/>
          <w:szCs w:val="28"/>
          <w:lang w:eastAsia="zh-CN"/>
        </w:rPr>
        <w:t>：</w:t>
      </w:r>
    </w:p>
    <w:p w14:paraId="42F446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7、承包商的服务必须严格遵守安全规程，确保在供货的运输、培训等安全，承包商提供的设备、设施、服务等所需运输、维护、报废、工具、耗材、人员培训、节假日加班、工伤、保险及第三方伤害责任等均由承包人自行负责。</w:t>
      </w:r>
    </w:p>
    <w:p w14:paraId="6B36B4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8"/>
          <w:szCs w:val="28"/>
          <w:lang w:val="en-US" w:eastAsia="zh-CN"/>
        </w:rPr>
      </w:pPr>
      <w:r>
        <w:rPr>
          <w:rFonts w:hint="eastAsia" w:ascii="宋体" w:hAnsi="宋体"/>
          <w:b/>
          <w:bCs/>
          <w:sz w:val="28"/>
          <w:szCs w:val="28"/>
          <w:lang w:val="en-US" w:eastAsia="zh-CN"/>
        </w:rPr>
        <w:t>七、设备要求</w:t>
      </w:r>
    </w:p>
    <w:p w14:paraId="04C48A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1、设备须符合中华人民共和国相关质量标准、制造标准《GB/T 13800—2009 手动轮椅车》或《GB/Z13800-2021 手动轮椅车》国家标准（提供具有CMA资质的第三方检测机构出具的检测（检验）报告复印件并加盖公章）；</w:t>
      </w:r>
    </w:p>
    <w:p w14:paraId="588C0B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2、具备有效的医疗器械注册证（体现轮椅型号），提供有效证明材料复印件并加盖公章；</w:t>
      </w:r>
    </w:p>
    <w:p w14:paraId="2171FB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3、设备设置与管理。需符合采购人现场环境要求，如归位桩+轮椅，桩位用电：锂电池供电，无需使用交流电，规避外接电源触电安全隐患；归位桩摆放：无需破土动工；</w:t>
      </w:r>
    </w:p>
    <w:p w14:paraId="736CC1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4、软件管理。支持支付宝或微信扫码租赁，可支持信用免押租借服务，无需安装APP或下载专用软件；用户微信小程序端界面具备一键客服电话功能和语音操作导航功能及查找借用归还点功能，用户一键扫码时必须明示计费标准供用户确认。轮椅归还后可自动识别，可直接结束订单结算，用户申请退款成功实时退回。</w:t>
      </w:r>
    </w:p>
    <w:p w14:paraId="25FCE2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olor w:val="000000"/>
          <w:sz w:val="28"/>
          <w:szCs w:val="28"/>
          <w:lang w:val="en-US" w:eastAsia="zh-CN"/>
        </w:rPr>
      </w:pPr>
      <w:r>
        <w:rPr>
          <w:rFonts w:hint="eastAsia"/>
          <w:color w:val="000000"/>
          <w:sz w:val="28"/>
          <w:szCs w:val="28"/>
          <w:lang w:val="en-US" w:eastAsia="zh-CN"/>
        </w:rPr>
        <w:t>5、承包商须为设备购买有效期内的累计赔偿限额不低于500万人民币保的第三方产品责任险（保险合同作为协议附件；如未有保险合同，须作承诺函并承诺在合同签订前提供；保险公司为成交承包商设备及质量承保如产生的工单投诉等由成交承包商负责解释。合作期间若因设备及经营等原因所造成人身或财产伤害，均由成交承包商承担全部责任并赔偿损失），提供有效证明材料复印件/承诺函并加盖公章。</w:t>
      </w:r>
    </w:p>
    <w:p w14:paraId="2A7179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13"/>
          <w:szCs w:val="13"/>
          <w:lang w:val="en-US" w:eastAsia="zh-CN"/>
        </w:rPr>
      </w:pPr>
    </w:p>
    <w:p w14:paraId="2B2CA3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8"/>
          <w:szCs w:val="28"/>
          <w:lang w:val="en-US" w:eastAsia="zh-CN"/>
        </w:rPr>
      </w:pPr>
      <w:r>
        <w:rPr>
          <w:rFonts w:hint="eastAsia"/>
          <w:b/>
          <w:bCs/>
          <w:color w:val="000000"/>
          <w:sz w:val="28"/>
          <w:szCs w:val="28"/>
          <w:lang w:val="en-US" w:eastAsia="zh-CN"/>
        </w:rPr>
        <w:t>八、服务方案</w:t>
      </w:r>
    </w:p>
    <w:p w14:paraId="7D0FC4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sz w:val="28"/>
          <w:szCs w:val="28"/>
          <w:lang w:val="en-US" w:eastAsia="zh-CN"/>
        </w:rPr>
      </w:pPr>
      <w:r>
        <w:rPr>
          <w:rFonts w:hint="eastAsia"/>
          <w:color w:val="000000"/>
          <w:sz w:val="28"/>
          <w:szCs w:val="28"/>
          <w:lang w:val="en-US" w:eastAsia="zh-CN"/>
        </w:rPr>
        <w:t>承包商需在医院共享轮</w:t>
      </w:r>
      <w:r>
        <w:rPr>
          <w:rFonts w:hint="eastAsia"/>
          <w:color w:val="000000"/>
          <w:sz w:val="28"/>
          <w:szCs w:val="28"/>
          <w:highlight w:val="none"/>
          <w:lang w:val="en-US" w:eastAsia="zh-CN"/>
        </w:rPr>
        <w:t>椅服务采购表中提交服务方</w:t>
      </w:r>
      <w:r>
        <w:rPr>
          <w:rFonts w:hint="eastAsia"/>
          <w:color w:val="000000"/>
          <w:sz w:val="28"/>
          <w:szCs w:val="28"/>
          <w:lang w:val="en-US" w:eastAsia="zh-CN"/>
        </w:rPr>
        <w:t>案、收费方式，包括及不限于服务方案、轮椅租赁收费标准、向医院缴纳费用等（详见附件：医院共享轮椅服务采购表）。</w:t>
      </w:r>
    </w:p>
    <w:p w14:paraId="520D5CB5">
      <w:pPr>
        <w:numPr>
          <w:ilvl w:val="0"/>
          <w:numId w:val="0"/>
        </w:numPr>
        <w:ind w:leftChars="50" w:firstLine="560" w:firstLineChars="200"/>
        <w:jc w:val="left"/>
        <w:rPr>
          <w:rFonts w:hint="eastAsia"/>
          <w:sz w:val="28"/>
          <w:szCs w:val="28"/>
          <w:lang w:val="en-US" w:eastAsia="zh-CN"/>
        </w:rPr>
        <w:sectPr>
          <w:pgSz w:w="11906" w:h="16838"/>
          <w:pgMar w:top="1440" w:right="1080" w:bottom="1440" w:left="1080" w:header="851" w:footer="992" w:gutter="0"/>
          <w:cols w:space="0" w:num="1"/>
          <w:rtlGutter w:val="0"/>
          <w:docGrid w:type="lines" w:linePitch="312" w:charSpace="0"/>
        </w:sectPr>
      </w:pPr>
    </w:p>
    <w:p w14:paraId="641000A4">
      <w:pPr>
        <w:numPr>
          <w:ilvl w:val="0"/>
          <w:numId w:val="0"/>
        </w:numPr>
        <w:jc w:val="left"/>
        <w:rPr>
          <w:rFonts w:hint="eastAsia"/>
          <w:b/>
          <w:bCs/>
          <w:sz w:val="28"/>
          <w:szCs w:val="28"/>
          <w:lang w:val="en-US" w:eastAsia="zh-CN"/>
        </w:rPr>
      </w:pPr>
      <w:r>
        <w:rPr>
          <w:rFonts w:hint="eastAsia" w:ascii="宋体" w:hAnsi="宋体"/>
          <w:sz w:val="28"/>
          <w:szCs w:val="28"/>
          <w:lang w:val="en-US" w:eastAsia="zh-CN"/>
        </w:rPr>
        <w:t>附件：</w:t>
      </w:r>
      <w:r>
        <w:rPr>
          <w:rFonts w:hint="eastAsia" w:ascii="宋体" w:hAnsi="宋体"/>
          <w:b/>
          <w:bCs/>
          <w:sz w:val="28"/>
          <w:szCs w:val="28"/>
          <w:lang w:val="en-US" w:eastAsia="zh-CN"/>
        </w:rPr>
        <w:t>医院共享轮椅服务采购</w:t>
      </w:r>
      <w:r>
        <w:rPr>
          <w:rFonts w:hint="eastAsia"/>
          <w:b/>
          <w:bCs/>
          <w:sz w:val="28"/>
          <w:szCs w:val="28"/>
          <w:lang w:val="en-US" w:eastAsia="zh-CN"/>
        </w:rPr>
        <w:t>表</w:t>
      </w:r>
    </w:p>
    <w:tbl>
      <w:tblPr>
        <w:tblStyle w:val="8"/>
        <w:tblW w:w="14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7"/>
        <w:gridCol w:w="3643"/>
        <w:gridCol w:w="4306"/>
      </w:tblGrid>
      <w:tr w14:paraId="420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7" w:type="dxa"/>
          </w:tcPr>
          <w:p w14:paraId="49EA65BF">
            <w:pPr>
              <w:pStyle w:val="2"/>
              <w:ind w:left="0" w:leftChars="0" w:firstLine="0" w:firstLineChars="0"/>
              <w:jc w:val="center"/>
              <w:rPr>
                <w:rFonts w:hint="default"/>
                <w:sz w:val="28"/>
                <w:szCs w:val="28"/>
                <w:vertAlign w:val="baseline"/>
                <w:lang w:val="en-US" w:eastAsia="zh-CN"/>
              </w:rPr>
            </w:pPr>
            <w:r>
              <w:rPr>
                <w:rFonts w:hint="eastAsia"/>
                <w:b/>
                <w:bCs/>
                <w:sz w:val="28"/>
                <w:szCs w:val="28"/>
                <w:vertAlign w:val="baseline"/>
                <w:lang w:val="en-US" w:eastAsia="zh-CN"/>
              </w:rPr>
              <w:t>服务方案</w:t>
            </w:r>
          </w:p>
        </w:tc>
        <w:tc>
          <w:tcPr>
            <w:tcW w:w="3643" w:type="dxa"/>
          </w:tcPr>
          <w:p w14:paraId="1B53A908">
            <w:pPr>
              <w:pStyle w:val="2"/>
              <w:ind w:left="0" w:leftChars="0" w:firstLine="0" w:firstLineChars="0"/>
              <w:jc w:val="center"/>
              <w:rPr>
                <w:rFonts w:hint="default"/>
                <w:b/>
                <w:bCs/>
                <w:sz w:val="28"/>
                <w:szCs w:val="28"/>
                <w:vertAlign w:val="baseline"/>
                <w:lang w:val="en-US" w:eastAsia="zh-CN"/>
              </w:rPr>
            </w:pPr>
            <w:r>
              <w:rPr>
                <w:rFonts w:hint="eastAsia"/>
                <w:b/>
                <w:bCs/>
                <w:sz w:val="28"/>
                <w:szCs w:val="28"/>
                <w:vertAlign w:val="baseline"/>
                <w:lang w:val="en-US" w:eastAsia="zh-CN"/>
              </w:rPr>
              <w:t>轮椅租赁收费标准</w:t>
            </w:r>
          </w:p>
        </w:tc>
        <w:tc>
          <w:tcPr>
            <w:tcW w:w="4306" w:type="dxa"/>
          </w:tcPr>
          <w:p w14:paraId="05AAE417">
            <w:pPr>
              <w:pStyle w:val="2"/>
              <w:ind w:left="0" w:leftChars="0" w:firstLine="0" w:firstLineChars="0"/>
              <w:jc w:val="center"/>
              <w:rPr>
                <w:rFonts w:hint="default"/>
                <w:b/>
                <w:bCs/>
                <w:sz w:val="28"/>
                <w:szCs w:val="28"/>
                <w:vertAlign w:val="baseline"/>
                <w:lang w:val="en-US" w:eastAsia="zh-CN"/>
              </w:rPr>
            </w:pPr>
            <w:r>
              <w:rPr>
                <w:rFonts w:hint="eastAsia"/>
                <w:b/>
                <w:bCs/>
                <w:sz w:val="28"/>
                <w:szCs w:val="28"/>
                <w:vertAlign w:val="baseline"/>
                <w:lang w:val="en-US" w:eastAsia="zh-CN"/>
              </w:rPr>
              <w:t>向医院缴纳费用</w:t>
            </w:r>
          </w:p>
        </w:tc>
      </w:tr>
      <w:tr w14:paraId="5E8E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377" w:type="dxa"/>
            <w:vAlign w:val="center"/>
          </w:tcPr>
          <w:p w14:paraId="66504498">
            <w:pPr>
              <w:pStyle w:val="2"/>
              <w:ind w:left="0" w:leftChars="0" w:firstLine="560" w:firstLineChars="200"/>
              <w:jc w:val="both"/>
              <w:rPr>
                <w:rFonts w:hint="eastAsia"/>
                <w:color w:val="000000"/>
                <w:sz w:val="28"/>
                <w:szCs w:val="28"/>
                <w:lang w:val="en-US" w:eastAsia="zh-CN"/>
              </w:rPr>
            </w:pPr>
            <w:r>
              <w:rPr>
                <w:rFonts w:hint="eastAsia"/>
                <w:color w:val="000000"/>
                <w:sz w:val="28"/>
                <w:szCs w:val="28"/>
                <w:lang w:val="en-US" w:eastAsia="zh-CN"/>
              </w:rPr>
              <w:t>轮椅设施：</w:t>
            </w:r>
            <w:r>
              <w:rPr>
                <w:rFonts w:hint="eastAsia"/>
                <w:color w:val="000000"/>
                <w:sz w:val="28"/>
                <w:szCs w:val="28"/>
                <w:u w:val="single"/>
                <w:lang w:val="en-US" w:eastAsia="zh-CN"/>
              </w:rPr>
              <w:t xml:space="preserve">       </w:t>
            </w:r>
            <w:r>
              <w:rPr>
                <w:rFonts w:hint="eastAsia"/>
                <w:color w:val="000000"/>
                <w:sz w:val="28"/>
                <w:szCs w:val="28"/>
                <w:lang w:val="en-US" w:eastAsia="zh-CN"/>
              </w:rPr>
              <w:t>组</w:t>
            </w:r>
          </w:p>
          <w:p w14:paraId="212363CD">
            <w:pPr>
              <w:pStyle w:val="2"/>
              <w:ind w:left="0" w:leftChars="0" w:firstLine="560" w:firstLineChars="200"/>
              <w:jc w:val="both"/>
              <w:rPr>
                <w:rFonts w:hint="eastAsia"/>
                <w:color w:val="000000"/>
                <w:sz w:val="28"/>
                <w:szCs w:val="28"/>
                <w:lang w:val="en-US" w:eastAsia="zh-CN"/>
              </w:rPr>
            </w:pPr>
            <w:r>
              <w:rPr>
                <w:rFonts w:hint="eastAsia"/>
                <w:color w:val="000000"/>
                <w:sz w:val="28"/>
                <w:szCs w:val="28"/>
                <w:lang w:val="en-US" w:eastAsia="zh-CN"/>
              </w:rPr>
              <w:t>巡检周期：</w:t>
            </w:r>
            <w:r>
              <w:rPr>
                <w:rFonts w:hint="eastAsia"/>
                <w:color w:val="000000"/>
                <w:sz w:val="28"/>
                <w:szCs w:val="28"/>
                <w:u w:val="single"/>
                <w:lang w:val="en-US" w:eastAsia="zh-CN"/>
              </w:rPr>
              <w:t xml:space="preserve">       </w:t>
            </w:r>
            <w:r>
              <w:rPr>
                <w:rFonts w:hint="eastAsia"/>
                <w:color w:val="000000"/>
                <w:sz w:val="28"/>
                <w:szCs w:val="28"/>
                <w:lang w:val="en-US" w:eastAsia="zh-CN"/>
              </w:rPr>
              <w:t xml:space="preserve">   </w:t>
            </w:r>
          </w:p>
          <w:p w14:paraId="0E1C7FFA">
            <w:pPr>
              <w:pStyle w:val="2"/>
              <w:ind w:left="0" w:leftChars="0" w:firstLine="560" w:firstLineChars="200"/>
              <w:jc w:val="both"/>
              <w:rPr>
                <w:rFonts w:hint="eastAsia"/>
                <w:color w:val="000000"/>
                <w:sz w:val="28"/>
                <w:szCs w:val="28"/>
                <w:lang w:val="en-US" w:eastAsia="zh-CN"/>
              </w:rPr>
            </w:pPr>
            <w:r>
              <w:rPr>
                <w:rFonts w:hint="eastAsia"/>
                <w:color w:val="000000"/>
                <w:sz w:val="28"/>
                <w:szCs w:val="28"/>
                <w:lang w:val="en-US" w:eastAsia="zh-CN"/>
              </w:rPr>
              <w:t>客服电话：</w:t>
            </w:r>
            <w:r>
              <w:rPr>
                <w:rFonts w:hint="eastAsia"/>
                <w:color w:val="000000"/>
                <w:sz w:val="28"/>
                <w:szCs w:val="28"/>
                <w:u w:val="single"/>
                <w:lang w:val="en-US" w:eastAsia="zh-CN"/>
              </w:rPr>
              <w:t xml:space="preserve">       </w:t>
            </w:r>
          </w:p>
          <w:p w14:paraId="4B1967C4">
            <w:pPr>
              <w:pStyle w:val="2"/>
              <w:ind w:left="0" w:leftChars="0" w:firstLine="560" w:firstLineChars="200"/>
              <w:jc w:val="both"/>
              <w:rPr>
                <w:rFonts w:hint="eastAsia"/>
                <w:color w:val="000000"/>
                <w:sz w:val="28"/>
                <w:szCs w:val="28"/>
                <w:lang w:val="en-US" w:eastAsia="zh-CN"/>
              </w:rPr>
            </w:pPr>
            <w:r>
              <w:rPr>
                <w:rFonts w:hint="eastAsia"/>
                <w:color w:val="000000"/>
                <w:sz w:val="28"/>
                <w:szCs w:val="28"/>
                <w:lang w:val="en-US" w:eastAsia="zh-CN"/>
              </w:rPr>
              <w:t>响应时长：</w:t>
            </w:r>
            <w:r>
              <w:rPr>
                <w:rFonts w:hint="eastAsia"/>
                <w:color w:val="000000"/>
                <w:sz w:val="28"/>
                <w:szCs w:val="28"/>
                <w:u w:val="single"/>
                <w:lang w:val="en-US" w:eastAsia="zh-CN"/>
              </w:rPr>
              <w:t xml:space="preserve">       </w:t>
            </w:r>
          </w:p>
          <w:p w14:paraId="1C9CF153">
            <w:pPr>
              <w:pStyle w:val="2"/>
              <w:ind w:left="0" w:leftChars="0" w:firstLine="560" w:firstLineChars="200"/>
              <w:jc w:val="both"/>
              <w:rPr>
                <w:rFonts w:hint="eastAsia"/>
                <w:color w:val="000000"/>
                <w:sz w:val="28"/>
                <w:szCs w:val="28"/>
                <w:lang w:val="en-US" w:eastAsia="zh-CN"/>
              </w:rPr>
            </w:pPr>
            <w:r>
              <w:rPr>
                <w:rFonts w:hint="eastAsia"/>
                <w:color w:val="000000"/>
                <w:sz w:val="28"/>
                <w:szCs w:val="28"/>
                <w:lang w:val="en-US" w:eastAsia="zh-CN"/>
              </w:rPr>
              <w:t>到达现场：</w:t>
            </w:r>
            <w:r>
              <w:rPr>
                <w:rFonts w:hint="eastAsia"/>
                <w:color w:val="000000"/>
                <w:sz w:val="28"/>
                <w:szCs w:val="28"/>
                <w:u w:val="single"/>
                <w:lang w:val="en-US" w:eastAsia="zh-CN"/>
              </w:rPr>
              <w:t xml:space="preserve">       </w:t>
            </w:r>
          </w:p>
          <w:p w14:paraId="58B7158C">
            <w:pPr>
              <w:pStyle w:val="2"/>
              <w:ind w:left="0" w:leftChars="0" w:firstLine="560" w:firstLineChars="200"/>
              <w:jc w:val="both"/>
              <w:rPr>
                <w:rFonts w:hint="eastAsia"/>
                <w:sz w:val="28"/>
                <w:szCs w:val="28"/>
                <w:vertAlign w:val="baseline"/>
                <w:lang w:val="en-US" w:eastAsia="zh-CN"/>
              </w:rPr>
            </w:pPr>
            <w:r>
              <w:rPr>
                <w:rFonts w:hint="eastAsia"/>
                <w:color w:val="000000"/>
                <w:sz w:val="28"/>
                <w:szCs w:val="28"/>
                <w:lang w:val="en-US" w:eastAsia="zh-CN"/>
              </w:rPr>
              <w:t>消毒频次：</w:t>
            </w:r>
            <w:r>
              <w:rPr>
                <w:rFonts w:hint="eastAsia"/>
                <w:color w:val="000000"/>
                <w:sz w:val="28"/>
                <w:szCs w:val="28"/>
                <w:u w:val="single"/>
                <w:lang w:val="en-US" w:eastAsia="zh-CN"/>
              </w:rPr>
              <w:t xml:space="preserve">       </w:t>
            </w:r>
          </w:p>
        </w:tc>
        <w:tc>
          <w:tcPr>
            <w:tcW w:w="3643" w:type="dxa"/>
            <w:vAlign w:val="center"/>
          </w:tcPr>
          <w:p w14:paraId="0B6516E2">
            <w:pPr>
              <w:pStyle w:val="3"/>
              <w:numPr>
                <w:ilvl w:val="-1"/>
                <w:numId w:val="0"/>
              </w:numPr>
              <w:rPr>
                <w:rFonts w:hint="default"/>
                <w:lang w:val="en-US" w:eastAsia="zh-CN"/>
              </w:rPr>
            </w:pPr>
            <w:r>
              <w:rPr>
                <w:rFonts w:hint="eastAsia"/>
                <w:lang w:val="en-US" w:eastAsia="zh-CN"/>
              </w:rPr>
              <w:t>押金：</w:t>
            </w:r>
            <w:r>
              <w:rPr>
                <w:rFonts w:hint="eastAsia"/>
                <w:lang w:val="en-US" w:eastAsia="zh-CN"/>
              </w:rPr>
              <w:sym w:font="Wingdings 2" w:char="00A3"/>
            </w:r>
            <w:r>
              <w:rPr>
                <w:rFonts w:hint="eastAsia"/>
                <w:lang w:val="en-US" w:eastAsia="zh-CN"/>
              </w:rPr>
              <w:t xml:space="preserve">  </w:t>
            </w:r>
            <w:r>
              <w:rPr>
                <w:rFonts w:hint="eastAsia"/>
                <w:b w:val="0"/>
                <w:bCs w:val="0"/>
                <w:color w:val="000000"/>
                <w:sz w:val="28"/>
                <w:szCs w:val="28"/>
                <w:u w:val="single"/>
                <w:lang w:val="en-US" w:eastAsia="zh-CN"/>
              </w:rPr>
              <w:t xml:space="preserve">    </w:t>
            </w:r>
            <w:r>
              <w:rPr>
                <w:rFonts w:hint="eastAsia"/>
                <w:lang w:val="en-US" w:eastAsia="zh-CN"/>
              </w:rPr>
              <w:t xml:space="preserve"> 元/台   </w:t>
            </w:r>
            <w:r>
              <w:rPr>
                <w:rFonts w:hint="eastAsia"/>
                <w:lang w:val="en-US" w:eastAsia="zh-CN"/>
              </w:rPr>
              <w:sym w:font="Wingdings 2" w:char="00A3"/>
            </w:r>
            <w:r>
              <w:rPr>
                <w:rFonts w:hint="eastAsia"/>
                <w:lang w:val="en-US" w:eastAsia="zh-CN"/>
              </w:rPr>
              <w:t xml:space="preserve"> 免押金</w:t>
            </w:r>
          </w:p>
          <w:p w14:paraId="3C15D2D2">
            <w:pPr>
              <w:pStyle w:val="3"/>
              <w:numPr>
                <w:ilvl w:val="-1"/>
                <w:numId w:val="0"/>
              </w:numPr>
              <w:ind w:firstLine="0" w:firstLineChars="0"/>
              <w:rPr>
                <w:rFonts w:hint="eastAsia"/>
                <w:lang w:val="en-US" w:eastAsia="zh-CN"/>
              </w:rPr>
            </w:pPr>
            <w:r>
              <w:rPr>
                <w:rFonts w:hint="eastAsia"/>
                <w:lang w:val="en-US" w:eastAsia="zh-CN"/>
              </w:rPr>
              <w:t>租金：</w:t>
            </w:r>
            <w:r>
              <w:rPr>
                <w:rFonts w:hint="eastAsia"/>
                <w:b w:val="0"/>
                <w:bCs w:val="0"/>
                <w:color w:val="000000"/>
                <w:sz w:val="28"/>
                <w:szCs w:val="28"/>
                <w:u w:val="single"/>
                <w:lang w:val="en-US" w:eastAsia="zh-CN"/>
              </w:rPr>
              <w:t xml:space="preserve">    </w:t>
            </w:r>
            <w:r>
              <w:rPr>
                <w:rFonts w:hint="eastAsia"/>
                <w:lang w:val="en-US" w:eastAsia="zh-CN"/>
              </w:rPr>
              <w:t>元/小时</w:t>
            </w:r>
          </w:p>
          <w:p w14:paraId="4AAE1A0E">
            <w:pPr>
              <w:pStyle w:val="3"/>
              <w:numPr>
                <w:ilvl w:val="-1"/>
                <w:numId w:val="0"/>
              </w:numPr>
              <w:ind w:firstLine="0" w:firstLineChars="0"/>
              <w:rPr>
                <w:rFonts w:hint="default"/>
                <w:lang w:val="en-US" w:eastAsia="zh-CN"/>
              </w:rPr>
            </w:pPr>
            <w:r>
              <w:rPr>
                <w:rFonts w:hint="eastAsia"/>
                <w:lang w:val="en-US" w:eastAsia="zh-CN"/>
              </w:rPr>
              <w:t>免租时长：</w:t>
            </w:r>
            <w:r>
              <w:rPr>
                <w:rFonts w:hint="eastAsia"/>
                <w:b w:val="0"/>
                <w:bCs w:val="0"/>
                <w:color w:val="000000"/>
                <w:sz w:val="28"/>
                <w:szCs w:val="28"/>
                <w:u w:val="single"/>
                <w:lang w:val="en-US" w:eastAsia="zh-CN"/>
              </w:rPr>
              <w:t xml:space="preserve">    </w:t>
            </w:r>
            <w:r>
              <w:rPr>
                <w:rFonts w:hint="eastAsia"/>
                <w:lang w:val="en-US" w:eastAsia="zh-CN"/>
              </w:rPr>
              <w:t xml:space="preserve"> 小时/次</w:t>
            </w:r>
          </w:p>
          <w:p w14:paraId="184B6AFB">
            <w:pPr>
              <w:pStyle w:val="3"/>
              <w:numPr>
                <w:ilvl w:val="-1"/>
                <w:numId w:val="0"/>
              </w:numPr>
              <w:ind w:firstLine="0" w:firstLineChars="0"/>
              <w:rPr>
                <w:rFonts w:hint="default"/>
                <w:lang w:val="en-US" w:eastAsia="zh-CN"/>
              </w:rPr>
            </w:pPr>
            <w:r>
              <w:rPr>
                <w:rFonts w:hint="eastAsia"/>
                <w:lang w:val="en-US" w:eastAsia="zh-CN"/>
              </w:rPr>
              <w:t>封顶：</w:t>
            </w:r>
            <w:r>
              <w:rPr>
                <w:rFonts w:hint="eastAsia"/>
                <w:b w:val="0"/>
                <w:bCs w:val="0"/>
                <w:color w:val="000000"/>
                <w:sz w:val="28"/>
                <w:szCs w:val="28"/>
                <w:u w:val="single"/>
                <w:lang w:val="en-US" w:eastAsia="zh-CN"/>
              </w:rPr>
              <w:t xml:space="preserve">    </w:t>
            </w:r>
            <w:r>
              <w:rPr>
                <w:rFonts w:hint="eastAsia"/>
                <w:lang w:val="en-US" w:eastAsia="zh-CN"/>
              </w:rPr>
              <w:t xml:space="preserve"> 小时/台</w:t>
            </w:r>
          </w:p>
          <w:p w14:paraId="4618B008">
            <w:pPr>
              <w:pStyle w:val="2"/>
              <w:ind w:left="0" w:leftChars="0" w:firstLine="480" w:firstLineChars="200"/>
              <w:jc w:val="both"/>
              <w:rPr>
                <w:rFonts w:hint="eastAsia" w:asciiTheme="minorEastAsia" w:hAnsiTheme="minorEastAsia" w:eastAsiaTheme="minorEastAsia" w:cstheme="minorEastAsia"/>
                <w:b w:val="0"/>
                <w:bCs w:val="0"/>
                <w:sz w:val="24"/>
                <w:szCs w:val="24"/>
                <w:vertAlign w:val="baseline"/>
                <w:lang w:val="en-US" w:eastAsia="zh-CN"/>
              </w:rPr>
            </w:pPr>
          </w:p>
        </w:tc>
        <w:tc>
          <w:tcPr>
            <w:tcW w:w="4306" w:type="dxa"/>
            <w:vAlign w:val="center"/>
          </w:tcPr>
          <w:p w14:paraId="79E552EC">
            <w:pPr>
              <w:pStyle w:val="3"/>
              <w:numPr>
                <w:ilvl w:val="-1"/>
                <w:numId w:val="0"/>
              </w:numPr>
              <w:rPr>
                <w:rFonts w:hint="eastAsia"/>
                <w:lang w:val="en-US" w:eastAsia="zh-CN"/>
              </w:rPr>
            </w:pPr>
            <w:r>
              <w:rPr>
                <w:rFonts w:hint="eastAsia"/>
                <w:lang w:val="en-US" w:eastAsia="zh-CN"/>
              </w:rPr>
              <w:sym w:font="Wingdings 2" w:char="00A3"/>
            </w:r>
            <w:r>
              <w:rPr>
                <w:rFonts w:hint="eastAsia"/>
                <w:lang w:val="en-US" w:eastAsia="zh-CN"/>
              </w:rPr>
              <w:t xml:space="preserve">  0缴纳</w:t>
            </w:r>
          </w:p>
          <w:p w14:paraId="2D14A7D4">
            <w:pPr>
              <w:pStyle w:val="3"/>
              <w:numPr>
                <w:ilvl w:val="-1"/>
                <w:numId w:val="0"/>
              </w:numPr>
              <w:rPr>
                <w:rFonts w:hint="default"/>
                <w:u w:val="single"/>
                <w:lang w:val="en-US" w:eastAsia="zh-CN"/>
              </w:rPr>
            </w:pPr>
            <w:r>
              <w:rPr>
                <w:rFonts w:hint="eastAsia"/>
                <w:lang w:val="en-US" w:eastAsia="zh-CN"/>
              </w:rPr>
              <w:sym w:font="Wingdings 2" w:char="00A3"/>
            </w:r>
            <w:r>
              <w:rPr>
                <w:rFonts w:hint="eastAsia"/>
                <w:lang w:val="en-US" w:eastAsia="zh-CN"/>
              </w:rPr>
              <w:t xml:space="preserve"> 管理费</w:t>
            </w:r>
            <w:r>
              <w:rPr>
                <w:rFonts w:hint="eastAsia"/>
                <w:b w:val="0"/>
                <w:bCs w:val="0"/>
                <w:color w:val="000000"/>
                <w:sz w:val="28"/>
                <w:szCs w:val="28"/>
                <w:u w:val="single"/>
                <w:lang w:val="en-US" w:eastAsia="zh-CN"/>
              </w:rPr>
              <w:t xml:space="preserve">    </w:t>
            </w:r>
            <w:r>
              <w:rPr>
                <w:rFonts w:hint="eastAsia"/>
                <w:u w:val="single"/>
                <w:lang w:val="en-US" w:eastAsia="zh-CN"/>
              </w:rPr>
              <w:t xml:space="preserve"> </w:t>
            </w:r>
            <w:r>
              <w:rPr>
                <w:rFonts w:hint="eastAsia"/>
                <w:u w:val="none"/>
                <w:lang w:val="en-US" w:eastAsia="zh-CN"/>
              </w:rPr>
              <w:t>元/年</w:t>
            </w:r>
          </w:p>
          <w:p w14:paraId="331FA694">
            <w:pPr>
              <w:pStyle w:val="2"/>
              <w:ind w:left="0" w:leftChars="0" w:firstLine="480" w:firstLineChars="200"/>
              <w:jc w:val="both"/>
              <w:rPr>
                <w:rFonts w:hint="eastAsia" w:asciiTheme="minorEastAsia" w:hAnsiTheme="minorEastAsia" w:eastAsiaTheme="minorEastAsia" w:cstheme="minorEastAsia"/>
                <w:b w:val="0"/>
                <w:bCs w:val="0"/>
                <w:sz w:val="24"/>
                <w:szCs w:val="24"/>
                <w:vertAlign w:val="baseline"/>
                <w:lang w:val="en-US" w:eastAsia="zh-CN"/>
              </w:rPr>
            </w:pPr>
          </w:p>
        </w:tc>
      </w:tr>
    </w:tbl>
    <w:p w14:paraId="5DF9B387">
      <w:pPr>
        <w:rPr>
          <w:rFonts w:hint="eastAsia"/>
          <w:sz w:val="24"/>
          <w:szCs w:val="24"/>
          <w:lang w:val="en-US" w:eastAsia="zh-CN"/>
        </w:rPr>
      </w:pPr>
    </w:p>
    <w:p w14:paraId="31298B59">
      <w:pPr>
        <w:ind w:firstLine="240" w:firstLineChars="100"/>
        <w:rPr>
          <w:rFonts w:hint="eastAsia"/>
          <w:sz w:val="24"/>
          <w:szCs w:val="24"/>
          <w:lang w:val="en-US" w:eastAsia="zh-CN"/>
        </w:rPr>
      </w:pPr>
    </w:p>
    <w:p w14:paraId="674984E1">
      <w:pPr>
        <w:ind w:firstLine="240" w:firstLineChars="100"/>
        <w:rPr>
          <w:rFonts w:hint="default" w:eastAsiaTheme="minorEastAsia"/>
          <w:sz w:val="24"/>
          <w:szCs w:val="24"/>
          <w:lang w:val="en-US" w:eastAsia="zh-CN"/>
        </w:rPr>
      </w:pPr>
      <w:r>
        <w:rPr>
          <w:rFonts w:hint="eastAsia"/>
          <w:sz w:val="24"/>
          <w:szCs w:val="24"/>
          <w:lang w:val="en-US" w:eastAsia="zh-CN"/>
        </w:rPr>
        <w:t>报价公司名称（盖公章）                            联系人及电话</w:t>
      </w:r>
      <w:bookmarkStart w:id="0" w:name="_GoBack"/>
      <w:bookmarkEnd w:id="0"/>
    </w:p>
    <w:sectPr>
      <w:pgSz w:w="16838" w:h="11906" w:orient="landscape"/>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760DC"/>
    <w:multiLevelType w:val="singleLevel"/>
    <w:tmpl w:val="1BA760D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QyMjU3Yjc0NDk2ZjViMDUxNmIyNmIxMDc2YjIifQ=="/>
  </w:docVars>
  <w:rsids>
    <w:rsidRoot w:val="00ED0866"/>
    <w:rsid w:val="000A594F"/>
    <w:rsid w:val="000E5403"/>
    <w:rsid w:val="0014109D"/>
    <w:rsid w:val="001F7CF1"/>
    <w:rsid w:val="0029627E"/>
    <w:rsid w:val="002D63BB"/>
    <w:rsid w:val="002E37D7"/>
    <w:rsid w:val="003062FF"/>
    <w:rsid w:val="00370DDF"/>
    <w:rsid w:val="0039654D"/>
    <w:rsid w:val="00420A79"/>
    <w:rsid w:val="00457449"/>
    <w:rsid w:val="00465C98"/>
    <w:rsid w:val="004B3CFB"/>
    <w:rsid w:val="004E1F33"/>
    <w:rsid w:val="004E5CA6"/>
    <w:rsid w:val="00517B9D"/>
    <w:rsid w:val="00541A95"/>
    <w:rsid w:val="005D4AF2"/>
    <w:rsid w:val="0062489C"/>
    <w:rsid w:val="00675718"/>
    <w:rsid w:val="007154C7"/>
    <w:rsid w:val="00770BF2"/>
    <w:rsid w:val="00771E1D"/>
    <w:rsid w:val="007B4480"/>
    <w:rsid w:val="00805568"/>
    <w:rsid w:val="00840270"/>
    <w:rsid w:val="00AD0BAD"/>
    <w:rsid w:val="00AD3AD5"/>
    <w:rsid w:val="00B36125"/>
    <w:rsid w:val="00B733C1"/>
    <w:rsid w:val="00BD09F4"/>
    <w:rsid w:val="00CB6D55"/>
    <w:rsid w:val="00CC6A33"/>
    <w:rsid w:val="00DF740D"/>
    <w:rsid w:val="00E257DD"/>
    <w:rsid w:val="00ED0866"/>
    <w:rsid w:val="00F81277"/>
    <w:rsid w:val="029C57D8"/>
    <w:rsid w:val="07E65454"/>
    <w:rsid w:val="0FCB1CD3"/>
    <w:rsid w:val="1438443B"/>
    <w:rsid w:val="15C038DD"/>
    <w:rsid w:val="196D26A2"/>
    <w:rsid w:val="21EB7D62"/>
    <w:rsid w:val="278B6F82"/>
    <w:rsid w:val="2B7B6D0C"/>
    <w:rsid w:val="405776E7"/>
    <w:rsid w:val="48DB00A1"/>
    <w:rsid w:val="4AD73451"/>
    <w:rsid w:val="4B665E90"/>
    <w:rsid w:val="4C9B57B2"/>
    <w:rsid w:val="555845DD"/>
    <w:rsid w:val="59B706B3"/>
    <w:rsid w:val="5EB36DEA"/>
    <w:rsid w:val="611611E1"/>
    <w:rsid w:val="65C06F7D"/>
    <w:rsid w:val="6984763A"/>
    <w:rsid w:val="76DF0815"/>
    <w:rsid w:val="785064EC"/>
    <w:rsid w:val="7B1409DC"/>
    <w:rsid w:val="7CF0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szCs w:val="20"/>
    </w:rPr>
  </w:style>
  <w:style w:type="paragraph" w:styleId="3">
    <w:name w:val="annotation text"/>
    <w:basedOn w:val="1"/>
    <w:semiHidden/>
    <w:unhideWhenUsed/>
    <w:qFormat/>
    <w:uiPriority w:val="99"/>
    <w:pPr>
      <w:jc w:val="left"/>
    </w:pPr>
  </w:style>
  <w:style w:type="paragraph" w:styleId="4">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autoRedefine/>
    <w:qFormat/>
    <w:uiPriority w:val="34"/>
    <w:pPr>
      <w:ind w:firstLine="420" w:firstLineChars="200"/>
    </w:p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semiHidden/>
    <w:qFormat/>
    <w:uiPriority w:val="99"/>
    <w:rPr>
      <w:sz w:val="18"/>
      <w:szCs w:val="18"/>
    </w:rPr>
  </w:style>
  <w:style w:type="character" w:customStyle="1" w:styleId="14">
    <w:name w:val="font41"/>
    <w:basedOn w:val="9"/>
    <w:qFormat/>
    <w:uiPriority w:val="0"/>
    <w:rPr>
      <w:rFonts w:hint="eastAsia" w:ascii="黑体" w:hAnsi="宋体" w:eastAsia="黑体" w:cs="黑体"/>
      <w:color w:val="000000"/>
      <w:sz w:val="12"/>
      <w:szCs w:val="12"/>
      <w:u w:val="none"/>
    </w:rPr>
  </w:style>
  <w:style w:type="character" w:customStyle="1" w:styleId="15">
    <w:name w:val="font51"/>
    <w:basedOn w:val="9"/>
    <w:qFormat/>
    <w:uiPriority w:val="0"/>
    <w:rPr>
      <w:rFonts w:hint="eastAsia" w:ascii="黑体" w:hAnsi="宋体" w:eastAsia="黑体" w:cs="黑体"/>
      <w:color w:val="000000"/>
      <w:sz w:val="12"/>
      <w:szCs w:val="12"/>
      <w:u w:val="single"/>
    </w:rPr>
  </w:style>
  <w:style w:type="character" w:customStyle="1" w:styleId="16">
    <w:name w:val="font121"/>
    <w:basedOn w:val="9"/>
    <w:qFormat/>
    <w:uiPriority w:val="0"/>
    <w:rPr>
      <w:rFonts w:hint="eastAsia" w:ascii="黑体" w:hAnsi="宋体" w:eastAsia="黑体" w:cs="黑体"/>
      <w:color w:val="000000"/>
      <w:sz w:val="10"/>
      <w:szCs w:val="10"/>
      <w:u w:val="none"/>
    </w:rPr>
  </w:style>
  <w:style w:type="character" w:customStyle="1" w:styleId="17">
    <w:name w:val="font131"/>
    <w:basedOn w:val="9"/>
    <w:qFormat/>
    <w:uiPriority w:val="0"/>
    <w:rPr>
      <w:rFonts w:hint="eastAsia" w:ascii="宋体" w:hAnsi="宋体" w:eastAsia="宋体" w:cs="宋体"/>
      <w:color w:val="000000"/>
      <w:sz w:val="12"/>
      <w:szCs w:val="12"/>
      <w:u w:val="none"/>
    </w:rPr>
  </w:style>
  <w:style w:type="character" w:customStyle="1" w:styleId="18">
    <w:name w:val="font101"/>
    <w:basedOn w:val="9"/>
    <w:qFormat/>
    <w:uiPriority w:val="0"/>
    <w:rPr>
      <w:rFonts w:hint="eastAsia" w:ascii="黑体" w:hAnsi="宋体" w:eastAsia="黑体" w:cs="黑体"/>
      <w:color w:val="FF0000"/>
      <w:sz w:val="18"/>
      <w:szCs w:val="18"/>
      <w:u w:val="single"/>
    </w:rPr>
  </w:style>
  <w:style w:type="character" w:customStyle="1" w:styleId="19">
    <w:name w:val="font141"/>
    <w:basedOn w:val="9"/>
    <w:qFormat/>
    <w:uiPriority w:val="0"/>
    <w:rPr>
      <w:rFonts w:hint="eastAsia" w:ascii="黑体" w:hAnsi="宋体" w:eastAsia="黑体" w:cs="黑体"/>
      <w:color w:val="FF0000"/>
      <w:sz w:val="18"/>
      <w:szCs w:val="18"/>
      <w:u w:val="none"/>
    </w:rPr>
  </w:style>
  <w:style w:type="character" w:customStyle="1" w:styleId="20">
    <w:name w:val="font21"/>
    <w:basedOn w:val="9"/>
    <w:qFormat/>
    <w:uiPriority w:val="0"/>
    <w:rPr>
      <w:rFonts w:hint="eastAsia" w:ascii="黑体" w:hAnsi="宋体" w:eastAsia="黑体" w:cs="黑体"/>
      <w:b/>
      <w:bCs/>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GZQP</Company>
  <Pages>4</Pages>
  <Words>1529</Words>
  <Characters>1558</Characters>
  <Lines>28</Lines>
  <Paragraphs>8</Paragraphs>
  <TotalTime>36</TotalTime>
  <ScaleCrop>false</ScaleCrop>
  <LinksUpToDate>false</LinksUpToDate>
  <CharactersWithSpaces>1667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2024-03-14T02:50:00Z</dcterms:created>
  <dc:creator>Chenchunlong</dc:creator>
  <cp:lastModifiedBy>春</cp:lastModifiedBy>
  <cp:lastPrinted>2025-04-15T02:39:22Z</cp:lastPrinted>
  <dcterms:modified xsi:type="dcterms:W3CDTF">2025-04-15T07:21:04Z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84FB73E93D114B489CC2DBCE45DFDFB0_13</vt:lpwstr>
  </property>
  <property fmtid="{D5CDD505-2E9C-101B-9397-08002B2CF9AE}" pid="4" name="KSOTemplateDocerSaveRecord">
    <vt:lpwstr>eyJoZGlkIjoiOGNjOTQyMjU3Yjc0NDk2ZjViMDUxNmIyNmIxMDc2YjIiLCJ1c2VySWQiOiI4Mjk5Njg0NDMifQ==</vt:lpwstr>
  </property>
</Properties>
</file>