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B0264">
      <w:pPr>
        <w:rPr>
          <w:rFonts w:hint="eastAsia" w:ascii="宋体" w:hAnsi="宋体" w:cs="宋体"/>
          <w:sz w:val="28"/>
          <w:szCs w:val="28"/>
        </w:rPr>
      </w:pPr>
    </w:p>
    <w:p w14:paraId="7906C184">
      <w:pPr>
        <w:rPr>
          <w:rFonts w:hint="eastAsia" w:ascii="宋体" w:hAnsi="宋体" w:cs="宋体"/>
          <w:sz w:val="28"/>
          <w:szCs w:val="28"/>
        </w:rPr>
      </w:pPr>
    </w:p>
    <w:p w14:paraId="5E1B21E7">
      <w:pPr>
        <w:jc w:val="center"/>
        <w:rPr>
          <w:rFonts w:hint="eastAsia" w:ascii="宋体" w:hAnsi="宋体" w:cs="宋体"/>
          <w:sz w:val="72"/>
          <w:szCs w:val="72"/>
        </w:rPr>
      </w:pPr>
    </w:p>
    <w:p w14:paraId="5243E331">
      <w:pPr>
        <w:jc w:val="center"/>
        <w:rPr>
          <w:rFonts w:hint="eastAsia" w:ascii="宋体" w:hAnsi="宋体" w:cs="宋体"/>
          <w:b/>
          <w:bCs/>
          <w:sz w:val="44"/>
          <w:szCs w:val="44"/>
        </w:rPr>
      </w:pPr>
      <w:r>
        <w:rPr>
          <w:rFonts w:hint="eastAsia" w:ascii="宋体" w:hAnsi="宋体" w:cs="宋体"/>
          <w:b/>
          <w:bCs/>
          <w:sz w:val="44"/>
          <w:szCs w:val="44"/>
        </w:rPr>
        <w:t>广东省</w:t>
      </w:r>
      <w:r>
        <w:rPr>
          <w:rFonts w:hint="eastAsia" w:ascii="宋体" w:hAnsi="宋体" w:cs="宋体"/>
          <w:b/>
          <w:bCs/>
          <w:sz w:val="44"/>
          <w:szCs w:val="44"/>
          <w:lang w:val="en-US" w:eastAsia="zh-CN"/>
        </w:rPr>
        <w:t>医学科学院建设</w:t>
      </w:r>
      <w:r>
        <w:rPr>
          <w:rFonts w:hint="eastAsia" w:ascii="宋体" w:hAnsi="宋体" w:cs="宋体"/>
          <w:b/>
          <w:bCs/>
          <w:sz w:val="44"/>
          <w:szCs w:val="44"/>
        </w:rPr>
        <w:t>项目</w:t>
      </w:r>
    </w:p>
    <w:p w14:paraId="7FBE7491">
      <w:pPr>
        <w:jc w:val="center"/>
        <w:rPr>
          <w:rFonts w:hint="eastAsia" w:ascii="宋体" w:hAnsi="宋体" w:cs="宋体"/>
          <w:b/>
          <w:bCs/>
          <w:sz w:val="44"/>
          <w:szCs w:val="44"/>
        </w:rPr>
      </w:pPr>
      <w:r>
        <w:rPr>
          <w:rFonts w:hint="eastAsia" w:ascii="宋体" w:hAnsi="宋体" w:cs="宋体"/>
          <w:b/>
          <w:bCs/>
          <w:sz w:val="44"/>
          <w:szCs w:val="44"/>
        </w:rPr>
        <w:t>水土保持监测服务合同</w:t>
      </w:r>
    </w:p>
    <w:p w14:paraId="71A0BF3B">
      <w:pPr>
        <w:rPr>
          <w:rFonts w:hint="eastAsia" w:ascii="宋体" w:hAnsi="宋体" w:cs="宋体"/>
          <w:sz w:val="28"/>
          <w:szCs w:val="28"/>
        </w:rPr>
      </w:pPr>
    </w:p>
    <w:p w14:paraId="41666133">
      <w:pPr>
        <w:rPr>
          <w:rFonts w:hint="eastAsia" w:ascii="宋体" w:hAnsi="宋体" w:cs="宋体"/>
          <w:sz w:val="28"/>
          <w:szCs w:val="28"/>
        </w:rPr>
      </w:pPr>
    </w:p>
    <w:p w14:paraId="2DA6BFC3">
      <w:pPr>
        <w:spacing w:line="480" w:lineRule="auto"/>
        <w:ind w:firstLine="528" w:firstLineChars="188"/>
        <w:rPr>
          <w:rFonts w:hint="eastAsia" w:ascii="宋体" w:hAnsi="宋体" w:cs="宋体"/>
          <w:spacing w:val="-8"/>
          <w:sz w:val="28"/>
          <w:szCs w:val="28"/>
          <w:u w:val="single"/>
        </w:rPr>
      </w:pPr>
      <w:r>
        <w:rPr>
          <w:rFonts w:hint="eastAsia" w:ascii="宋体" w:hAnsi="宋体" w:cs="宋体"/>
          <w:b/>
          <w:sz w:val="28"/>
          <w:szCs w:val="28"/>
        </w:rPr>
        <w:t>委托方（甲方）：</w:t>
      </w:r>
      <w:r>
        <w:rPr>
          <w:rFonts w:hint="eastAsia" w:ascii="宋体" w:hAnsi="宋体" w:cs="宋体"/>
          <w:bCs/>
          <w:sz w:val="28"/>
          <w:u w:val="single"/>
        </w:rPr>
        <w:t xml:space="preserve">       广东省人民医院                            </w:t>
      </w:r>
    </w:p>
    <w:p w14:paraId="36E9F693">
      <w:pPr>
        <w:spacing w:line="800" w:lineRule="exact"/>
        <w:ind w:firstLine="528" w:firstLineChars="188"/>
        <w:rPr>
          <w:rFonts w:hint="eastAsia" w:ascii="宋体" w:hAnsi="宋体" w:cs="宋体"/>
          <w:b/>
          <w:spacing w:val="-10"/>
          <w:sz w:val="28"/>
          <w:szCs w:val="28"/>
          <w:u w:val="single"/>
        </w:rPr>
      </w:pPr>
      <w:r>
        <w:rPr>
          <w:rFonts w:hint="eastAsia" w:ascii="宋体" w:hAnsi="宋体" w:cs="宋体"/>
          <w:b/>
          <w:sz w:val="28"/>
          <w:szCs w:val="28"/>
        </w:rPr>
        <w:t>受托方（乙方）：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EC70E0F">
      <w:pPr>
        <w:spacing w:line="800" w:lineRule="exact"/>
        <w:ind w:firstLine="528" w:firstLineChars="188"/>
        <w:jc w:val="left"/>
        <w:rPr>
          <w:rFonts w:hint="eastAsia" w:ascii="宋体" w:hAnsi="宋体" w:cs="宋体"/>
          <w:b/>
          <w:sz w:val="28"/>
          <w:szCs w:val="28"/>
        </w:rPr>
      </w:pPr>
      <w:r>
        <w:rPr>
          <w:rFonts w:hint="eastAsia" w:ascii="宋体" w:hAnsi="宋体" w:cs="宋体"/>
          <w:b/>
          <w:sz w:val="28"/>
          <w:szCs w:val="28"/>
        </w:rPr>
        <w:t>签 订 时 间：</w:t>
      </w:r>
      <w:r>
        <w:rPr>
          <w:rFonts w:hint="eastAsia" w:ascii="宋体" w:hAnsi="宋体" w:cs="宋体"/>
          <w:sz w:val="28"/>
          <w:szCs w:val="28"/>
          <w:u w:val="single"/>
        </w:rPr>
        <w:t xml:space="preserve">             2025年   月   日                       </w:t>
      </w:r>
    </w:p>
    <w:p w14:paraId="5ACFCE8B">
      <w:pPr>
        <w:spacing w:line="800" w:lineRule="exact"/>
        <w:ind w:firstLine="528" w:firstLineChars="188"/>
        <w:rPr>
          <w:rFonts w:hint="eastAsia" w:ascii="宋体" w:hAnsi="宋体" w:cs="宋体"/>
          <w:sz w:val="28"/>
          <w:szCs w:val="28"/>
          <w:u w:val="single"/>
        </w:rPr>
      </w:pPr>
      <w:r>
        <w:rPr>
          <w:rFonts w:hint="eastAsia" w:ascii="宋体" w:hAnsi="宋体" w:cs="宋体"/>
          <w:b/>
          <w:sz w:val="28"/>
          <w:szCs w:val="28"/>
        </w:rPr>
        <w:t xml:space="preserve">签 订 地 点： </w:t>
      </w:r>
      <w:r>
        <w:rPr>
          <w:rFonts w:hint="eastAsia" w:ascii="宋体" w:hAnsi="宋体" w:cs="宋体"/>
          <w:sz w:val="28"/>
          <w:szCs w:val="28"/>
          <w:u w:val="single"/>
        </w:rPr>
        <w:t xml:space="preserve">            广州市                                  </w:t>
      </w:r>
    </w:p>
    <w:p w14:paraId="771CFC4F">
      <w:pPr>
        <w:ind w:firstLine="570"/>
        <w:jc w:val="left"/>
        <w:rPr>
          <w:rFonts w:hint="eastAsia" w:ascii="宋体" w:hAnsi="宋体" w:cs="宋体"/>
          <w:b/>
          <w:bCs/>
          <w:kern w:val="0"/>
          <w:sz w:val="28"/>
          <w:szCs w:val="28"/>
          <w:u w:val="single"/>
        </w:rPr>
      </w:pPr>
      <w:r>
        <w:rPr>
          <w:rFonts w:hint="eastAsia" w:ascii="宋体" w:hAnsi="宋体" w:cs="宋体"/>
          <w:b/>
          <w:bCs/>
          <w:kern w:val="0"/>
          <w:sz w:val="28"/>
          <w:szCs w:val="28"/>
        </w:rPr>
        <w:t>合 同 编 号：</w:t>
      </w:r>
      <w:r>
        <w:rPr>
          <w:rFonts w:hint="eastAsia" w:ascii="宋体" w:hAnsi="宋体" w:cs="宋体"/>
          <w:b/>
          <w:bCs/>
          <w:kern w:val="0"/>
          <w:sz w:val="28"/>
          <w:szCs w:val="28"/>
          <w:u w:val="single"/>
        </w:rPr>
        <w:t xml:space="preserve">          </w:t>
      </w:r>
      <w:r>
        <w:rPr>
          <w:rFonts w:ascii="宋体" w:hAnsi="宋体" w:cs="宋体"/>
          <w:b/>
          <w:bCs/>
          <w:kern w:val="0"/>
          <w:sz w:val="28"/>
          <w:szCs w:val="28"/>
          <w:u w:val="single"/>
        </w:rPr>
        <w:tab/>
      </w:r>
      <w:r>
        <w:rPr>
          <w:rFonts w:hint="eastAsia" w:ascii="宋体" w:hAnsi="宋体" w:cs="宋体"/>
          <w:kern w:val="0"/>
          <w:sz w:val="28"/>
          <w:szCs w:val="28"/>
          <w:u w:val="single"/>
          <w:lang w:val="en-US" w:eastAsia="zh-CN"/>
        </w:rPr>
        <w:t xml:space="preserve">    </w:t>
      </w:r>
      <w:r>
        <w:rPr>
          <w:rFonts w:hint="eastAsia" w:ascii="宋体" w:hAnsi="宋体" w:cs="宋体"/>
          <w:b/>
          <w:bCs/>
          <w:kern w:val="0"/>
          <w:sz w:val="28"/>
          <w:szCs w:val="28"/>
          <w:u w:val="single"/>
        </w:rPr>
        <w:t xml:space="preserve">                         </w:t>
      </w:r>
    </w:p>
    <w:p w14:paraId="3319160B">
      <w:pPr>
        <w:ind w:firstLine="570"/>
        <w:jc w:val="left"/>
        <w:rPr>
          <w:rFonts w:hint="eastAsia" w:ascii="宋体" w:hAnsi="宋体" w:cs="宋体"/>
          <w:sz w:val="28"/>
          <w:szCs w:val="28"/>
          <w:u w:val="single"/>
        </w:rPr>
      </w:pPr>
    </w:p>
    <w:p w14:paraId="54CAA7A8">
      <w:pPr>
        <w:rPr>
          <w:rFonts w:hint="eastAsia" w:ascii="宋体" w:hAnsi="宋体" w:cs="宋体"/>
          <w:sz w:val="28"/>
          <w:szCs w:val="28"/>
        </w:rPr>
      </w:pPr>
    </w:p>
    <w:p w14:paraId="721E4F27">
      <w:pPr>
        <w:rPr>
          <w:rFonts w:hint="eastAsia" w:ascii="宋体" w:hAnsi="宋体" w:cs="宋体"/>
          <w:sz w:val="28"/>
          <w:szCs w:val="28"/>
        </w:rPr>
      </w:pPr>
    </w:p>
    <w:p w14:paraId="7226745A">
      <w:pPr>
        <w:rPr>
          <w:rFonts w:hint="eastAsia" w:ascii="宋体" w:hAnsi="宋体" w:cs="宋体"/>
          <w:sz w:val="28"/>
          <w:szCs w:val="28"/>
        </w:rPr>
      </w:pPr>
    </w:p>
    <w:p w14:paraId="476D952A">
      <w:pPr>
        <w:ind w:firstLine="360"/>
        <w:jc w:val="center"/>
        <w:rPr>
          <w:rFonts w:hint="eastAsia" w:ascii="宋体" w:hAnsi="宋体" w:cs="宋体"/>
          <w:sz w:val="28"/>
          <w:szCs w:val="28"/>
        </w:rPr>
        <w:sectPr>
          <w:headerReference r:id="rId5" w:type="first"/>
          <w:headerReference r:id="rId3" w:type="default"/>
          <w:footerReference r:id="rId6" w:type="default"/>
          <w:headerReference r:id="rId4" w:type="even"/>
          <w:footerReference r:id="rId7" w:type="even"/>
          <w:pgSz w:w="11906" w:h="16838"/>
          <w:pgMar w:top="1440" w:right="1418" w:bottom="1440" w:left="1418" w:header="851" w:footer="992" w:gutter="0"/>
          <w:pgNumType w:start="1"/>
          <w:cols w:space="720" w:num="1"/>
          <w:titlePg/>
          <w:docGrid w:type="lines" w:linePitch="312" w:charSpace="0"/>
        </w:sectPr>
      </w:pPr>
    </w:p>
    <w:p w14:paraId="1CD69F13">
      <w:pPr>
        <w:snapToGri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本合同甲方委托乙方就</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广东省医学科学院建设项目</w:t>
      </w:r>
      <w:r>
        <w:rPr>
          <w:rFonts w:hint="eastAsia" w:asciiTheme="minorEastAsia" w:hAnsiTheme="minorEastAsia" w:eastAsiaTheme="minorEastAsia" w:cstheme="minorEastAsia"/>
          <w:sz w:val="28"/>
          <w:szCs w:val="28"/>
          <w:u w:val="single"/>
        </w:rPr>
        <w:t xml:space="preserve">水土保持监测服务  </w:t>
      </w:r>
      <w:r>
        <w:rPr>
          <w:rFonts w:hint="eastAsia" w:asciiTheme="minorEastAsia" w:hAnsiTheme="minorEastAsia" w:eastAsiaTheme="minorEastAsia" w:cstheme="minorEastAsia"/>
          <w:sz w:val="28"/>
          <w:szCs w:val="28"/>
        </w:rPr>
        <w:t>进行水土保持技术咨询，并支付咨询报酬。双方经过平等协商，在真实、充分表达各自意愿的基础上，根据《中华人民共和国民法典》等中国法律法规规定，达成如下协议，供双方共同恪守。</w:t>
      </w:r>
    </w:p>
    <w:p w14:paraId="5D293CDD">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第一条 技术咨询的内容和方式</w:t>
      </w:r>
    </w:p>
    <w:p w14:paraId="27CD7016">
      <w:pPr>
        <w:numPr>
          <w:ilvl w:val="0"/>
          <w:numId w:val="1"/>
        </w:num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水土保持监测（包括但不限于以下内容）</w:t>
      </w:r>
    </w:p>
    <w:p w14:paraId="78210911">
      <w:pPr>
        <w:spacing w:line="360" w:lineRule="auto"/>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1、调查已建成的水土保持措施的数量和项目水土流失防治责任范围变化；</w:t>
      </w:r>
    </w:p>
    <w:p w14:paraId="389132C3">
      <w:pPr>
        <w:spacing w:line="360" w:lineRule="auto"/>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2、通过现场查勘，结合查阅施工、监理和分部工程、单元工程验收的有关报告，评估水土保持措施的质量；</w:t>
      </w:r>
    </w:p>
    <w:p w14:paraId="7E27E131">
      <w:pPr>
        <w:spacing w:line="360" w:lineRule="auto"/>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编制工程水土保持监测报告，根据水土保持方案报告书以及施工总平面图、竣工图等在施工前编制水土保持监测实施报告，项目施工后至少每季度至施工现场，按照项目的水土保持方案报告书设置监测点对项目的水土保持设施进行监测，并及时发现现场存在问题，对发现问题给予专业建议，每个季度提交该项目水土保持方案季度报表，施工完成后，建设项目水土保持竣工验收前编制水土保持监测总结报告。监测成果包括监测实施方案、监测季度报告、监测年度报告、监测总结报告及相关图件、影像资料等；</w:t>
      </w:r>
    </w:p>
    <w:p w14:paraId="2744AC08">
      <w:pPr>
        <w:spacing w:line="360" w:lineRule="auto"/>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4、对工程水土保持工作存在的不足和问题提出完善意见。</w:t>
      </w:r>
    </w:p>
    <w:p w14:paraId="4978AF8F">
      <w:pPr>
        <w:numPr>
          <w:ilvl w:val="0"/>
          <w:numId w:val="1"/>
        </w:numPr>
        <w:spacing w:line="360" w:lineRule="auto"/>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总体要求：</w:t>
      </w:r>
      <w:r>
        <w:rPr>
          <w:rFonts w:hint="eastAsia" w:asciiTheme="minorEastAsia" w:hAnsiTheme="minorEastAsia" w:eastAsiaTheme="minorEastAsia" w:cstheme="minorEastAsia"/>
          <w:sz w:val="28"/>
          <w:szCs w:val="28"/>
        </w:rPr>
        <w:t>按照行政部门要求提供验收报告及各阶段所需文件，确保本项目通过相关行政部门的验收合格。</w:t>
      </w:r>
    </w:p>
    <w:p w14:paraId="79695F7E">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第二条 进度要求</w:t>
      </w:r>
    </w:p>
    <w:p w14:paraId="1E758D90">
      <w:pPr>
        <w:numPr>
          <w:ilvl w:val="0"/>
          <w:numId w:val="2"/>
        </w:numPr>
        <w:spacing w:line="360" w:lineRule="auto"/>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水保监测</w:t>
      </w:r>
    </w:p>
    <w:p w14:paraId="7C44B4E3">
      <w:pPr>
        <w:spacing w:line="360" w:lineRule="auto"/>
        <w:ind w:firstLine="5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项目开工时按要求提交水保监测季度报表，最后提交水土保持监测总报告（需满足水土保持验收要求）。</w:t>
      </w:r>
    </w:p>
    <w:p w14:paraId="28A6E57C">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第三条 由乙方负责水保方案及水保验收评审中的汇报相关工作，确保甲方取得当地行政主管部门对项目的审查文件。</w:t>
      </w:r>
    </w:p>
    <w:p w14:paraId="71E746BB">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第四条 为保证乙方有效进行技术咨询工作，甲方应当向乙方提供下列协作事项:</w:t>
      </w:r>
    </w:p>
    <w:p w14:paraId="20A50B5D">
      <w:pPr>
        <w:numPr>
          <w:ilvl w:val="0"/>
          <w:numId w:val="3"/>
        </w:numPr>
        <w:spacing w:line="360" w:lineRule="auto"/>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水保监测资料：</w:t>
      </w:r>
    </w:p>
    <w:p w14:paraId="70D62883">
      <w:pPr>
        <w:spacing w:line="360" w:lineRule="auto"/>
        <w:ind w:left="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1.提供技术资料</w:t>
      </w:r>
    </w:p>
    <w:p w14:paraId="2F6AD4F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项目水土保持方案报告（报批稿）、项目施工设计图、施工进度表、水土保持工程量、主体工程部分工程量等相关技术资料、水土保持监测总结报告，并对资料的真实性负责。</w:t>
      </w:r>
    </w:p>
    <w:p w14:paraId="6211EBD1">
      <w:pPr>
        <w:spacing w:line="360" w:lineRule="auto"/>
        <w:ind w:left="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2.提供其他协作：</w:t>
      </w:r>
    </w:p>
    <w:p w14:paraId="049F517F">
      <w:pPr>
        <w:spacing w:line="360" w:lineRule="auto"/>
        <w:ind w:firstLine="560" w:firstLineChars="200"/>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为水保方案编制人员、水保验收人员到现场工作及验收评审提供必要的协助。</w:t>
      </w:r>
    </w:p>
    <w:p w14:paraId="651D2DF3">
      <w:pPr>
        <w:spacing w:line="360" w:lineRule="auto"/>
        <w:ind w:firstLine="562" w:firstLineChars="200"/>
        <w:jc w:val="left"/>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u w:val="single"/>
        </w:rPr>
        <w:t>甲方提供上述资料后视为甲方提供的资料已齐全，如乙方要求甲方补充提供其他资料，应一次性告知，工期不顺延。</w:t>
      </w:r>
    </w:p>
    <w:p w14:paraId="07C900E4">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第五条 计费依据标准及支付方式</w:t>
      </w:r>
    </w:p>
    <w:p w14:paraId="00004146">
      <w:pPr>
        <w:numPr>
          <w:ilvl w:val="0"/>
          <w:numId w:val="4"/>
        </w:num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费用</w:t>
      </w:r>
    </w:p>
    <w:p w14:paraId="0BE98E43">
      <w:pPr>
        <w:spacing w:line="360" w:lineRule="auto"/>
        <w:ind w:firstLine="560" w:firstLineChars="200"/>
        <w:rPr>
          <w:rFonts w:hint="eastAsia" w:asciiTheme="minorEastAsia" w:hAnsiTheme="minorEastAsia" w:eastAsiaTheme="minorEastAsia" w:cstheme="minorEastAsia"/>
          <w:b/>
          <w:bCs/>
          <w:sz w:val="28"/>
          <w:szCs w:val="28"/>
          <w:highlight w:val="red"/>
        </w:rPr>
      </w:pPr>
      <w:r>
        <w:rPr>
          <w:rFonts w:hint="eastAsia" w:asciiTheme="minorEastAsia" w:hAnsiTheme="minorEastAsia" w:eastAsiaTheme="minorEastAsia" w:cstheme="minorEastAsia"/>
          <w:sz w:val="28"/>
          <w:szCs w:val="28"/>
        </w:rPr>
        <w:t>本合同的监测费依国家和地方有关规定执行，合同总价为：人民币¥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元</w:t>
      </w:r>
      <w:r>
        <w:rPr>
          <w:rFonts w:hint="eastAsia" w:asciiTheme="minorEastAsia" w:hAnsiTheme="minorEastAsia" w:eastAsiaTheme="minorEastAsia" w:cstheme="minorEastAsia"/>
          <w:sz w:val="28"/>
          <w:szCs w:val="28"/>
        </w:rPr>
        <w:t xml:space="preserve"> （大写：</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），合同总价包含监测方案及报告编制费、监测费和劳务费等完成相关工作的全部费用。本项目预计202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年完工，如项目施工期延长（自合同签订后，签发进场通知之日起算5年内），监测服务相应延长至项目实施结束，甲方不再额外增加合同费用；项目施工期延长大于5年，费用另行协商。</w:t>
      </w:r>
    </w:p>
    <w:p w14:paraId="09B648B3">
      <w:pPr>
        <w:numPr>
          <w:ilvl w:val="0"/>
          <w:numId w:val="4"/>
        </w:num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付款方式</w:t>
      </w:r>
    </w:p>
    <w:p w14:paraId="6FB45864">
      <w:pPr>
        <w:numPr>
          <w:ilvl w:val="0"/>
          <w:numId w:val="5"/>
        </w:numPr>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合同签订后，10个工作日内，甲方向乙方支付合同总价的30%作为预付款，即人民币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w:t>
      </w:r>
    </w:p>
    <w:p w14:paraId="1029DEFE">
      <w:pPr>
        <w:numPr>
          <w:ilvl w:val="0"/>
          <w:numId w:val="5"/>
        </w:numPr>
        <w:spacing w:line="360" w:lineRule="auto"/>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2026年1月、2027年1月分别支付年度的监测费，费用为合同总价的30%，即人民币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w:t>
      </w:r>
    </w:p>
    <w:p w14:paraId="61D8475D">
      <w:pPr>
        <w:numPr>
          <w:ilvl w:val="0"/>
          <w:numId w:val="5"/>
        </w:numPr>
        <w:spacing w:line="360" w:lineRule="auto"/>
        <w:ind w:left="0"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提交水土保持监测总报告并通过主管部门备案后，10个工作日内甲方向乙方支付剩余款项，即人民币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元 。</w:t>
      </w:r>
    </w:p>
    <w:p w14:paraId="1F4DA3F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备注：以上付款甲方将以银行转帐的方式支付。承包人提款前须向发包人提供合法、有效的等额增</w:t>
      </w:r>
      <w:bookmarkStart w:id="0" w:name="_GoBack"/>
      <w:bookmarkEnd w:id="0"/>
      <w:r>
        <w:rPr>
          <w:rFonts w:hint="eastAsia" w:asciiTheme="minorEastAsia" w:hAnsiTheme="minorEastAsia" w:eastAsiaTheme="minorEastAsia" w:cstheme="minorEastAsia"/>
          <w:sz w:val="28"/>
          <w:szCs w:val="28"/>
        </w:rPr>
        <w:t>值税发票，否则发包人有权顺延付款期至承包人履行发票义务止且无需承担延期付款的违约责任。</w:t>
      </w:r>
    </w:p>
    <w:p w14:paraId="09784B7E">
      <w:pPr>
        <w:numPr>
          <w:ilvl w:val="0"/>
          <w:numId w:val="4"/>
        </w:numPr>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乙方银行开户信息</w:t>
      </w:r>
    </w:p>
    <w:p w14:paraId="25D26C42">
      <w:pPr>
        <w:widowControl/>
        <w:spacing w:line="360" w:lineRule="auto"/>
        <w:ind w:firstLine="560" w:firstLineChars="200"/>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开 户 名：</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p>
    <w:p w14:paraId="659E022F">
      <w:pPr>
        <w:widowControl/>
        <w:spacing w:line="360" w:lineRule="auto"/>
        <w:ind w:firstLine="560" w:firstLineChars="200"/>
        <w:rPr>
          <w:rFonts w:hint="eastAsia" w:asciiTheme="minorEastAsia" w:hAnsiTheme="minorEastAsia" w:eastAsiaTheme="minorEastAsia" w:cstheme="minorEastAsia"/>
          <w:kern w:val="0"/>
          <w:sz w:val="28"/>
          <w:szCs w:val="28"/>
          <w:u w:val="single"/>
        </w:rPr>
      </w:pPr>
      <w:r>
        <w:rPr>
          <w:rFonts w:hint="eastAsia" w:asciiTheme="minorEastAsia" w:hAnsiTheme="minorEastAsia" w:eastAsiaTheme="minorEastAsia" w:cstheme="minorEastAsia"/>
          <w:kern w:val="0"/>
          <w:sz w:val="28"/>
          <w:szCs w:val="28"/>
        </w:rPr>
        <w:t>账    号：</w:t>
      </w:r>
      <w:r>
        <w:rPr>
          <w:rFonts w:hint="eastAsia" w:asciiTheme="minorEastAsia" w:hAnsiTheme="minorEastAsia" w:eastAsiaTheme="minorEastAsia" w:cstheme="minorEastAsia"/>
          <w:kern w:val="0"/>
          <w:sz w:val="28"/>
          <w:szCs w:val="28"/>
          <w:u w:val="single"/>
        </w:rPr>
        <w:t xml:space="preserve"> </w:t>
      </w:r>
      <w:r>
        <w:rPr>
          <w:rFonts w:hint="eastAsia" w:asciiTheme="minorEastAsia" w:hAnsiTheme="minorEastAsia" w:eastAsiaTheme="minorEastAsia" w:cstheme="minorEastAsia"/>
          <w:kern w:val="0"/>
          <w:sz w:val="28"/>
          <w:szCs w:val="28"/>
          <w:u w:val="single"/>
          <w:lang w:val="en-US" w:eastAsia="zh-CN"/>
        </w:rPr>
        <w:t xml:space="preserve">   </w:t>
      </w:r>
      <w:r>
        <w:rPr>
          <w:rFonts w:hint="eastAsia" w:asciiTheme="minorEastAsia" w:hAnsiTheme="minorEastAsia" w:eastAsiaTheme="minorEastAsia" w:cstheme="minorEastAsia"/>
          <w:kern w:val="0"/>
          <w:sz w:val="28"/>
          <w:szCs w:val="28"/>
          <w:u w:val="single"/>
        </w:rPr>
        <w:t xml:space="preserve">  </w:t>
      </w:r>
    </w:p>
    <w:p w14:paraId="3623B11B">
      <w:pPr>
        <w:pStyle w:val="16"/>
        <w:adjustRightInd w:val="0"/>
        <w:snapToGrid w:val="0"/>
        <w:spacing w:line="360" w:lineRule="auto"/>
        <w:ind w:firstLine="560" w:firstLineChars="200"/>
        <w:rPr>
          <w:rFonts w:hint="eastAsia" w:asciiTheme="minorEastAsia" w:hAnsiTheme="minorEastAsia" w:eastAsiaTheme="minorEastAsia" w:cstheme="minorEastAsia"/>
          <w:b/>
          <w:szCs w:val="28"/>
        </w:rPr>
      </w:pPr>
      <w:r>
        <w:rPr>
          <w:rFonts w:hint="eastAsia" w:asciiTheme="minorEastAsia" w:hAnsiTheme="minorEastAsia" w:eastAsiaTheme="minorEastAsia" w:cstheme="minorEastAsia"/>
          <w:kern w:val="0"/>
          <w:szCs w:val="28"/>
        </w:rPr>
        <w:t>开户银行：</w:t>
      </w:r>
      <w:r>
        <w:rPr>
          <w:rFonts w:hint="eastAsia" w:asciiTheme="minorEastAsia" w:hAnsiTheme="minorEastAsia" w:eastAsiaTheme="minorEastAsia" w:cstheme="minorEastAsia"/>
          <w:kern w:val="0"/>
          <w:szCs w:val="28"/>
          <w:u w:val="single"/>
          <w:lang w:val="en-US" w:eastAsia="zh-CN"/>
        </w:rPr>
        <w:t xml:space="preserve">    </w:t>
      </w:r>
      <w:r>
        <w:rPr>
          <w:rFonts w:hint="eastAsia" w:asciiTheme="minorEastAsia" w:hAnsiTheme="minorEastAsia" w:eastAsiaTheme="minorEastAsia" w:cstheme="minorEastAsia"/>
          <w:kern w:val="0"/>
          <w:szCs w:val="28"/>
          <w:u w:val="single"/>
        </w:rPr>
        <w:t xml:space="preserve">  </w:t>
      </w:r>
    </w:p>
    <w:p w14:paraId="279D5538">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第六条 双方的责任</w:t>
      </w:r>
    </w:p>
    <w:p w14:paraId="6525F8F2">
      <w:pPr>
        <w:numPr>
          <w:ilvl w:val="0"/>
          <w:numId w:val="6"/>
        </w:numPr>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乙方责任</w:t>
      </w:r>
    </w:p>
    <w:p w14:paraId="684E462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1、乙方同意根据甲方所提出的技术要求按本合同规定的时间和内容要求向甲方提交有关的成果文件等，提交给甲方的最终成果要齐全可靠，符合国家或行业有关规程、规范。</w:t>
      </w:r>
    </w:p>
    <w:p w14:paraId="7EF9A65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2、乙方应对甲方提供的有关资料、数据保密，未经甲方的允许，不得向任何第三方泄露。</w:t>
      </w:r>
    </w:p>
    <w:p w14:paraId="3A4AF86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3、乙方应该负责对研究成果审查解释工作，对不符合要求的进行修改。</w:t>
      </w:r>
    </w:p>
    <w:p w14:paraId="421F8FC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4、要求论证报告通过专家技术审查,满足项目核准对水土保持论证的有关要求。</w:t>
      </w:r>
    </w:p>
    <w:p w14:paraId="2E400EA8">
      <w:pPr>
        <w:numPr>
          <w:ilvl w:val="0"/>
          <w:numId w:val="6"/>
        </w:numPr>
        <w:spacing w:line="360" w:lineRule="auto"/>
        <w:outlineLvl w:val="1"/>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甲方责任</w:t>
      </w:r>
    </w:p>
    <w:p w14:paraId="198D32C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1、负责向乙方及时提供有关资料、数据及有关的协调工作。</w:t>
      </w:r>
    </w:p>
    <w:p w14:paraId="542CB71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2、甲方对所提供资料数据的真实性负责。</w:t>
      </w:r>
    </w:p>
    <w:p w14:paraId="2F5CCDB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3、按时向乙方支付合同款。</w:t>
      </w:r>
    </w:p>
    <w:p w14:paraId="1D32371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4.甲方负责解决影响项目水保方案报告评审和批复的制约性因素。</w:t>
      </w:r>
    </w:p>
    <w:p w14:paraId="062BC50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双方确定因履行本合同应遵守的保密义务如下：</w:t>
      </w:r>
    </w:p>
    <w:p w14:paraId="5F09A72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甲、乙双方对对方所提供的资料、数据均负有保密义务，未经另一方的同意，不得向任何第三方泄露。甲方所提供的供乙方工作所使用的一切资料、数据的所有权归甲方所有，乙方不得泄露、转让或用于其他。</w:t>
      </w:r>
    </w:p>
    <w:p w14:paraId="21A268F6">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第七条 交付成果</w:t>
      </w:r>
    </w:p>
    <w:p w14:paraId="3A49A57B">
      <w:pPr>
        <w:numPr>
          <w:ilvl w:val="0"/>
          <w:numId w:val="7"/>
        </w:num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水保监测</w:t>
      </w:r>
    </w:p>
    <w:p w14:paraId="41C9D82B">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1、乙方提交监测工作成果的内容：</w:t>
      </w:r>
      <w:r>
        <w:rPr>
          <w:rFonts w:hint="eastAsia" w:asciiTheme="minorEastAsia" w:hAnsiTheme="minorEastAsia" w:eastAsiaTheme="minorEastAsia" w:cstheme="minorEastAsia"/>
          <w:sz w:val="28"/>
          <w:szCs w:val="28"/>
          <w:u w:val="single"/>
        </w:rPr>
        <w:t>包括但不限于乙方执行国家、省、地方现行的法律、法规及工程相关技术资料开展水土保持监测工作。乙方在收集完资料后的25个工作日内完成水土保持监测实施方案；每季度的第一个月完成上季度水土保持监测季度报告表；工程满足水土保持设施验收后25个工作日内完成水土保持监测总结报告；并对成果文件的质量负责。</w:t>
      </w:r>
    </w:p>
    <w:p w14:paraId="0E13C07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2、要求：按行政主管部门要求。</w:t>
      </w:r>
    </w:p>
    <w:p w14:paraId="7796DC3D">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第八条 违约责任</w:t>
      </w:r>
    </w:p>
    <w:p w14:paraId="14D8CB0E">
      <w:pPr>
        <w:numPr>
          <w:ilvl w:val="0"/>
          <w:numId w:val="8"/>
        </w:num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甲方违约责任</w:t>
      </w:r>
    </w:p>
    <w:p w14:paraId="203EDE9A">
      <w:pPr>
        <w:tabs>
          <w:tab w:val="left" w:pos="312"/>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1、甲方若不按合同规定的时间向乙方提供有关技术资料，乙方则可按因此耽误的时间顺延提交有关的成果文件。</w:t>
      </w:r>
    </w:p>
    <w:p w14:paraId="2369551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2、若乙方在提交水土保持监测报告等核心成果（送审稿）并经水行政主管部门评审后，因甲方原因在取得水利部门批复文件之前终止合同的，甲方应向乙方支付已完成监测部分金额的100%。</w:t>
      </w:r>
    </w:p>
    <w:p w14:paraId="3001A01D">
      <w:pPr>
        <w:numPr>
          <w:ilvl w:val="0"/>
          <w:numId w:val="8"/>
        </w:numPr>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乙方违约责任</w:t>
      </w:r>
    </w:p>
    <w:p w14:paraId="2F139756">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1、若无甲方原因,乙方不按合同规定的时间向甲方交付技术咨询成果，迟延一天，按合同总价0.5‰承担违约金，直至扣完合同总价为止。</w:t>
      </w:r>
    </w:p>
    <w:p w14:paraId="2FA6370D">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2、乙方若中途中断水土保持相关服务，则向甲方退回已支付的所有款项。</w:t>
      </w:r>
    </w:p>
    <w:p w14:paraId="50A8C73C">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3、乙方所提供的咨询成果质量若不符合合同规定质量，则负责补充、修改完善直至咨询成果最终通过有关上级主管部门验收（不另增补费用）。</w:t>
      </w:r>
    </w:p>
    <w:p w14:paraId="0A8CA759">
      <w:pPr>
        <w:pStyle w:val="2"/>
        <w:ind w:firstLine="560"/>
      </w:pPr>
      <w:r>
        <w:rPr>
          <w:rFonts w:hint="eastAsia"/>
        </w:rPr>
        <w:t>4、</w:t>
      </w:r>
      <w:r>
        <w:rPr>
          <w:rFonts w:hint="eastAsia" w:hAnsi="宋体"/>
          <w:szCs w:val="28"/>
        </w:rPr>
        <w:t>乙方无故提前终止合同，须向甲方支付合同费用总额20％的违约金，并向甲方退回已支付的所有款项。</w:t>
      </w:r>
    </w:p>
    <w:p w14:paraId="6B122F70">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第九条 技术成果的归属</w:t>
      </w:r>
    </w:p>
    <w:p w14:paraId="2E54993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双方确定，本合同获得的所有咨询成果的知识产权及所有权归甲方所有，甲方有自由的处置权，乙方有签名权。未经甲方同意，乙方不得泄露、复制、转让或用于其他用途。</w:t>
      </w:r>
    </w:p>
    <w:p w14:paraId="3A1D0D77">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第十条 双方确定，因发生不可抗力，致使本合同的履行成为不必要或不可能的，一方可以通知另一方解除本合同。</w:t>
      </w:r>
    </w:p>
    <w:p w14:paraId="4613D73C">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第十一条 双方因履行本合同而发生的争议，应协商、调解解决。协商、调解不成的，可依法向项目所在地人民法院起诉。</w:t>
      </w:r>
    </w:p>
    <w:p w14:paraId="754A1FB9">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第十二条 双方协商议定本合同经双方签字盖章后生效，至全部履行条款后终止。</w:t>
      </w:r>
    </w:p>
    <w:p w14:paraId="09211667">
      <w:pPr>
        <w:spacing w:line="360" w:lineRule="auto"/>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第十三条 本合同一式</w:t>
      </w:r>
      <w:r>
        <w:rPr>
          <w:rFonts w:hint="eastAsia" w:asciiTheme="minorEastAsia" w:hAnsiTheme="minorEastAsia" w:eastAsiaTheme="minorEastAsia" w:cstheme="minorEastAsia"/>
          <w:b/>
          <w:sz w:val="28"/>
          <w:szCs w:val="28"/>
          <w:u w:val="single"/>
        </w:rPr>
        <w:t>肆</w:t>
      </w:r>
      <w:r>
        <w:rPr>
          <w:rFonts w:hint="eastAsia" w:asciiTheme="minorEastAsia" w:hAnsiTheme="minorEastAsia" w:eastAsiaTheme="minorEastAsia" w:cstheme="minorEastAsia"/>
          <w:b/>
          <w:sz w:val="28"/>
          <w:szCs w:val="28"/>
        </w:rPr>
        <w:t>份，双方各执</w:t>
      </w:r>
      <w:r>
        <w:rPr>
          <w:rFonts w:hint="eastAsia" w:asciiTheme="minorEastAsia" w:hAnsiTheme="minorEastAsia" w:eastAsiaTheme="minorEastAsia" w:cstheme="minorEastAsia"/>
          <w:b/>
          <w:sz w:val="28"/>
          <w:szCs w:val="28"/>
          <w:u w:val="single"/>
        </w:rPr>
        <w:t>贰</w:t>
      </w:r>
      <w:r>
        <w:rPr>
          <w:rFonts w:hint="eastAsia" w:asciiTheme="minorEastAsia" w:hAnsiTheme="minorEastAsia" w:eastAsiaTheme="minorEastAsia" w:cstheme="minorEastAsia"/>
          <w:b/>
          <w:sz w:val="28"/>
          <w:szCs w:val="28"/>
        </w:rPr>
        <w:t>份，具有同等法律效力。</w:t>
      </w:r>
    </w:p>
    <w:p w14:paraId="11B60969">
      <w:pPr>
        <w:pStyle w:val="2"/>
        <w:ind w:firstLine="5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01AF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29882F91">
            <w:pPr>
              <w:spacing w:line="360" w:lineRule="auto"/>
              <w:rPr>
                <w:rFonts w:hint="eastAsia" w:asciiTheme="minorEastAsia" w:hAnsiTheme="minorEastAsia" w:eastAsiaTheme="minorEastAsia" w:cstheme="minorEastAsia"/>
                <w:sz w:val="28"/>
                <w:szCs w:val="28"/>
              </w:rPr>
            </w:pPr>
            <w:r>
              <w:rPr>
                <w:rFonts w:hint="eastAsia" w:hAnsi="宋体"/>
                <w:sz w:val="28"/>
                <w:szCs w:val="28"/>
              </w:rPr>
              <w:t>甲方：广东省人民医院</w:t>
            </w:r>
          </w:p>
        </w:tc>
        <w:tc>
          <w:tcPr>
            <w:tcW w:w="4360" w:type="dxa"/>
          </w:tcPr>
          <w:p w14:paraId="2A92A2F4">
            <w:pPr>
              <w:spacing w:line="360" w:lineRule="auto"/>
              <w:rPr>
                <w:rFonts w:hint="eastAsia" w:eastAsia="宋体" w:asciiTheme="minorEastAsia" w:hAnsiTheme="minorEastAsia" w:cstheme="minorEastAsia"/>
                <w:sz w:val="28"/>
                <w:szCs w:val="28"/>
                <w:lang w:eastAsia="zh-CN"/>
              </w:rPr>
            </w:pPr>
            <w:r>
              <w:rPr>
                <w:rFonts w:hint="eastAsia" w:hAnsi="宋体"/>
                <w:sz w:val="28"/>
                <w:szCs w:val="28"/>
              </w:rPr>
              <w:t>乙方：</w:t>
            </w:r>
            <w:r>
              <w:rPr>
                <w:rFonts w:hint="eastAsia" w:hAnsi="宋体"/>
                <w:sz w:val="28"/>
                <w:szCs w:val="28"/>
                <w:lang w:val="en-US" w:eastAsia="zh-CN"/>
              </w:rPr>
              <w:t xml:space="preserve"> </w:t>
            </w:r>
          </w:p>
        </w:tc>
      </w:tr>
      <w:tr w14:paraId="049E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73E89271">
            <w:pPr>
              <w:spacing w:line="360" w:lineRule="auto"/>
              <w:rPr>
                <w:rFonts w:hint="eastAsia" w:ascii="宋体" w:hAnsi="宋体"/>
                <w:sz w:val="28"/>
                <w:szCs w:val="28"/>
              </w:rPr>
            </w:pPr>
            <w:r>
              <w:rPr>
                <w:rFonts w:hint="eastAsia" w:ascii="宋体" w:hAnsi="宋体"/>
                <w:sz w:val="28"/>
                <w:szCs w:val="28"/>
              </w:rPr>
              <w:t>法定代表人或授权代表：</w:t>
            </w:r>
          </w:p>
          <w:p w14:paraId="561B2A19">
            <w:pPr>
              <w:pStyle w:val="2"/>
              <w:ind w:firstLine="560"/>
            </w:pPr>
          </w:p>
        </w:tc>
        <w:tc>
          <w:tcPr>
            <w:tcW w:w="4360" w:type="dxa"/>
          </w:tcPr>
          <w:p w14:paraId="608AE52A">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法定代表人或授权代表：</w:t>
            </w:r>
          </w:p>
        </w:tc>
      </w:tr>
      <w:tr w14:paraId="4F99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729F41DA">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地  址： 广州市越秀区中山二路106号</w:t>
            </w:r>
          </w:p>
        </w:tc>
        <w:tc>
          <w:tcPr>
            <w:tcW w:w="4360" w:type="dxa"/>
          </w:tcPr>
          <w:p w14:paraId="397B97E0">
            <w:pPr>
              <w:spacing w:line="360" w:lineRule="auto"/>
              <w:rPr>
                <w:rFonts w:hint="eastAsia" w:eastAsia="宋体" w:asciiTheme="minorEastAsia" w:hAnsiTheme="minorEastAsia" w:cstheme="minorEastAsia"/>
                <w:sz w:val="28"/>
                <w:szCs w:val="28"/>
                <w:lang w:eastAsia="zh-CN"/>
              </w:rPr>
            </w:pPr>
            <w:r>
              <w:rPr>
                <w:rFonts w:hint="eastAsia" w:ascii="宋体" w:hAnsi="宋体"/>
                <w:sz w:val="28"/>
                <w:szCs w:val="28"/>
              </w:rPr>
              <w:t>地  址：</w:t>
            </w:r>
            <w:r>
              <w:rPr>
                <w:rFonts w:hint="eastAsia" w:ascii="宋体" w:hAnsi="宋体"/>
                <w:sz w:val="28"/>
                <w:szCs w:val="28"/>
                <w:lang w:val="en-US" w:eastAsia="zh-CN"/>
              </w:rPr>
              <w:t xml:space="preserve"> </w:t>
            </w:r>
          </w:p>
        </w:tc>
      </w:tr>
      <w:tr w14:paraId="0DE1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1F64E7B1">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电话：020-83827812</w:t>
            </w:r>
          </w:p>
        </w:tc>
        <w:tc>
          <w:tcPr>
            <w:tcW w:w="4360" w:type="dxa"/>
          </w:tcPr>
          <w:p w14:paraId="7D83A2FB">
            <w:pPr>
              <w:spacing w:line="480" w:lineRule="auto"/>
              <w:rPr>
                <w:rFonts w:hint="eastAsia" w:ascii="宋体" w:hAnsi="宋体" w:eastAsia="宋体"/>
                <w:sz w:val="28"/>
                <w:szCs w:val="28"/>
                <w:lang w:eastAsia="zh-CN"/>
              </w:rPr>
            </w:pPr>
            <w:r>
              <w:rPr>
                <w:rFonts w:hint="eastAsia" w:ascii="宋体" w:hAnsi="宋体"/>
                <w:sz w:val="28"/>
                <w:szCs w:val="28"/>
              </w:rPr>
              <w:t>电话：</w:t>
            </w:r>
            <w:r>
              <w:rPr>
                <w:rFonts w:hint="eastAsia" w:ascii="宋体" w:hAnsi="宋体"/>
                <w:sz w:val="28"/>
                <w:szCs w:val="28"/>
                <w:lang w:val="en-US" w:eastAsia="zh-CN"/>
              </w:rPr>
              <w:t xml:space="preserve"> </w:t>
            </w:r>
          </w:p>
        </w:tc>
      </w:tr>
      <w:tr w14:paraId="3609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13D451B7">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开户银行：中国工商银行广州白云路支行</w:t>
            </w:r>
          </w:p>
        </w:tc>
        <w:tc>
          <w:tcPr>
            <w:tcW w:w="4360" w:type="dxa"/>
          </w:tcPr>
          <w:p w14:paraId="127A33C2">
            <w:pPr>
              <w:spacing w:line="360" w:lineRule="auto"/>
              <w:rPr>
                <w:rFonts w:hint="eastAsia" w:eastAsia="宋体" w:asciiTheme="minorEastAsia" w:hAnsiTheme="minorEastAsia" w:cstheme="minorEastAsia"/>
                <w:sz w:val="28"/>
                <w:szCs w:val="28"/>
                <w:lang w:eastAsia="zh-CN"/>
              </w:rPr>
            </w:pPr>
            <w:r>
              <w:rPr>
                <w:rFonts w:hint="eastAsia" w:ascii="宋体" w:hAnsi="宋体"/>
                <w:sz w:val="28"/>
                <w:szCs w:val="28"/>
              </w:rPr>
              <w:t>开户银行：</w:t>
            </w:r>
            <w:r>
              <w:rPr>
                <w:rFonts w:hint="eastAsia" w:ascii="宋体" w:hAnsi="宋体"/>
                <w:sz w:val="28"/>
                <w:szCs w:val="28"/>
                <w:lang w:val="en-US" w:eastAsia="zh-CN"/>
              </w:rPr>
              <w:t xml:space="preserve"> </w:t>
            </w:r>
          </w:p>
        </w:tc>
      </w:tr>
      <w:tr w14:paraId="604D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00922914">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 xml:space="preserve">银行帐号： </w:t>
            </w:r>
            <w:r>
              <w:rPr>
                <w:rFonts w:ascii="宋体" w:hAnsi="宋体"/>
                <w:sz w:val="28"/>
                <w:szCs w:val="28"/>
              </w:rPr>
              <w:t>3602004409001385770</w:t>
            </w:r>
          </w:p>
        </w:tc>
        <w:tc>
          <w:tcPr>
            <w:tcW w:w="4360" w:type="dxa"/>
          </w:tcPr>
          <w:p w14:paraId="115FB442">
            <w:pPr>
              <w:spacing w:line="360" w:lineRule="auto"/>
              <w:rPr>
                <w:rFonts w:hint="eastAsia" w:eastAsia="宋体" w:asciiTheme="minorEastAsia" w:hAnsiTheme="minorEastAsia" w:cstheme="minorEastAsia"/>
                <w:sz w:val="28"/>
                <w:szCs w:val="28"/>
                <w:lang w:eastAsia="zh-CN"/>
              </w:rPr>
            </w:pPr>
            <w:r>
              <w:rPr>
                <w:rFonts w:hint="eastAsia" w:ascii="宋体" w:hAnsi="宋体"/>
                <w:sz w:val="28"/>
                <w:szCs w:val="28"/>
              </w:rPr>
              <w:t>银行帐号：</w:t>
            </w:r>
            <w:r>
              <w:rPr>
                <w:rFonts w:hint="eastAsia" w:ascii="宋体" w:hAnsi="宋体"/>
                <w:sz w:val="28"/>
                <w:szCs w:val="28"/>
                <w:lang w:val="en-US" w:eastAsia="zh-CN"/>
              </w:rPr>
              <w:t xml:space="preserve"> </w:t>
            </w:r>
          </w:p>
        </w:tc>
      </w:tr>
      <w:tr w14:paraId="2AAA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4BD17A13">
            <w:pPr>
              <w:spacing w:line="360" w:lineRule="auto"/>
              <w:rPr>
                <w:rFonts w:hint="eastAsia" w:asciiTheme="minorEastAsia" w:hAnsiTheme="minorEastAsia" w:eastAsiaTheme="minorEastAsia" w:cstheme="minorEastAsia"/>
                <w:sz w:val="28"/>
                <w:szCs w:val="28"/>
              </w:rPr>
            </w:pPr>
            <w:r>
              <w:rPr>
                <w:rFonts w:hint="eastAsia" w:ascii="宋体" w:hAnsi="宋体"/>
                <w:sz w:val="28"/>
                <w:szCs w:val="28"/>
              </w:rPr>
              <w:t>签订日期： 20   年  月  日</w:t>
            </w:r>
          </w:p>
        </w:tc>
        <w:tc>
          <w:tcPr>
            <w:tcW w:w="4360" w:type="dxa"/>
          </w:tcPr>
          <w:p w14:paraId="24DC6AE4">
            <w:pPr>
              <w:spacing w:line="480" w:lineRule="auto"/>
              <w:rPr>
                <w:rFonts w:hint="eastAsia" w:ascii="宋体" w:hAnsi="宋体"/>
                <w:sz w:val="28"/>
                <w:szCs w:val="28"/>
              </w:rPr>
            </w:pPr>
            <w:r>
              <w:rPr>
                <w:rFonts w:hint="eastAsia" w:ascii="宋体" w:hAnsi="宋体"/>
                <w:sz w:val="28"/>
                <w:szCs w:val="28"/>
              </w:rPr>
              <w:t>签订日期：20   年   月   日</w:t>
            </w:r>
          </w:p>
        </w:tc>
      </w:tr>
    </w:tbl>
    <w:p w14:paraId="494A619E">
      <w:pPr>
        <w:pStyle w:val="2"/>
        <w:ind w:firstLine="560"/>
      </w:pPr>
    </w:p>
    <w:sectPr>
      <w:footerReference r:id="rId8" w:type="default"/>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llegro BT">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宋体-1803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16E7">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E292">
    <w:pPr>
      <w:pStyle w:val="19"/>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3DB437F4">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CA0D">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18415" b="4445"/>
              <wp:wrapNone/>
              <wp:docPr id="2" name="文本框 5"/>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6510DD0B">
                          <w:pPr>
                            <w:pStyle w:val="19"/>
                            <w:rPr>
                              <w:rStyle w:val="26"/>
                            </w:rPr>
                          </w:pPr>
                          <w:r>
                            <w:rPr>
                              <w:rStyle w:val="26"/>
                              <w:rFonts w:hint="eastAsia"/>
                            </w:rPr>
                            <w:t xml:space="preserve">第 </w:t>
                          </w:r>
                          <w:r>
                            <w:rPr>
                              <w:rStyle w:val="26"/>
                              <w:rFonts w:hint="eastAsia"/>
                            </w:rPr>
                            <w:fldChar w:fldCharType="begin"/>
                          </w:r>
                          <w:r>
                            <w:rPr>
                              <w:rStyle w:val="26"/>
                              <w:rFonts w:hint="eastAsia"/>
                            </w:rPr>
                            <w:instrText xml:space="preserve"> PAGE  \* MERGEFORMAT </w:instrText>
                          </w:r>
                          <w:r>
                            <w:rPr>
                              <w:rStyle w:val="26"/>
                              <w:rFonts w:hint="eastAsia"/>
                            </w:rPr>
                            <w:fldChar w:fldCharType="separate"/>
                          </w:r>
                          <w:r>
                            <w:rPr>
                              <w:rStyle w:val="26"/>
                            </w:rPr>
                            <w:t>8</w:t>
                          </w:r>
                          <w:r>
                            <w:rPr>
                              <w:rStyle w:val="26"/>
                              <w:rFonts w:hint="eastAsia"/>
                            </w:rPr>
                            <w:fldChar w:fldCharType="end"/>
                          </w:r>
                          <w:r>
                            <w:rPr>
                              <w:rStyle w:val="26"/>
                              <w:rFonts w:hint="eastAsia"/>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vJB6cs4BAACXAwAADgAAAAAAAAABACAAAAAgAQAAZHJz&#10;L2Uyb0RvYy54bWxQSwUGAAAAAAYABgBZAQAAYAUAAAAA&#10;">
              <v:fill on="f" focussize="0,0"/>
              <v:stroke on="f"/>
              <v:imagedata o:title=""/>
              <o:lock v:ext="edit" aspectratio="f"/>
              <v:textbox inset="0mm,0mm,0mm,0mm" style="mso-fit-shape-to-text:t;">
                <w:txbxContent>
                  <w:p w14:paraId="6510DD0B">
                    <w:pPr>
                      <w:pStyle w:val="19"/>
                      <w:rPr>
                        <w:rStyle w:val="26"/>
                      </w:rPr>
                    </w:pPr>
                    <w:r>
                      <w:rPr>
                        <w:rStyle w:val="26"/>
                        <w:rFonts w:hint="eastAsia"/>
                      </w:rPr>
                      <w:t xml:space="preserve">第 </w:t>
                    </w:r>
                    <w:r>
                      <w:rPr>
                        <w:rStyle w:val="26"/>
                        <w:rFonts w:hint="eastAsia"/>
                      </w:rPr>
                      <w:fldChar w:fldCharType="begin"/>
                    </w:r>
                    <w:r>
                      <w:rPr>
                        <w:rStyle w:val="26"/>
                        <w:rFonts w:hint="eastAsia"/>
                      </w:rPr>
                      <w:instrText xml:space="preserve"> PAGE  \* MERGEFORMAT </w:instrText>
                    </w:r>
                    <w:r>
                      <w:rPr>
                        <w:rStyle w:val="26"/>
                        <w:rFonts w:hint="eastAsia"/>
                      </w:rPr>
                      <w:fldChar w:fldCharType="separate"/>
                    </w:r>
                    <w:r>
                      <w:rPr>
                        <w:rStyle w:val="26"/>
                      </w:rPr>
                      <w:t>8</w:t>
                    </w:r>
                    <w:r>
                      <w:rPr>
                        <w:rStyle w:val="26"/>
                        <w:rFonts w:hint="eastAsia"/>
                      </w:rPr>
                      <w:fldChar w:fldCharType="end"/>
                    </w:r>
                    <w:r>
                      <w:rPr>
                        <w:rStyle w:val="26"/>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E23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96D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5FE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0475"/>
    <w:multiLevelType w:val="singleLevel"/>
    <w:tmpl w:val="A1440475"/>
    <w:lvl w:ilvl="0" w:tentative="0">
      <w:start w:val="1"/>
      <w:numFmt w:val="decimal"/>
      <w:lvlText w:val="%1."/>
      <w:lvlJc w:val="left"/>
      <w:pPr>
        <w:ind w:left="425" w:hanging="425"/>
      </w:pPr>
      <w:rPr>
        <w:rFonts w:hint="default"/>
      </w:rPr>
    </w:lvl>
  </w:abstractNum>
  <w:abstractNum w:abstractNumId="1">
    <w:nsid w:val="A776C8F3"/>
    <w:multiLevelType w:val="singleLevel"/>
    <w:tmpl w:val="A776C8F3"/>
    <w:lvl w:ilvl="0" w:tentative="0">
      <w:start w:val="1"/>
      <w:numFmt w:val="chineseCounting"/>
      <w:suff w:val="nothing"/>
      <w:lvlText w:val="（%1）"/>
      <w:lvlJc w:val="left"/>
      <w:pPr>
        <w:ind w:left="0" w:firstLine="420"/>
      </w:pPr>
      <w:rPr>
        <w:rFonts w:hint="eastAsia"/>
      </w:rPr>
    </w:lvl>
  </w:abstractNum>
  <w:abstractNum w:abstractNumId="2">
    <w:nsid w:val="AF525DC8"/>
    <w:multiLevelType w:val="singleLevel"/>
    <w:tmpl w:val="AF525DC8"/>
    <w:lvl w:ilvl="0" w:tentative="0">
      <w:start w:val="1"/>
      <w:numFmt w:val="chineseCounting"/>
      <w:suff w:val="nothing"/>
      <w:lvlText w:val="（%1）"/>
      <w:lvlJc w:val="left"/>
      <w:pPr>
        <w:ind w:left="0" w:firstLine="420"/>
      </w:pPr>
      <w:rPr>
        <w:rFonts w:hint="eastAsia"/>
      </w:rPr>
    </w:lvl>
  </w:abstractNum>
  <w:abstractNum w:abstractNumId="3">
    <w:nsid w:val="D3ABCE53"/>
    <w:multiLevelType w:val="singleLevel"/>
    <w:tmpl w:val="D3ABCE53"/>
    <w:lvl w:ilvl="0" w:tentative="0">
      <w:start w:val="1"/>
      <w:numFmt w:val="chineseCounting"/>
      <w:suff w:val="nothing"/>
      <w:lvlText w:val="（%1）"/>
      <w:lvlJc w:val="left"/>
      <w:pPr>
        <w:ind w:left="0" w:firstLine="420"/>
      </w:pPr>
      <w:rPr>
        <w:rFonts w:hint="eastAsia"/>
      </w:rPr>
    </w:lvl>
  </w:abstractNum>
  <w:abstractNum w:abstractNumId="4">
    <w:nsid w:val="D61D9754"/>
    <w:multiLevelType w:val="singleLevel"/>
    <w:tmpl w:val="D61D9754"/>
    <w:lvl w:ilvl="0" w:tentative="0">
      <w:start w:val="1"/>
      <w:numFmt w:val="chineseCounting"/>
      <w:suff w:val="nothing"/>
      <w:lvlText w:val="（%1）"/>
      <w:lvlJc w:val="left"/>
      <w:pPr>
        <w:ind w:left="0" w:firstLine="420"/>
      </w:pPr>
      <w:rPr>
        <w:rFonts w:hint="eastAsia"/>
      </w:rPr>
    </w:lvl>
  </w:abstractNum>
  <w:abstractNum w:abstractNumId="5">
    <w:nsid w:val="123944BA"/>
    <w:multiLevelType w:val="singleLevel"/>
    <w:tmpl w:val="123944BA"/>
    <w:lvl w:ilvl="0" w:tentative="0">
      <w:start w:val="1"/>
      <w:numFmt w:val="chineseCounting"/>
      <w:suff w:val="nothing"/>
      <w:lvlText w:val="（%1）"/>
      <w:lvlJc w:val="left"/>
      <w:pPr>
        <w:ind w:left="0" w:firstLine="420"/>
      </w:pPr>
      <w:rPr>
        <w:rFonts w:hint="eastAsia"/>
      </w:rPr>
    </w:lvl>
  </w:abstractNum>
  <w:abstractNum w:abstractNumId="6">
    <w:nsid w:val="49CE7E32"/>
    <w:multiLevelType w:val="singleLevel"/>
    <w:tmpl w:val="49CE7E32"/>
    <w:lvl w:ilvl="0" w:tentative="0">
      <w:start w:val="1"/>
      <w:numFmt w:val="chineseCounting"/>
      <w:suff w:val="nothing"/>
      <w:lvlText w:val="（%1）"/>
      <w:lvlJc w:val="left"/>
      <w:pPr>
        <w:ind w:left="0" w:firstLine="420"/>
      </w:pPr>
      <w:rPr>
        <w:rFonts w:hint="eastAsia"/>
      </w:rPr>
    </w:lvl>
  </w:abstractNum>
  <w:abstractNum w:abstractNumId="7">
    <w:nsid w:val="4B8F663D"/>
    <w:multiLevelType w:val="singleLevel"/>
    <w:tmpl w:val="4B8F663D"/>
    <w:lvl w:ilvl="0" w:tentative="0">
      <w:start w:val="1"/>
      <w:numFmt w:val="chineseCounting"/>
      <w:suff w:val="nothing"/>
      <w:lvlText w:val="（%1）"/>
      <w:lvlJc w:val="left"/>
      <w:pPr>
        <w:ind w:left="0" w:firstLine="420"/>
      </w:pPr>
      <w:rPr>
        <w:rFonts w:hint="eastAsia"/>
      </w:r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2JjYjcyMWEyM2QyOGZlNTdiOWE3MWYyMzdhMDQifQ=="/>
  </w:docVars>
  <w:rsids>
    <w:rsidRoot w:val="00D05C06"/>
    <w:rsid w:val="0000085B"/>
    <w:rsid w:val="00000F80"/>
    <w:rsid w:val="000142A4"/>
    <w:rsid w:val="000240BF"/>
    <w:rsid w:val="0002459E"/>
    <w:rsid w:val="0003463E"/>
    <w:rsid w:val="00037333"/>
    <w:rsid w:val="000458E7"/>
    <w:rsid w:val="00061D37"/>
    <w:rsid w:val="00064524"/>
    <w:rsid w:val="00084CEC"/>
    <w:rsid w:val="000A2449"/>
    <w:rsid w:val="000B55E6"/>
    <w:rsid w:val="000C6323"/>
    <w:rsid w:val="000E33DE"/>
    <w:rsid w:val="000E389D"/>
    <w:rsid w:val="00101841"/>
    <w:rsid w:val="00114C7B"/>
    <w:rsid w:val="001163B7"/>
    <w:rsid w:val="0014413D"/>
    <w:rsid w:val="00152D1C"/>
    <w:rsid w:val="00170F5A"/>
    <w:rsid w:val="00181044"/>
    <w:rsid w:val="00183ED9"/>
    <w:rsid w:val="001C05CA"/>
    <w:rsid w:val="001D648B"/>
    <w:rsid w:val="001E325D"/>
    <w:rsid w:val="001F04D0"/>
    <w:rsid w:val="00206573"/>
    <w:rsid w:val="002138D1"/>
    <w:rsid w:val="00226E94"/>
    <w:rsid w:val="002414D6"/>
    <w:rsid w:val="0027077D"/>
    <w:rsid w:val="002832AE"/>
    <w:rsid w:val="002D6E8B"/>
    <w:rsid w:val="00320289"/>
    <w:rsid w:val="00326B22"/>
    <w:rsid w:val="00342F88"/>
    <w:rsid w:val="00382DB3"/>
    <w:rsid w:val="00392A3F"/>
    <w:rsid w:val="00392AA0"/>
    <w:rsid w:val="003B010E"/>
    <w:rsid w:val="003B3039"/>
    <w:rsid w:val="003B506D"/>
    <w:rsid w:val="003C0E4B"/>
    <w:rsid w:val="003E2A38"/>
    <w:rsid w:val="003E652D"/>
    <w:rsid w:val="004101B7"/>
    <w:rsid w:val="00433E6E"/>
    <w:rsid w:val="00434D21"/>
    <w:rsid w:val="00441E88"/>
    <w:rsid w:val="00446185"/>
    <w:rsid w:val="00454B2F"/>
    <w:rsid w:val="00457845"/>
    <w:rsid w:val="0046106E"/>
    <w:rsid w:val="0047122B"/>
    <w:rsid w:val="004734BC"/>
    <w:rsid w:val="004812E6"/>
    <w:rsid w:val="00485C01"/>
    <w:rsid w:val="0049258B"/>
    <w:rsid w:val="004D1FB7"/>
    <w:rsid w:val="004E134E"/>
    <w:rsid w:val="004E2540"/>
    <w:rsid w:val="00501262"/>
    <w:rsid w:val="00520311"/>
    <w:rsid w:val="005412E5"/>
    <w:rsid w:val="00542065"/>
    <w:rsid w:val="00546BFE"/>
    <w:rsid w:val="00554E55"/>
    <w:rsid w:val="005623E4"/>
    <w:rsid w:val="00564B07"/>
    <w:rsid w:val="005812F5"/>
    <w:rsid w:val="00581D0A"/>
    <w:rsid w:val="005A7333"/>
    <w:rsid w:val="005B39DB"/>
    <w:rsid w:val="005B4AD3"/>
    <w:rsid w:val="005C0601"/>
    <w:rsid w:val="005C3586"/>
    <w:rsid w:val="005C60A4"/>
    <w:rsid w:val="005E6E5F"/>
    <w:rsid w:val="00601BE7"/>
    <w:rsid w:val="0060252E"/>
    <w:rsid w:val="0061460E"/>
    <w:rsid w:val="006218AB"/>
    <w:rsid w:val="00621D65"/>
    <w:rsid w:val="00624887"/>
    <w:rsid w:val="0065727A"/>
    <w:rsid w:val="0066781D"/>
    <w:rsid w:val="00683E60"/>
    <w:rsid w:val="006A4EBA"/>
    <w:rsid w:val="006B0412"/>
    <w:rsid w:val="006B29CF"/>
    <w:rsid w:val="006B3EB0"/>
    <w:rsid w:val="006C643B"/>
    <w:rsid w:val="006E151F"/>
    <w:rsid w:val="007029FB"/>
    <w:rsid w:val="00714304"/>
    <w:rsid w:val="00761396"/>
    <w:rsid w:val="007632D5"/>
    <w:rsid w:val="0077657C"/>
    <w:rsid w:val="0078342E"/>
    <w:rsid w:val="007A5613"/>
    <w:rsid w:val="007A6736"/>
    <w:rsid w:val="007B78BD"/>
    <w:rsid w:val="007C3F12"/>
    <w:rsid w:val="007E514A"/>
    <w:rsid w:val="008039E4"/>
    <w:rsid w:val="0080640A"/>
    <w:rsid w:val="00811A27"/>
    <w:rsid w:val="008162CD"/>
    <w:rsid w:val="008164D8"/>
    <w:rsid w:val="0082197D"/>
    <w:rsid w:val="00827FD8"/>
    <w:rsid w:val="008401A1"/>
    <w:rsid w:val="00850E0E"/>
    <w:rsid w:val="00853446"/>
    <w:rsid w:val="008825B7"/>
    <w:rsid w:val="00891E91"/>
    <w:rsid w:val="008A5879"/>
    <w:rsid w:val="008B7CBF"/>
    <w:rsid w:val="008C175A"/>
    <w:rsid w:val="008D10F7"/>
    <w:rsid w:val="008E1F24"/>
    <w:rsid w:val="008E38B0"/>
    <w:rsid w:val="00905173"/>
    <w:rsid w:val="00916D42"/>
    <w:rsid w:val="00920F5D"/>
    <w:rsid w:val="009226DC"/>
    <w:rsid w:val="00933EA8"/>
    <w:rsid w:val="00950E20"/>
    <w:rsid w:val="00960F65"/>
    <w:rsid w:val="00961981"/>
    <w:rsid w:val="009A3D77"/>
    <w:rsid w:val="009A6FEB"/>
    <w:rsid w:val="009B183F"/>
    <w:rsid w:val="009C5D6A"/>
    <w:rsid w:val="009D54A9"/>
    <w:rsid w:val="00A0058C"/>
    <w:rsid w:val="00A1589E"/>
    <w:rsid w:val="00A16C19"/>
    <w:rsid w:val="00A4198D"/>
    <w:rsid w:val="00A41ECF"/>
    <w:rsid w:val="00A71B28"/>
    <w:rsid w:val="00A731BF"/>
    <w:rsid w:val="00A94782"/>
    <w:rsid w:val="00AA03F4"/>
    <w:rsid w:val="00AA6560"/>
    <w:rsid w:val="00AB3831"/>
    <w:rsid w:val="00AB4A6F"/>
    <w:rsid w:val="00AC496E"/>
    <w:rsid w:val="00AE66D5"/>
    <w:rsid w:val="00AF5AAA"/>
    <w:rsid w:val="00AF7100"/>
    <w:rsid w:val="00B066B3"/>
    <w:rsid w:val="00B25705"/>
    <w:rsid w:val="00B47511"/>
    <w:rsid w:val="00B54688"/>
    <w:rsid w:val="00B64C97"/>
    <w:rsid w:val="00B73CBE"/>
    <w:rsid w:val="00B865E3"/>
    <w:rsid w:val="00B92C8A"/>
    <w:rsid w:val="00B94882"/>
    <w:rsid w:val="00BD2F88"/>
    <w:rsid w:val="00BD5CA5"/>
    <w:rsid w:val="00BE3AD0"/>
    <w:rsid w:val="00BF0E1F"/>
    <w:rsid w:val="00C22B87"/>
    <w:rsid w:val="00C3056B"/>
    <w:rsid w:val="00C361BF"/>
    <w:rsid w:val="00C37476"/>
    <w:rsid w:val="00C55D0D"/>
    <w:rsid w:val="00C5686F"/>
    <w:rsid w:val="00CA5A20"/>
    <w:rsid w:val="00CE1523"/>
    <w:rsid w:val="00D0350B"/>
    <w:rsid w:val="00D05C06"/>
    <w:rsid w:val="00D21B31"/>
    <w:rsid w:val="00D4647A"/>
    <w:rsid w:val="00D62E9D"/>
    <w:rsid w:val="00DA157C"/>
    <w:rsid w:val="00DA16BA"/>
    <w:rsid w:val="00DC0201"/>
    <w:rsid w:val="00DD27F9"/>
    <w:rsid w:val="00DE046A"/>
    <w:rsid w:val="00DE0CFE"/>
    <w:rsid w:val="00E43ED6"/>
    <w:rsid w:val="00E815B9"/>
    <w:rsid w:val="00E8403D"/>
    <w:rsid w:val="00E86F67"/>
    <w:rsid w:val="00EA7EDC"/>
    <w:rsid w:val="00ED7486"/>
    <w:rsid w:val="00EF6DC8"/>
    <w:rsid w:val="00F10498"/>
    <w:rsid w:val="00F22EFC"/>
    <w:rsid w:val="00F37316"/>
    <w:rsid w:val="00F4528A"/>
    <w:rsid w:val="00F45EE9"/>
    <w:rsid w:val="00F51A66"/>
    <w:rsid w:val="00F549A0"/>
    <w:rsid w:val="00F62F0B"/>
    <w:rsid w:val="00F63E4B"/>
    <w:rsid w:val="00F84375"/>
    <w:rsid w:val="00F94F4D"/>
    <w:rsid w:val="00FB58EF"/>
    <w:rsid w:val="00FF2011"/>
    <w:rsid w:val="032E6C14"/>
    <w:rsid w:val="037A6F56"/>
    <w:rsid w:val="04477A12"/>
    <w:rsid w:val="0508799C"/>
    <w:rsid w:val="07142D8C"/>
    <w:rsid w:val="08A84698"/>
    <w:rsid w:val="0A196339"/>
    <w:rsid w:val="0A3A6D8B"/>
    <w:rsid w:val="0AF23253"/>
    <w:rsid w:val="0B736DBC"/>
    <w:rsid w:val="0BCD04B8"/>
    <w:rsid w:val="0BD1169F"/>
    <w:rsid w:val="0BF4501F"/>
    <w:rsid w:val="0CCD5335"/>
    <w:rsid w:val="0E89077F"/>
    <w:rsid w:val="0FC86795"/>
    <w:rsid w:val="10B93AD7"/>
    <w:rsid w:val="114B6707"/>
    <w:rsid w:val="11926F3D"/>
    <w:rsid w:val="119F32E8"/>
    <w:rsid w:val="172E4CF1"/>
    <w:rsid w:val="173914CE"/>
    <w:rsid w:val="179C2B09"/>
    <w:rsid w:val="17EF2BA0"/>
    <w:rsid w:val="18FD4D2F"/>
    <w:rsid w:val="19F23F5C"/>
    <w:rsid w:val="1A040C48"/>
    <w:rsid w:val="1A8D448D"/>
    <w:rsid w:val="1AF0320E"/>
    <w:rsid w:val="1D282AA3"/>
    <w:rsid w:val="1F5F0268"/>
    <w:rsid w:val="1F98156E"/>
    <w:rsid w:val="201D3571"/>
    <w:rsid w:val="20D17314"/>
    <w:rsid w:val="210E01B5"/>
    <w:rsid w:val="238E4CFE"/>
    <w:rsid w:val="244D1F9C"/>
    <w:rsid w:val="24A74B77"/>
    <w:rsid w:val="26AD0802"/>
    <w:rsid w:val="26F46224"/>
    <w:rsid w:val="27A6043D"/>
    <w:rsid w:val="280B0521"/>
    <w:rsid w:val="28FD6A5F"/>
    <w:rsid w:val="29822529"/>
    <w:rsid w:val="2B0D67AD"/>
    <w:rsid w:val="2B484F11"/>
    <w:rsid w:val="2CCB262A"/>
    <w:rsid w:val="2CD10F91"/>
    <w:rsid w:val="2EF9389F"/>
    <w:rsid w:val="2F2651EE"/>
    <w:rsid w:val="30153AE5"/>
    <w:rsid w:val="30AF55C9"/>
    <w:rsid w:val="30C41A1A"/>
    <w:rsid w:val="31AF7C58"/>
    <w:rsid w:val="31E826A8"/>
    <w:rsid w:val="323950D0"/>
    <w:rsid w:val="328A0B1B"/>
    <w:rsid w:val="33C67E5D"/>
    <w:rsid w:val="342427EC"/>
    <w:rsid w:val="345C171F"/>
    <w:rsid w:val="352C4B31"/>
    <w:rsid w:val="35ED756B"/>
    <w:rsid w:val="377764D0"/>
    <w:rsid w:val="38B1691B"/>
    <w:rsid w:val="392310C7"/>
    <w:rsid w:val="396450DF"/>
    <w:rsid w:val="39AC44F0"/>
    <w:rsid w:val="3A9D18BE"/>
    <w:rsid w:val="3B4903A8"/>
    <w:rsid w:val="3BA9130F"/>
    <w:rsid w:val="3D7C3BE7"/>
    <w:rsid w:val="3DA03440"/>
    <w:rsid w:val="3DC41242"/>
    <w:rsid w:val="3F6232C5"/>
    <w:rsid w:val="3F840A46"/>
    <w:rsid w:val="3FAE03FB"/>
    <w:rsid w:val="3FC82DB6"/>
    <w:rsid w:val="40BB01C3"/>
    <w:rsid w:val="4298341C"/>
    <w:rsid w:val="42A55354"/>
    <w:rsid w:val="4370658B"/>
    <w:rsid w:val="44E413CA"/>
    <w:rsid w:val="46C273BE"/>
    <w:rsid w:val="474B21DB"/>
    <w:rsid w:val="48FC49D4"/>
    <w:rsid w:val="49E139BD"/>
    <w:rsid w:val="4A714A31"/>
    <w:rsid w:val="4A9B6172"/>
    <w:rsid w:val="4DF30338"/>
    <w:rsid w:val="4E1D1782"/>
    <w:rsid w:val="4E4E38C9"/>
    <w:rsid w:val="4EBA25D6"/>
    <w:rsid w:val="4FA249D5"/>
    <w:rsid w:val="4FB87A45"/>
    <w:rsid w:val="4FE67480"/>
    <w:rsid w:val="505C17AE"/>
    <w:rsid w:val="535C08D2"/>
    <w:rsid w:val="54036A7C"/>
    <w:rsid w:val="540B1296"/>
    <w:rsid w:val="55026320"/>
    <w:rsid w:val="55061B58"/>
    <w:rsid w:val="55E55D87"/>
    <w:rsid w:val="56654AD7"/>
    <w:rsid w:val="56D72934"/>
    <w:rsid w:val="57614925"/>
    <w:rsid w:val="59213AC3"/>
    <w:rsid w:val="599E114B"/>
    <w:rsid w:val="5A5E2FA9"/>
    <w:rsid w:val="5AE0436B"/>
    <w:rsid w:val="5D1E4AC8"/>
    <w:rsid w:val="5DD87704"/>
    <w:rsid w:val="5EBB5956"/>
    <w:rsid w:val="601E6DD4"/>
    <w:rsid w:val="6196549B"/>
    <w:rsid w:val="61EB2961"/>
    <w:rsid w:val="62463618"/>
    <w:rsid w:val="625649E2"/>
    <w:rsid w:val="625F54E8"/>
    <w:rsid w:val="62C357E4"/>
    <w:rsid w:val="63171D1E"/>
    <w:rsid w:val="633B1AF3"/>
    <w:rsid w:val="6356208C"/>
    <w:rsid w:val="648B20D2"/>
    <w:rsid w:val="64953F95"/>
    <w:rsid w:val="651D5558"/>
    <w:rsid w:val="65D16904"/>
    <w:rsid w:val="65F14800"/>
    <w:rsid w:val="67B4667B"/>
    <w:rsid w:val="6947646D"/>
    <w:rsid w:val="69D1765E"/>
    <w:rsid w:val="6A1C1EEC"/>
    <w:rsid w:val="6A3829DB"/>
    <w:rsid w:val="6A61669E"/>
    <w:rsid w:val="6AB26BC0"/>
    <w:rsid w:val="6AC351F1"/>
    <w:rsid w:val="6C3F7EC8"/>
    <w:rsid w:val="6C6E761A"/>
    <w:rsid w:val="6CBD3AFC"/>
    <w:rsid w:val="6DE126BA"/>
    <w:rsid w:val="6DF06395"/>
    <w:rsid w:val="6E1068FD"/>
    <w:rsid w:val="6FAE51E9"/>
    <w:rsid w:val="70072080"/>
    <w:rsid w:val="70B32788"/>
    <w:rsid w:val="70F52CAB"/>
    <w:rsid w:val="717D401C"/>
    <w:rsid w:val="724D09BE"/>
    <w:rsid w:val="72BD65A0"/>
    <w:rsid w:val="73177A04"/>
    <w:rsid w:val="731C1A8A"/>
    <w:rsid w:val="73CC283B"/>
    <w:rsid w:val="763939C4"/>
    <w:rsid w:val="765C60B9"/>
    <w:rsid w:val="76C516A8"/>
    <w:rsid w:val="77950A9C"/>
    <w:rsid w:val="782868C6"/>
    <w:rsid w:val="78635184"/>
    <w:rsid w:val="79EE2BC7"/>
    <w:rsid w:val="7A083C89"/>
    <w:rsid w:val="7A0B5C54"/>
    <w:rsid w:val="7B0568BC"/>
    <w:rsid w:val="7B4A1CF2"/>
    <w:rsid w:val="7B7D45A3"/>
    <w:rsid w:val="7CB352DB"/>
    <w:rsid w:val="7D0F5390"/>
    <w:rsid w:val="7D6F0A51"/>
    <w:rsid w:val="7D991CCF"/>
    <w:rsid w:val="7DE80F02"/>
    <w:rsid w:val="7DFE028F"/>
    <w:rsid w:val="7E27146E"/>
    <w:rsid w:val="7F1B7D95"/>
    <w:rsid w:val="7FB1280F"/>
    <w:rsid w:val="7FFA74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5">
    <w:name w:val="heading 2"/>
    <w:basedOn w:val="1"/>
    <w:next w:val="6"/>
    <w:link w:val="36"/>
    <w:qFormat/>
    <w:uiPriority w:val="99"/>
    <w:pPr>
      <w:keepNext/>
      <w:keepLines/>
      <w:spacing w:before="260" w:after="260" w:line="416" w:lineRule="auto"/>
      <w:outlineLvl w:val="1"/>
    </w:pPr>
    <w:rPr>
      <w:rFonts w:ascii="Arial" w:hAnsi="Arial" w:eastAsia="黑体"/>
      <w:b/>
      <w:sz w:val="32"/>
      <w:szCs w:val="20"/>
    </w:rPr>
  </w:style>
  <w:style w:type="paragraph" w:styleId="7">
    <w:name w:val="heading 3"/>
    <w:basedOn w:val="1"/>
    <w:next w:val="1"/>
    <w:link w:val="37"/>
    <w:qFormat/>
    <w:uiPriority w:val="99"/>
    <w:pPr>
      <w:keepNext/>
      <w:keepLines/>
      <w:spacing w:before="260" w:after="260" w:line="416" w:lineRule="auto"/>
      <w:outlineLvl w:val="2"/>
    </w:pPr>
    <w:rPr>
      <w:b/>
      <w:sz w:val="32"/>
      <w:szCs w:val="20"/>
    </w:rPr>
  </w:style>
  <w:style w:type="paragraph" w:styleId="8">
    <w:name w:val="heading 4"/>
    <w:basedOn w:val="1"/>
    <w:next w:val="6"/>
    <w:link w:val="38"/>
    <w:qFormat/>
    <w:uiPriority w:val="99"/>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39"/>
    <w:qFormat/>
    <w:uiPriority w:val="99"/>
    <w:pPr>
      <w:keepNext/>
      <w:keepLines/>
      <w:spacing w:before="280" w:after="290" w:line="376" w:lineRule="auto"/>
      <w:outlineLvl w:val="4"/>
    </w:pPr>
    <w:rPr>
      <w:b/>
      <w:sz w:val="28"/>
      <w:szCs w:val="20"/>
    </w:rPr>
  </w:style>
  <w:style w:type="paragraph" w:styleId="10">
    <w:name w:val="heading 6"/>
    <w:basedOn w:val="1"/>
    <w:next w:val="6"/>
    <w:link w:val="40"/>
    <w:qFormat/>
    <w:uiPriority w:val="99"/>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41"/>
    <w:qFormat/>
    <w:uiPriority w:val="99"/>
    <w:pPr>
      <w:keepNext/>
      <w:keepLines/>
      <w:spacing w:before="240" w:after="64" w:line="320" w:lineRule="auto"/>
      <w:outlineLvl w:val="6"/>
    </w:pPr>
    <w:rPr>
      <w:b/>
      <w:sz w:val="24"/>
      <w:szCs w:val="20"/>
    </w:rPr>
  </w:style>
  <w:style w:type="paragraph" w:styleId="12">
    <w:name w:val="heading 8"/>
    <w:basedOn w:val="1"/>
    <w:next w:val="6"/>
    <w:link w:val="42"/>
    <w:qFormat/>
    <w:uiPriority w:val="99"/>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43"/>
    <w:qFormat/>
    <w:uiPriority w:val="99"/>
    <w:pPr>
      <w:keepNext/>
      <w:keepLines/>
      <w:spacing w:before="240" w:after="64" w:line="320" w:lineRule="auto"/>
      <w:outlineLvl w:val="8"/>
    </w:pPr>
    <w:rPr>
      <w:rFonts w:ascii="Arial" w:hAnsi="Arial" w:eastAsia="黑体"/>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link w:val="48"/>
    <w:qFormat/>
    <w:uiPriority w:val="99"/>
    <w:pPr>
      <w:spacing w:line="540" w:lineRule="exact"/>
      <w:ind w:firstLine="560" w:firstLineChars="200"/>
    </w:pPr>
    <w:rPr>
      <w:rFonts w:ascii="宋体" w:hAnsi="Allegro BT"/>
      <w:sz w:val="28"/>
    </w:rPr>
  </w:style>
  <w:style w:type="paragraph" w:styleId="6">
    <w:name w:val="Normal Indent"/>
    <w:basedOn w:val="1"/>
    <w:qFormat/>
    <w:uiPriority w:val="99"/>
    <w:pPr>
      <w:ind w:firstLine="420" w:firstLineChars="200"/>
    </w:pPr>
  </w:style>
  <w:style w:type="paragraph" w:styleId="14">
    <w:name w:val="Document Map"/>
    <w:basedOn w:val="1"/>
    <w:link w:val="46"/>
    <w:qFormat/>
    <w:uiPriority w:val="99"/>
    <w:pPr>
      <w:shd w:val="clear" w:color="auto" w:fill="000080"/>
    </w:pPr>
  </w:style>
  <w:style w:type="paragraph" w:styleId="15">
    <w:name w:val="annotation text"/>
    <w:basedOn w:val="1"/>
    <w:link w:val="44"/>
    <w:qFormat/>
    <w:uiPriority w:val="99"/>
    <w:pPr>
      <w:jc w:val="left"/>
    </w:pPr>
  </w:style>
  <w:style w:type="paragraph" w:styleId="16">
    <w:name w:val="Body Text"/>
    <w:basedOn w:val="1"/>
    <w:next w:val="1"/>
    <w:link w:val="47"/>
    <w:qFormat/>
    <w:uiPriority w:val="99"/>
    <w:pPr>
      <w:spacing w:line="540" w:lineRule="exact"/>
    </w:pPr>
    <w:rPr>
      <w:rFonts w:ascii="宋体" w:hAnsi="Allegro BT"/>
      <w:sz w:val="28"/>
    </w:rPr>
  </w:style>
  <w:style w:type="paragraph" w:styleId="17">
    <w:name w:val="Body Text Indent 2"/>
    <w:basedOn w:val="1"/>
    <w:link w:val="49"/>
    <w:qFormat/>
    <w:uiPriority w:val="99"/>
    <w:pPr>
      <w:ind w:firstLine="560" w:firstLineChars="200"/>
    </w:pPr>
    <w:rPr>
      <w:sz w:val="28"/>
      <w:u w:val="single"/>
    </w:rPr>
  </w:style>
  <w:style w:type="paragraph" w:styleId="18">
    <w:name w:val="Balloon Text"/>
    <w:basedOn w:val="1"/>
    <w:link w:val="50"/>
    <w:qFormat/>
    <w:uiPriority w:val="99"/>
    <w:rPr>
      <w:sz w:val="18"/>
      <w:szCs w:val="18"/>
    </w:rPr>
  </w:style>
  <w:style w:type="paragraph" w:styleId="19">
    <w:name w:val="footer"/>
    <w:basedOn w:val="1"/>
    <w:link w:val="51"/>
    <w:qFormat/>
    <w:uiPriority w:val="99"/>
    <w:pPr>
      <w:tabs>
        <w:tab w:val="center" w:pos="4153"/>
        <w:tab w:val="right" w:pos="8306"/>
      </w:tabs>
      <w:snapToGrid w:val="0"/>
      <w:jc w:val="left"/>
    </w:pPr>
    <w:rPr>
      <w:sz w:val="18"/>
      <w:szCs w:val="18"/>
    </w:rPr>
  </w:style>
  <w:style w:type="paragraph" w:styleId="20">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53"/>
    <w:qFormat/>
    <w:uiPriority w:val="99"/>
    <w:pPr>
      <w:ind w:firstLine="570"/>
    </w:pPr>
    <w:rPr>
      <w:spacing w:val="6"/>
      <w:sz w:val="28"/>
      <w:u w:val="single"/>
    </w:rPr>
  </w:style>
  <w:style w:type="paragraph" w:styleId="22">
    <w:name w:val="annotation subject"/>
    <w:basedOn w:val="15"/>
    <w:next w:val="15"/>
    <w:link w:val="45"/>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99"/>
    <w:rPr>
      <w:rFonts w:cs="Times New Roman"/>
    </w:rPr>
  </w:style>
  <w:style w:type="character" w:styleId="27">
    <w:name w:val="FollowedHyperlink"/>
    <w:qFormat/>
    <w:uiPriority w:val="99"/>
    <w:rPr>
      <w:rFonts w:cs="Times New Roman"/>
      <w:color w:val="800080"/>
      <w:u w:val="single"/>
    </w:rPr>
  </w:style>
  <w:style w:type="character" w:styleId="28">
    <w:name w:val="HTML Typewriter"/>
    <w:qFormat/>
    <w:uiPriority w:val="99"/>
    <w:rPr>
      <w:rFonts w:ascii="Courier New" w:hAnsi="Courier New" w:eastAsia="黑体" w:cs="Times New Roman"/>
      <w:sz w:val="20"/>
    </w:rPr>
  </w:style>
  <w:style w:type="character" w:styleId="29">
    <w:name w:val="Hyperlink"/>
    <w:qFormat/>
    <w:uiPriority w:val="99"/>
    <w:rPr>
      <w:rFonts w:cs="Times New Roman"/>
      <w:color w:val="000000"/>
      <w:u w:val="none"/>
    </w:rPr>
  </w:style>
  <w:style w:type="character" w:styleId="30">
    <w:name w:val="annotation reference"/>
    <w:qFormat/>
    <w:uiPriority w:val="99"/>
    <w:rPr>
      <w:rFonts w:cs="Times New Roman"/>
      <w:sz w:val="18"/>
    </w:rPr>
  </w:style>
  <w:style w:type="paragraph" w:customStyle="1" w:styleId="31">
    <w:name w:val="样式 标题 1 + 左侧:  0.48 厘米"/>
    <w:basedOn w:val="4"/>
    <w:qFormat/>
    <w:uiPriority w:val="99"/>
    <w:pPr>
      <w:spacing w:before="0" w:after="0" w:line="480" w:lineRule="auto"/>
    </w:pPr>
    <w:rPr>
      <w:rFonts w:eastAsia="宋体-18030" w:cs="宋体"/>
      <w:b w:val="0"/>
      <w:sz w:val="28"/>
      <w:szCs w:val="28"/>
    </w:rPr>
  </w:style>
  <w:style w:type="paragraph" w:customStyle="1" w:styleId="32">
    <w:name w:val="Char Char Char Char"/>
    <w:basedOn w:val="1"/>
    <w:qFormat/>
    <w:uiPriority w:val="99"/>
  </w:style>
  <w:style w:type="paragraph" w:customStyle="1" w:styleId="33">
    <w:name w:val="Char"/>
    <w:basedOn w:val="1"/>
    <w:qFormat/>
    <w:uiPriority w:val="99"/>
    <w:pPr>
      <w:spacing w:line="360" w:lineRule="auto"/>
      <w:ind w:firstLine="200" w:firstLineChars="200"/>
      <w:jc w:val="left"/>
    </w:pPr>
    <w:rPr>
      <w:sz w:val="24"/>
    </w:rPr>
  </w:style>
  <w:style w:type="paragraph" w:customStyle="1" w:styleId="34">
    <w:name w:val="List Paragraph1"/>
    <w:basedOn w:val="1"/>
    <w:qFormat/>
    <w:uiPriority w:val="99"/>
    <w:pPr>
      <w:ind w:firstLine="420" w:firstLineChars="200"/>
    </w:pPr>
  </w:style>
  <w:style w:type="character" w:customStyle="1" w:styleId="35">
    <w:name w:val="标题 1 字符"/>
    <w:link w:val="4"/>
    <w:qFormat/>
    <w:locked/>
    <w:uiPriority w:val="99"/>
    <w:rPr>
      <w:rFonts w:cs="Times New Roman"/>
      <w:b/>
      <w:bCs/>
      <w:kern w:val="44"/>
      <w:sz w:val="44"/>
      <w:szCs w:val="44"/>
    </w:rPr>
  </w:style>
  <w:style w:type="character" w:customStyle="1" w:styleId="36">
    <w:name w:val="标题 2 字符"/>
    <w:link w:val="5"/>
    <w:semiHidden/>
    <w:qFormat/>
    <w:locked/>
    <w:uiPriority w:val="99"/>
    <w:rPr>
      <w:rFonts w:ascii="Cambria" w:hAnsi="Cambria" w:eastAsia="宋体" w:cs="Times New Roman"/>
      <w:b/>
      <w:bCs/>
      <w:sz w:val="32"/>
      <w:szCs w:val="32"/>
    </w:rPr>
  </w:style>
  <w:style w:type="character" w:customStyle="1" w:styleId="37">
    <w:name w:val="标题 3 字符"/>
    <w:link w:val="7"/>
    <w:semiHidden/>
    <w:qFormat/>
    <w:locked/>
    <w:uiPriority w:val="99"/>
    <w:rPr>
      <w:rFonts w:cs="Times New Roman"/>
      <w:b/>
      <w:bCs/>
      <w:sz w:val="32"/>
      <w:szCs w:val="32"/>
    </w:rPr>
  </w:style>
  <w:style w:type="character" w:customStyle="1" w:styleId="38">
    <w:name w:val="标题 4 字符"/>
    <w:link w:val="8"/>
    <w:semiHidden/>
    <w:qFormat/>
    <w:locked/>
    <w:uiPriority w:val="99"/>
    <w:rPr>
      <w:rFonts w:ascii="Cambria" w:hAnsi="Cambria" w:eastAsia="宋体" w:cs="Times New Roman"/>
      <w:b/>
      <w:bCs/>
      <w:sz w:val="28"/>
      <w:szCs w:val="28"/>
    </w:rPr>
  </w:style>
  <w:style w:type="character" w:customStyle="1" w:styleId="39">
    <w:name w:val="标题 5 字符"/>
    <w:link w:val="9"/>
    <w:semiHidden/>
    <w:qFormat/>
    <w:locked/>
    <w:uiPriority w:val="99"/>
    <w:rPr>
      <w:rFonts w:cs="Times New Roman"/>
      <w:b/>
      <w:bCs/>
      <w:sz w:val="28"/>
      <w:szCs w:val="28"/>
    </w:rPr>
  </w:style>
  <w:style w:type="character" w:customStyle="1" w:styleId="40">
    <w:name w:val="标题 6 字符"/>
    <w:link w:val="10"/>
    <w:semiHidden/>
    <w:qFormat/>
    <w:locked/>
    <w:uiPriority w:val="99"/>
    <w:rPr>
      <w:rFonts w:ascii="Cambria" w:hAnsi="Cambria" w:eastAsia="宋体" w:cs="Times New Roman"/>
      <w:b/>
      <w:bCs/>
      <w:sz w:val="24"/>
      <w:szCs w:val="24"/>
    </w:rPr>
  </w:style>
  <w:style w:type="character" w:customStyle="1" w:styleId="41">
    <w:name w:val="标题 7 字符"/>
    <w:link w:val="11"/>
    <w:semiHidden/>
    <w:qFormat/>
    <w:locked/>
    <w:uiPriority w:val="99"/>
    <w:rPr>
      <w:rFonts w:cs="Times New Roman"/>
      <w:b/>
      <w:bCs/>
      <w:sz w:val="24"/>
      <w:szCs w:val="24"/>
    </w:rPr>
  </w:style>
  <w:style w:type="character" w:customStyle="1" w:styleId="42">
    <w:name w:val="标题 8 字符"/>
    <w:link w:val="12"/>
    <w:semiHidden/>
    <w:qFormat/>
    <w:locked/>
    <w:uiPriority w:val="99"/>
    <w:rPr>
      <w:rFonts w:ascii="Cambria" w:hAnsi="Cambria" w:eastAsia="宋体" w:cs="Times New Roman"/>
      <w:sz w:val="24"/>
      <w:szCs w:val="24"/>
    </w:rPr>
  </w:style>
  <w:style w:type="character" w:customStyle="1" w:styleId="43">
    <w:name w:val="标题 9 字符"/>
    <w:link w:val="13"/>
    <w:semiHidden/>
    <w:qFormat/>
    <w:locked/>
    <w:uiPriority w:val="99"/>
    <w:rPr>
      <w:rFonts w:ascii="Cambria" w:hAnsi="Cambria" w:eastAsia="宋体" w:cs="Times New Roman"/>
      <w:sz w:val="21"/>
      <w:szCs w:val="21"/>
    </w:rPr>
  </w:style>
  <w:style w:type="character" w:customStyle="1" w:styleId="44">
    <w:name w:val="批注文字 字符"/>
    <w:link w:val="15"/>
    <w:qFormat/>
    <w:locked/>
    <w:uiPriority w:val="99"/>
    <w:rPr>
      <w:rFonts w:cs="Times New Roman"/>
      <w:kern w:val="2"/>
      <w:sz w:val="24"/>
      <w:lang w:eastAsia="zh-CN"/>
    </w:rPr>
  </w:style>
  <w:style w:type="character" w:customStyle="1" w:styleId="45">
    <w:name w:val="批注主题 字符"/>
    <w:link w:val="22"/>
    <w:qFormat/>
    <w:locked/>
    <w:uiPriority w:val="99"/>
    <w:rPr>
      <w:rFonts w:cs="Times New Roman"/>
      <w:b/>
      <w:kern w:val="2"/>
      <w:sz w:val="24"/>
      <w:lang w:eastAsia="zh-CN"/>
    </w:rPr>
  </w:style>
  <w:style w:type="character" w:customStyle="1" w:styleId="46">
    <w:name w:val="文档结构图 字符"/>
    <w:link w:val="14"/>
    <w:semiHidden/>
    <w:qFormat/>
    <w:locked/>
    <w:uiPriority w:val="99"/>
    <w:rPr>
      <w:rFonts w:cs="Times New Roman"/>
      <w:sz w:val="2"/>
    </w:rPr>
  </w:style>
  <w:style w:type="character" w:customStyle="1" w:styleId="47">
    <w:name w:val="正文文本 字符"/>
    <w:link w:val="16"/>
    <w:semiHidden/>
    <w:qFormat/>
    <w:locked/>
    <w:uiPriority w:val="99"/>
    <w:rPr>
      <w:rFonts w:cs="Times New Roman"/>
      <w:sz w:val="24"/>
      <w:szCs w:val="24"/>
    </w:rPr>
  </w:style>
  <w:style w:type="character" w:customStyle="1" w:styleId="48">
    <w:name w:val="正文文本缩进 字符"/>
    <w:link w:val="3"/>
    <w:semiHidden/>
    <w:qFormat/>
    <w:locked/>
    <w:uiPriority w:val="99"/>
    <w:rPr>
      <w:rFonts w:cs="Times New Roman"/>
      <w:sz w:val="24"/>
      <w:szCs w:val="24"/>
    </w:rPr>
  </w:style>
  <w:style w:type="character" w:customStyle="1" w:styleId="49">
    <w:name w:val="正文文本缩进 2 字符"/>
    <w:link w:val="17"/>
    <w:semiHidden/>
    <w:qFormat/>
    <w:locked/>
    <w:uiPriority w:val="99"/>
    <w:rPr>
      <w:rFonts w:cs="Times New Roman"/>
      <w:sz w:val="24"/>
      <w:szCs w:val="24"/>
    </w:rPr>
  </w:style>
  <w:style w:type="character" w:customStyle="1" w:styleId="50">
    <w:name w:val="批注框文本 字符"/>
    <w:link w:val="18"/>
    <w:semiHidden/>
    <w:qFormat/>
    <w:locked/>
    <w:uiPriority w:val="99"/>
    <w:rPr>
      <w:rFonts w:cs="Times New Roman"/>
      <w:sz w:val="2"/>
    </w:rPr>
  </w:style>
  <w:style w:type="character" w:customStyle="1" w:styleId="51">
    <w:name w:val="页脚 字符"/>
    <w:link w:val="19"/>
    <w:semiHidden/>
    <w:qFormat/>
    <w:locked/>
    <w:uiPriority w:val="99"/>
    <w:rPr>
      <w:rFonts w:cs="Times New Roman"/>
      <w:sz w:val="18"/>
      <w:szCs w:val="18"/>
    </w:rPr>
  </w:style>
  <w:style w:type="character" w:customStyle="1" w:styleId="52">
    <w:name w:val="页眉 字符"/>
    <w:link w:val="20"/>
    <w:semiHidden/>
    <w:qFormat/>
    <w:locked/>
    <w:uiPriority w:val="99"/>
    <w:rPr>
      <w:rFonts w:cs="Times New Roman"/>
      <w:sz w:val="18"/>
      <w:szCs w:val="18"/>
    </w:rPr>
  </w:style>
  <w:style w:type="character" w:customStyle="1" w:styleId="53">
    <w:name w:val="正文文本缩进 3 字符"/>
    <w:link w:val="21"/>
    <w:semiHidden/>
    <w:qFormat/>
    <w:locked/>
    <w:uiPriority w:val="99"/>
    <w:rPr>
      <w:rFonts w:cs="Times New Roman"/>
      <w:sz w:val="16"/>
      <w:szCs w:val="16"/>
    </w:rPr>
  </w:style>
  <w:style w:type="character" w:customStyle="1" w:styleId="54">
    <w:name w:val="样式 标题 1 + (符号) 方正大标宋简体 Char"/>
    <w:qFormat/>
    <w:uiPriority w:val="99"/>
    <w:rPr>
      <w:rFonts w:ascii="方正大标宋简体" w:hAnsi="Arial" w:eastAsia="方正大标宋简体"/>
      <w:b/>
      <w:kern w:val="44"/>
      <w:sz w:val="44"/>
      <w:lang w:val="en-US" w:eastAsia="zh-CN"/>
    </w:rPr>
  </w:style>
  <w:style w:type="paragraph" w:customStyle="1" w:styleId="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zks</Company>
  <Pages>7</Pages>
  <Words>2746</Words>
  <Characters>2903</Characters>
  <Lines>23</Lines>
  <Paragraphs>6</Paragraphs>
  <TotalTime>11</TotalTime>
  <ScaleCrop>false</ScaleCrop>
  <LinksUpToDate>false</LinksUpToDate>
  <CharactersWithSpaces>3172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2022-04-21T09:02:00Z</dcterms:created>
  <dc:creator>luodan</dc:creator>
  <cp:lastModifiedBy>郭文君</cp:lastModifiedBy>
  <cp:lastPrinted>2022-06-01T06:37:00Z</cp:lastPrinted>
  <dcterms:modified xsi:type="dcterms:W3CDTF">2025-05-22T02:58:54Z</dcterms:modified>
  <dc:title>合同编号：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9E48B2992A76492F88B6331CEB6F10E6_13</vt:lpwstr>
  </property>
  <property fmtid="{D5CDD505-2E9C-101B-9397-08002B2CF9AE}" pid="4" name="KSOTemplateDocerSaveRecord">
    <vt:lpwstr>eyJoZGlkIjoiNjg5ZjFlZmFjNGNjN2NkN2VmMTlhMmE0NTVhMjJiMDYiLCJ1c2VySWQiOiIzMTIzODQwMTAifQ==</vt:lpwstr>
  </property>
</Properties>
</file>