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6311">
      <w:pPr>
        <w:spacing w:before="624" w:beforeLines="200" w:after="312" w:afterLines="100" w:line="360" w:lineRule="auto"/>
        <w:jc w:val="center"/>
        <w:rPr>
          <w:rFonts w:hint="eastAsia" w:ascii="宋体" w:hAnsi="宋体"/>
          <w:b/>
          <w:sz w:val="44"/>
          <w:szCs w:val="30"/>
          <w:lang w:eastAsia="zh-CN"/>
        </w:rPr>
      </w:pPr>
      <w:r>
        <w:rPr>
          <w:rFonts w:hint="eastAsia" w:ascii="宋体" w:hAnsi="宋体"/>
          <w:b/>
          <w:sz w:val="44"/>
          <w:szCs w:val="30"/>
        </w:rPr>
        <w:t>医养康智慧服务一体化云平台</w:t>
      </w:r>
      <w:r>
        <w:rPr>
          <w:rFonts w:hint="eastAsia" w:ascii="宋体" w:hAnsi="宋体"/>
          <w:b/>
          <w:sz w:val="44"/>
          <w:szCs w:val="30"/>
          <w:lang w:eastAsia="zh-CN"/>
        </w:rPr>
        <w:t>（</w:t>
      </w:r>
      <w:r>
        <w:rPr>
          <w:rFonts w:hint="eastAsia" w:ascii="宋体" w:hAnsi="宋体"/>
          <w:b/>
          <w:sz w:val="44"/>
          <w:szCs w:val="30"/>
          <w:lang w:val="en-US" w:eastAsia="zh-CN"/>
        </w:rPr>
        <w:t>二期</w:t>
      </w:r>
      <w:r>
        <w:rPr>
          <w:rFonts w:hint="eastAsia" w:ascii="宋体" w:hAnsi="宋体"/>
          <w:b/>
          <w:sz w:val="44"/>
          <w:szCs w:val="30"/>
          <w:lang w:eastAsia="zh-CN"/>
        </w:rPr>
        <w:t>）</w:t>
      </w:r>
    </w:p>
    <w:p w14:paraId="21D26E45">
      <w:pPr>
        <w:spacing w:before="624" w:beforeLines="200" w:after="312" w:afterLines="100" w:line="360" w:lineRule="auto"/>
        <w:jc w:val="center"/>
        <w:rPr>
          <w:rFonts w:ascii="宋体" w:hAnsi="宋体"/>
          <w:b/>
          <w:sz w:val="44"/>
          <w:szCs w:val="30"/>
        </w:rPr>
      </w:pPr>
      <w:r>
        <w:rPr>
          <w:rFonts w:hint="eastAsia" w:ascii="宋体" w:hAnsi="宋体"/>
          <w:b/>
          <w:sz w:val="44"/>
          <w:szCs w:val="30"/>
        </w:rPr>
        <w:t>采购项目需求</w:t>
      </w:r>
    </w:p>
    <w:p w14:paraId="2D02366D">
      <w:pPr>
        <w:pStyle w:val="2"/>
        <w:numPr>
          <w:ilvl w:val="0"/>
          <w:numId w:val="3"/>
        </w:numPr>
        <w:spacing w:before="0" w:after="0"/>
        <w:rPr>
          <w:rFonts w:ascii="宋体" w:hAnsi="宋体"/>
          <w:sz w:val="32"/>
          <w:szCs w:val="32"/>
        </w:rPr>
      </w:pPr>
      <w:r>
        <w:rPr>
          <w:rFonts w:hint="eastAsia" w:ascii="宋体" w:hAnsi="宋体"/>
          <w:sz w:val="32"/>
          <w:szCs w:val="32"/>
        </w:rPr>
        <w:t>项目名称</w:t>
      </w:r>
    </w:p>
    <w:p w14:paraId="5B23595F">
      <w:pPr>
        <w:spacing w:line="360" w:lineRule="auto"/>
        <w:ind w:left="432"/>
        <w:rPr>
          <w:rFonts w:hint="default" w:ascii="宋体" w:hAnsi="宋体" w:eastAsia="宋体"/>
          <w:sz w:val="22"/>
          <w:lang w:val="en-US" w:eastAsia="zh-CN"/>
        </w:rPr>
      </w:pPr>
      <w:r>
        <w:rPr>
          <w:rFonts w:hint="eastAsia" w:ascii="宋体" w:hAnsi="宋体"/>
          <w:sz w:val="22"/>
        </w:rPr>
        <w:t>项目名称：</w:t>
      </w:r>
      <w:r>
        <w:rPr>
          <w:rFonts w:hint="eastAsia" w:ascii="宋体" w:hAnsi="宋体"/>
          <w:sz w:val="22"/>
          <w:lang w:val="en-US" w:eastAsia="zh-CN"/>
        </w:rPr>
        <w:t>医养康智慧服务一体化云平台（二期）</w:t>
      </w:r>
    </w:p>
    <w:p w14:paraId="0F7BB69B">
      <w:pPr>
        <w:spacing w:line="360" w:lineRule="auto"/>
        <w:ind w:left="432"/>
        <w:rPr>
          <w:rFonts w:ascii="宋体" w:hAnsi="宋体"/>
          <w:sz w:val="22"/>
        </w:rPr>
      </w:pPr>
    </w:p>
    <w:p w14:paraId="55789C79">
      <w:pPr>
        <w:pStyle w:val="2"/>
        <w:numPr>
          <w:ilvl w:val="0"/>
          <w:numId w:val="3"/>
        </w:numPr>
        <w:spacing w:before="0" w:after="0"/>
        <w:rPr>
          <w:rFonts w:ascii="宋体" w:hAnsi="宋体" w:eastAsia="宋体"/>
          <w:b/>
          <w:bCs/>
          <w:vanish/>
          <w:kern w:val="44"/>
          <w:szCs w:val="21"/>
        </w:rPr>
      </w:pPr>
      <w:r>
        <w:rPr>
          <w:rFonts w:hint="eastAsia" w:ascii="宋体" w:hAnsi="宋体"/>
          <w:sz w:val="32"/>
          <w:szCs w:val="32"/>
        </w:rPr>
        <w:t>采购清单</w:t>
      </w:r>
    </w:p>
    <w:p w14:paraId="3E25FFD0"/>
    <w:p w14:paraId="7DC7EFF9">
      <w:pPr>
        <w:pStyle w:val="72"/>
        <w:spacing w:before="156" w:after="156"/>
        <w:rPr>
          <w:rFonts w:hint="default" w:cs="Times New Roman"/>
          <w:lang w:val="en-US" w:eastAsia="zh-CN"/>
        </w:rPr>
      </w:pPr>
      <w:r>
        <w:rPr>
          <w:rFonts w:hint="eastAsia" w:cs="Times New Roman"/>
          <w:lang w:val="en-US" w:eastAsia="zh-CN"/>
        </w:rPr>
        <w:t>2.1、项目需求（软件类）</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4025"/>
        <w:gridCol w:w="2215"/>
        <w:gridCol w:w="2215"/>
      </w:tblGrid>
      <w:tr w14:paraId="6741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44" w:type="pct"/>
            <w:tcBorders>
              <w:tl2br w:val="nil"/>
            </w:tcBorders>
            <w:shd w:val="clear" w:color="auto" w:fill="FFFFFF"/>
            <w:vAlign w:val="center"/>
          </w:tcPr>
          <w:p w14:paraId="58C94C16">
            <w:pPr>
              <w:widowControl/>
              <w:jc w:val="center"/>
              <w:textAlignment w:val="center"/>
              <w:rPr>
                <w:rFonts w:cs="宋体"/>
                <w:b w:val="0"/>
                <w:bCs/>
                <w:color w:val="000000"/>
                <w:kern w:val="0"/>
                <w:sz w:val="22"/>
              </w:rPr>
            </w:pPr>
            <w:r>
              <w:rPr>
                <w:rFonts w:hint="eastAsia" w:cs="宋体"/>
                <w:b w:val="0"/>
                <w:bCs/>
                <w:color w:val="000000"/>
                <w:kern w:val="0"/>
                <w:sz w:val="22"/>
              </w:rPr>
              <w:t>序号</w:t>
            </w:r>
          </w:p>
        </w:tc>
        <w:tc>
          <w:tcPr>
            <w:tcW w:w="2168" w:type="pct"/>
            <w:shd w:val="clear" w:color="auto" w:fill="FFFFFF"/>
            <w:vAlign w:val="center"/>
          </w:tcPr>
          <w:p w14:paraId="50E1E82B">
            <w:pPr>
              <w:widowControl/>
              <w:jc w:val="center"/>
              <w:textAlignment w:val="center"/>
              <w:rPr>
                <w:rFonts w:cs="宋体"/>
                <w:b w:val="0"/>
                <w:bCs/>
                <w:color w:val="000000"/>
                <w:kern w:val="0"/>
                <w:sz w:val="22"/>
              </w:rPr>
            </w:pPr>
            <w:r>
              <w:rPr>
                <w:rFonts w:hint="eastAsia" w:cs="宋体"/>
                <w:b w:val="0"/>
                <w:bCs/>
                <w:color w:val="000000"/>
                <w:kern w:val="0"/>
                <w:sz w:val="22"/>
              </w:rPr>
              <w:t>项目名称</w:t>
            </w:r>
          </w:p>
        </w:tc>
        <w:tc>
          <w:tcPr>
            <w:tcW w:w="1193" w:type="pct"/>
            <w:shd w:val="clear" w:color="auto" w:fill="FFFFFF"/>
            <w:vAlign w:val="center"/>
          </w:tcPr>
          <w:p w14:paraId="0BCEF515">
            <w:pPr>
              <w:widowControl/>
              <w:jc w:val="center"/>
              <w:textAlignment w:val="center"/>
              <w:rPr>
                <w:rFonts w:cs="宋体"/>
                <w:b w:val="0"/>
                <w:bCs/>
                <w:color w:val="000000"/>
                <w:kern w:val="0"/>
                <w:sz w:val="22"/>
              </w:rPr>
            </w:pPr>
            <w:r>
              <w:rPr>
                <w:rFonts w:hint="eastAsia" w:cs="宋体"/>
                <w:b w:val="0"/>
                <w:bCs/>
                <w:color w:val="000000"/>
                <w:kern w:val="0"/>
                <w:sz w:val="22"/>
              </w:rPr>
              <w:t>配置描述</w:t>
            </w:r>
          </w:p>
        </w:tc>
        <w:tc>
          <w:tcPr>
            <w:tcW w:w="1193" w:type="pct"/>
            <w:shd w:val="clear" w:color="auto" w:fill="FFFFFF"/>
            <w:vAlign w:val="center"/>
          </w:tcPr>
          <w:p w14:paraId="0B74E2AA">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cs="宋体"/>
                <w:b w:val="0"/>
                <w:bCs/>
                <w:color w:val="000000"/>
                <w:kern w:val="0"/>
                <w:sz w:val="22"/>
              </w:rPr>
              <w:t>数量</w:t>
            </w:r>
          </w:p>
        </w:tc>
      </w:tr>
      <w:tr w14:paraId="4086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44" w:type="pct"/>
            <w:shd w:val="clear" w:color="auto" w:fill="FFFFFF"/>
            <w:vAlign w:val="center"/>
          </w:tcPr>
          <w:p w14:paraId="055455E6">
            <w:pPr>
              <w:widowControl/>
              <w:jc w:val="center"/>
              <w:textAlignment w:val="center"/>
              <w:rPr>
                <w:rFonts w:hint="eastAsia" w:ascii="Times New Roman" w:hAnsi="Times New Roman" w:cs="宋体"/>
                <w:b w:val="0"/>
                <w:bCs/>
                <w:color w:val="000000"/>
                <w:kern w:val="0"/>
                <w:sz w:val="22"/>
              </w:rPr>
            </w:pPr>
            <w:bookmarkStart w:id="0" w:name="_Hlk150272548"/>
            <w:r>
              <w:rPr>
                <w:rFonts w:hint="eastAsia" w:ascii="Times New Roman" w:hAnsi="Times New Roman" w:cs="宋体"/>
                <w:b w:val="0"/>
                <w:bCs/>
                <w:color w:val="000000"/>
                <w:kern w:val="0"/>
                <w:sz w:val="22"/>
                <w:lang w:val="en-US" w:eastAsia="zh-CN"/>
              </w:rPr>
              <w:t>1</w:t>
            </w:r>
          </w:p>
        </w:tc>
        <w:tc>
          <w:tcPr>
            <w:tcW w:w="2168" w:type="pct"/>
            <w:shd w:val="clear" w:color="auto" w:fill="FFFFFF"/>
            <w:vAlign w:val="center"/>
          </w:tcPr>
          <w:p w14:paraId="71CEB623">
            <w:pPr>
              <w:widowControl/>
              <w:jc w:val="center"/>
              <w:textAlignment w:val="center"/>
              <w:rPr>
                <w:rFonts w:hint="default" w:ascii="宋体" w:hAnsi="宋体"/>
                <w:sz w:val="22"/>
                <w:lang w:val="en-US" w:eastAsia="zh-CN"/>
              </w:rPr>
            </w:pPr>
            <w:r>
              <w:rPr>
                <w:rFonts w:hint="eastAsia" w:ascii="宋体" w:hAnsi="宋体"/>
                <w:sz w:val="22"/>
                <w:lang w:val="en-US" w:eastAsia="zh-CN"/>
              </w:rPr>
              <w:t>医养康智慧服务一体化云平台（二期）</w:t>
            </w:r>
          </w:p>
        </w:tc>
        <w:tc>
          <w:tcPr>
            <w:tcW w:w="1193" w:type="pct"/>
            <w:shd w:val="clear" w:color="auto" w:fill="FFFFFF"/>
            <w:vAlign w:val="center"/>
          </w:tcPr>
          <w:p w14:paraId="2FC6BBF1">
            <w:pPr>
              <w:widowControl/>
              <w:jc w:val="center"/>
              <w:textAlignment w:val="center"/>
              <w:rPr>
                <w:rFonts w:hint="default" w:ascii="Times New Roman" w:hAnsi="Times New Roman" w:eastAsia="宋体" w:cs="宋体"/>
                <w:b w:val="0"/>
                <w:bCs/>
                <w:color w:val="000000"/>
                <w:kern w:val="0"/>
                <w:sz w:val="22"/>
                <w:lang w:val="en-US" w:eastAsia="zh-CN"/>
              </w:rPr>
            </w:pPr>
            <w:r>
              <w:rPr>
                <w:rFonts w:hint="eastAsia" w:cs="宋体"/>
                <w:b w:val="0"/>
                <w:bCs/>
                <w:color w:val="000000"/>
                <w:kern w:val="0"/>
                <w:sz w:val="22"/>
                <w:lang w:val="en-US" w:eastAsia="zh-CN"/>
              </w:rPr>
              <w:t>配置详见3.1</w:t>
            </w:r>
          </w:p>
        </w:tc>
        <w:tc>
          <w:tcPr>
            <w:tcW w:w="1193" w:type="pct"/>
            <w:shd w:val="clear" w:color="auto" w:fill="FFFFFF"/>
            <w:vAlign w:val="center"/>
          </w:tcPr>
          <w:p w14:paraId="1C163C01">
            <w:pPr>
              <w:widowControl/>
              <w:jc w:val="center"/>
              <w:textAlignment w:val="center"/>
              <w:rPr>
                <w:rFonts w:hint="eastAsia" w:ascii="Times New Roman" w:hAnsi="Times New Roman" w:eastAsia="宋体" w:cs="宋体"/>
                <w:b w:val="0"/>
                <w:bCs/>
                <w:color w:val="000000"/>
                <w:kern w:val="0"/>
                <w:sz w:val="22"/>
                <w:szCs w:val="24"/>
                <w:lang w:val="en-US" w:eastAsia="zh-CN" w:bidi="ar-SA"/>
              </w:rPr>
            </w:pPr>
            <w:r>
              <w:rPr>
                <w:rFonts w:hint="eastAsia" w:ascii="Times New Roman" w:hAnsi="Times New Roman" w:cs="宋体"/>
                <w:b w:val="0"/>
                <w:bCs/>
                <w:color w:val="000000"/>
                <w:kern w:val="0"/>
                <w:sz w:val="22"/>
                <w:lang w:val="en-US" w:eastAsia="zh-CN"/>
              </w:rPr>
              <w:t>1</w:t>
            </w:r>
            <w:r>
              <w:rPr>
                <w:rFonts w:hint="eastAsia" w:cs="宋体"/>
                <w:b w:val="0"/>
                <w:bCs/>
                <w:color w:val="000000"/>
                <w:kern w:val="0"/>
                <w:sz w:val="22"/>
                <w:lang w:val="en-US" w:eastAsia="zh-CN"/>
              </w:rPr>
              <w:t>套</w:t>
            </w:r>
          </w:p>
        </w:tc>
      </w:tr>
      <w:bookmarkEnd w:id="0"/>
    </w:tbl>
    <w:p w14:paraId="54C34F04">
      <w:pPr>
        <w:rPr>
          <w:lang w:val="zh-CN"/>
        </w:rPr>
      </w:pPr>
    </w:p>
    <w:p w14:paraId="7840B7E1">
      <w:pPr>
        <w:pStyle w:val="2"/>
        <w:numPr>
          <w:ilvl w:val="0"/>
          <w:numId w:val="3"/>
        </w:numPr>
        <w:spacing w:before="0" w:after="0"/>
        <w:rPr>
          <w:rFonts w:ascii="宋体" w:hAnsi="宋体"/>
          <w:sz w:val="32"/>
          <w:szCs w:val="32"/>
        </w:rPr>
      </w:pPr>
      <w:r>
        <w:rPr>
          <w:rFonts w:hint="eastAsia" w:ascii="宋体" w:hAnsi="宋体"/>
          <w:sz w:val="32"/>
          <w:szCs w:val="32"/>
        </w:rPr>
        <w:t>详细配置参数</w:t>
      </w:r>
      <w:bookmarkStart w:id="1" w:name="_6.1.1、大数据服务器"/>
      <w:bookmarkEnd w:id="1"/>
    </w:p>
    <w:p w14:paraId="7F59A5EB">
      <w:pPr>
        <w:pStyle w:val="72"/>
        <w:spacing w:before="156" w:after="156"/>
        <w:rPr>
          <w:rFonts w:hint="eastAsia" w:eastAsia="宋体"/>
          <w:lang w:val="en-US" w:eastAsia="zh-CN"/>
        </w:rPr>
      </w:pPr>
      <w:bookmarkStart w:id="2" w:name="_6.1.2、容器服务器"/>
      <w:bookmarkEnd w:id="2"/>
      <w:r>
        <w:rPr>
          <w:rFonts w:hint="eastAsia"/>
          <w:lang w:val="en-US" w:eastAsia="zh-CN"/>
        </w:rPr>
        <w:t>3.</w:t>
      </w:r>
      <w:r>
        <w:rPr>
          <w:rFonts w:hint="default"/>
          <w:lang w:val="en-US" w:eastAsia="zh-CN"/>
        </w:rPr>
        <w:t>1</w:t>
      </w:r>
      <w:r>
        <w:rPr>
          <w:rFonts w:hint="eastAsia"/>
          <w:lang w:val="en-US" w:eastAsia="zh-CN"/>
        </w:rPr>
        <w:t>、医养康智慧服务一体化云平台（二期）</w:t>
      </w:r>
    </w:p>
    <w:tbl>
      <w:tblPr>
        <w:tblStyle w:val="23"/>
        <w:tblpPr w:leftFromText="180" w:rightFromText="180" w:vertAnchor="text" w:horzAnchor="page" w:tblpX="1748" w:tblpY="362"/>
        <w:tblOverlap w:val="never"/>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4"/>
        <w:gridCol w:w="1225"/>
        <w:gridCol w:w="1164"/>
        <w:gridCol w:w="1155"/>
        <w:gridCol w:w="4577"/>
      </w:tblGrid>
      <w:tr w14:paraId="1DB21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26" w:type="pct"/>
            <w:tcBorders>
              <w:tl2br w:val="nil"/>
              <w:tr2bl w:val="nil"/>
            </w:tcBorders>
            <w:shd w:val="clear" w:color="auto" w:fill="auto"/>
            <w:vAlign w:val="center"/>
          </w:tcPr>
          <w:p w14:paraId="76554543">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系统名称</w:t>
            </w:r>
          </w:p>
        </w:tc>
        <w:tc>
          <w:tcPr>
            <w:tcW w:w="659" w:type="pct"/>
            <w:tcBorders>
              <w:tl2br w:val="nil"/>
              <w:tr2bl w:val="nil"/>
            </w:tcBorders>
            <w:shd w:val="clear" w:color="auto" w:fill="auto"/>
            <w:vAlign w:val="center"/>
          </w:tcPr>
          <w:p w14:paraId="267BAC4A">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一级模块</w:t>
            </w:r>
          </w:p>
        </w:tc>
        <w:tc>
          <w:tcPr>
            <w:tcW w:w="626" w:type="pct"/>
            <w:tcBorders>
              <w:tl2br w:val="nil"/>
              <w:tr2bl w:val="nil"/>
            </w:tcBorders>
            <w:shd w:val="clear" w:color="auto" w:fill="auto"/>
            <w:vAlign w:val="center"/>
          </w:tcPr>
          <w:p w14:paraId="3F9F1B17">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二级模块</w:t>
            </w:r>
          </w:p>
        </w:tc>
        <w:tc>
          <w:tcPr>
            <w:tcW w:w="621" w:type="pct"/>
            <w:tcBorders>
              <w:tl2br w:val="nil"/>
              <w:tr2bl w:val="nil"/>
            </w:tcBorders>
            <w:shd w:val="clear" w:color="auto" w:fill="auto"/>
            <w:vAlign w:val="center"/>
          </w:tcPr>
          <w:p w14:paraId="73E50531">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三级模块</w:t>
            </w:r>
          </w:p>
        </w:tc>
        <w:tc>
          <w:tcPr>
            <w:tcW w:w="2465" w:type="pct"/>
            <w:tcBorders>
              <w:tl2br w:val="nil"/>
              <w:tr2bl w:val="nil"/>
            </w:tcBorders>
            <w:shd w:val="clear" w:color="auto" w:fill="auto"/>
            <w:vAlign w:val="center"/>
          </w:tcPr>
          <w:p w14:paraId="5DCBB1D5">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功能描述</w:t>
            </w:r>
          </w:p>
        </w:tc>
      </w:tr>
      <w:tr w14:paraId="216A6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restart"/>
            <w:tcBorders>
              <w:tl2br w:val="nil"/>
              <w:tr2bl w:val="nil"/>
            </w:tcBorders>
            <w:vAlign w:val="center"/>
          </w:tcPr>
          <w:p w14:paraId="7BFAD2A3">
            <w:pPr>
              <w:widowControl/>
              <w:jc w:val="center"/>
              <w:rPr>
                <w:rFonts w:ascii="仿宋" w:hAnsi="仿宋" w:eastAsia="仿宋" w:cs="仿宋"/>
                <w:kern w:val="0"/>
                <w:sz w:val="18"/>
                <w:szCs w:val="18"/>
              </w:rPr>
            </w:pPr>
            <w:r>
              <w:rPr>
                <w:rFonts w:hint="eastAsia" w:ascii="仿宋" w:hAnsi="仿宋" w:eastAsia="仿宋" w:cs="仿宋"/>
                <w:kern w:val="0"/>
                <w:sz w:val="18"/>
                <w:szCs w:val="18"/>
              </w:rPr>
              <w:t>医养康</w:t>
            </w:r>
          </w:p>
          <w:p w14:paraId="4AAD566A">
            <w:pPr>
              <w:widowControl/>
              <w:jc w:val="center"/>
              <w:rPr>
                <w:rFonts w:ascii="仿宋" w:hAnsi="仿宋" w:eastAsia="仿宋" w:cs="仿宋"/>
                <w:kern w:val="0"/>
                <w:sz w:val="18"/>
                <w:szCs w:val="18"/>
              </w:rPr>
            </w:pPr>
            <w:r>
              <w:rPr>
                <w:rFonts w:hint="eastAsia" w:ascii="仿宋" w:hAnsi="仿宋" w:eastAsia="仿宋" w:cs="仿宋"/>
                <w:kern w:val="0"/>
                <w:sz w:val="18"/>
                <w:szCs w:val="18"/>
              </w:rPr>
              <w:t>老年人</w:t>
            </w:r>
          </w:p>
          <w:p w14:paraId="565E5EAC">
            <w:pPr>
              <w:widowControl/>
              <w:jc w:val="center"/>
              <w:rPr>
                <w:rFonts w:ascii="仿宋" w:hAnsi="仿宋" w:eastAsia="仿宋" w:cs="仿宋"/>
                <w:kern w:val="0"/>
                <w:sz w:val="18"/>
                <w:szCs w:val="18"/>
              </w:rPr>
            </w:pPr>
            <w:r>
              <w:rPr>
                <w:rFonts w:hint="eastAsia" w:ascii="仿宋" w:hAnsi="仿宋" w:eastAsia="仿宋" w:cs="仿宋"/>
                <w:kern w:val="0"/>
                <w:sz w:val="18"/>
                <w:szCs w:val="18"/>
              </w:rPr>
              <w:t>使用端</w:t>
            </w:r>
          </w:p>
          <w:p w14:paraId="0EE4BDC7">
            <w:pPr>
              <w:widowControl/>
              <w:jc w:val="center"/>
              <w:rPr>
                <w:rFonts w:ascii="仿宋" w:hAnsi="仿宋" w:eastAsia="仿宋" w:cs="仿宋"/>
                <w:kern w:val="0"/>
                <w:sz w:val="18"/>
                <w:szCs w:val="18"/>
              </w:rPr>
            </w:pPr>
            <w:r>
              <w:rPr>
                <w:rFonts w:hint="eastAsia" w:ascii="仿宋" w:hAnsi="仿宋" w:eastAsia="仿宋" w:cs="仿宋"/>
                <w:kern w:val="0"/>
                <w:sz w:val="18"/>
                <w:szCs w:val="18"/>
              </w:rPr>
              <w:t>小程序</w:t>
            </w:r>
          </w:p>
        </w:tc>
        <w:tc>
          <w:tcPr>
            <w:tcW w:w="659" w:type="pct"/>
            <w:tcBorders>
              <w:tl2br w:val="nil"/>
              <w:tr2bl w:val="nil"/>
            </w:tcBorders>
            <w:shd w:val="clear" w:color="auto" w:fill="auto"/>
            <w:vAlign w:val="center"/>
          </w:tcPr>
          <w:p w14:paraId="6FAE5523">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首页</w:t>
            </w:r>
          </w:p>
        </w:tc>
        <w:tc>
          <w:tcPr>
            <w:tcW w:w="626" w:type="pct"/>
            <w:tcBorders>
              <w:tl2br w:val="nil"/>
              <w:tr2bl w:val="nil"/>
            </w:tcBorders>
            <w:shd w:val="clear" w:color="000000" w:fill="FFFFFF"/>
            <w:noWrap/>
            <w:vAlign w:val="center"/>
          </w:tcPr>
          <w:p w14:paraId="32D74E08">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首页</w:t>
            </w:r>
          </w:p>
        </w:tc>
        <w:tc>
          <w:tcPr>
            <w:tcW w:w="621" w:type="pct"/>
            <w:tcBorders>
              <w:tl2br w:val="nil"/>
              <w:tr2bl w:val="nil"/>
            </w:tcBorders>
            <w:shd w:val="clear" w:color="000000" w:fill="FFFFFF"/>
            <w:noWrap/>
            <w:vAlign w:val="center"/>
          </w:tcPr>
          <w:p w14:paraId="07457DE4">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首页</w:t>
            </w:r>
          </w:p>
        </w:tc>
        <w:tc>
          <w:tcPr>
            <w:tcW w:w="2465" w:type="pct"/>
            <w:tcBorders>
              <w:tl2br w:val="nil"/>
              <w:tr2bl w:val="nil"/>
            </w:tcBorders>
            <w:shd w:val="clear" w:color="auto" w:fill="auto"/>
          </w:tcPr>
          <w:p w14:paraId="42B06261">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小程序首页展示医养康服务业务快捷入口，界面支持适老化展示。</w:t>
            </w:r>
          </w:p>
        </w:tc>
      </w:tr>
      <w:tr w14:paraId="6E382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29E48B1C">
            <w:pPr>
              <w:widowControl/>
              <w:jc w:val="center"/>
              <w:rPr>
                <w:rFonts w:ascii="仿宋" w:hAnsi="仿宋" w:eastAsia="仿宋" w:cs="仿宋"/>
                <w:kern w:val="0"/>
                <w:sz w:val="18"/>
                <w:szCs w:val="18"/>
              </w:rPr>
            </w:pPr>
          </w:p>
        </w:tc>
        <w:tc>
          <w:tcPr>
            <w:tcW w:w="659" w:type="pct"/>
            <w:vMerge w:val="restart"/>
            <w:tcBorders>
              <w:tl2br w:val="nil"/>
              <w:tr2bl w:val="nil"/>
            </w:tcBorders>
            <w:shd w:val="clear" w:color="auto" w:fill="auto"/>
            <w:vAlign w:val="center"/>
          </w:tcPr>
          <w:p w14:paraId="1AEB3239">
            <w:pPr>
              <w:widowControl/>
              <w:jc w:val="center"/>
              <w:rPr>
                <w:rFonts w:ascii="仿宋" w:hAnsi="仿宋" w:eastAsia="仿宋" w:cs="仿宋"/>
                <w:kern w:val="0"/>
                <w:sz w:val="18"/>
                <w:szCs w:val="18"/>
              </w:rPr>
            </w:pPr>
            <w:r>
              <w:rPr>
                <w:rFonts w:hint="eastAsia" w:ascii="仿宋" w:hAnsi="仿宋" w:eastAsia="仿宋" w:cs="仿宋"/>
                <w:kern w:val="0"/>
                <w:sz w:val="18"/>
                <w:szCs w:val="18"/>
              </w:rPr>
              <w:t>家庭病床</w:t>
            </w:r>
          </w:p>
        </w:tc>
        <w:tc>
          <w:tcPr>
            <w:tcW w:w="626" w:type="pct"/>
            <w:vMerge w:val="restart"/>
            <w:tcBorders>
              <w:tl2br w:val="nil"/>
              <w:tr2bl w:val="nil"/>
            </w:tcBorders>
            <w:shd w:val="clear" w:color="auto" w:fill="auto"/>
            <w:noWrap/>
            <w:vAlign w:val="center"/>
          </w:tcPr>
          <w:p w14:paraId="47F21A27">
            <w:pPr>
              <w:widowControl/>
              <w:jc w:val="center"/>
              <w:rPr>
                <w:rFonts w:ascii="仿宋" w:hAnsi="仿宋" w:eastAsia="仿宋" w:cs="仿宋"/>
                <w:kern w:val="0"/>
                <w:sz w:val="18"/>
                <w:szCs w:val="18"/>
              </w:rPr>
            </w:pPr>
            <w:r>
              <w:rPr>
                <w:rFonts w:hint="eastAsia" w:ascii="仿宋" w:hAnsi="仿宋" w:eastAsia="仿宋" w:cs="仿宋"/>
                <w:kern w:val="0"/>
                <w:sz w:val="18"/>
                <w:szCs w:val="18"/>
              </w:rPr>
              <w:t>床位申请</w:t>
            </w:r>
          </w:p>
        </w:tc>
        <w:tc>
          <w:tcPr>
            <w:tcW w:w="621" w:type="pct"/>
            <w:tcBorders>
              <w:tl2br w:val="nil"/>
              <w:tr2bl w:val="nil"/>
            </w:tcBorders>
            <w:shd w:val="clear" w:color="auto" w:fill="auto"/>
            <w:noWrap/>
            <w:vAlign w:val="center"/>
          </w:tcPr>
          <w:p w14:paraId="2DD45270">
            <w:pPr>
              <w:widowControl/>
              <w:jc w:val="center"/>
              <w:rPr>
                <w:rFonts w:ascii="仿宋" w:hAnsi="仿宋" w:eastAsia="仿宋" w:cs="仿宋"/>
                <w:kern w:val="0"/>
                <w:sz w:val="18"/>
                <w:szCs w:val="18"/>
              </w:rPr>
            </w:pPr>
            <w:r>
              <w:rPr>
                <w:rFonts w:hint="eastAsia" w:ascii="仿宋" w:hAnsi="仿宋" w:eastAsia="仿宋" w:cs="仿宋"/>
                <w:kern w:val="0"/>
                <w:sz w:val="18"/>
                <w:szCs w:val="18"/>
              </w:rPr>
              <w:t>床位申请</w:t>
            </w:r>
          </w:p>
        </w:tc>
        <w:tc>
          <w:tcPr>
            <w:tcW w:w="2465" w:type="pct"/>
            <w:tcBorders>
              <w:tl2br w:val="nil"/>
              <w:tr2bl w:val="nil"/>
            </w:tcBorders>
            <w:shd w:val="clear" w:color="auto" w:fill="auto"/>
          </w:tcPr>
          <w:p w14:paraId="23A7748F">
            <w:pPr>
              <w:widowControl/>
              <w:rPr>
                <w:rFonts w:ascii="仿宋" w:hAnsi="仿宋" w:eastAsia="仿宋" w:cs="仿宋"/>
                <w:kern w:val="0"/>
                <w:sz w:val="18"/>
                <w:szCs w:val="18"/>
              </w:rPr>
            </w:pPr>
            <w:r>
              <w:rPr>
                <w:rFonts w:hint="eastAsia" w:ascii="仿宋" w:hAnsi="仿宋" w:eastAsia="仿宋" w:cs="仿宋"/>
                <w:kern w:val="0"/>
                <w:sz w:val="18"/>
                <w:szCs w:val="18"/>
              </w:rPr>
              <w:t>通过扫码申请二维码进行信息填写、提供证明材料。签约前可以修改。必须走申请才可进行建床签约。</w:t>
            </w:r>
          </w:p>
        </w:tc>
      </w:tr>
      <w:tr w14:paraId="20060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26" w:type="pct"/>
            <w:vMerge w:val="continue"/>
            <w:tcBorders>
              <w:tl2br w:val="nil"/>
              <w:tr2bl w:val="nil"/>
            </w:tcBorders>
            <w:vAlign w:val="center"/>
          </w:tcPr>
          <w:p w14:paraId="45822066">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3E2311E">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063D46DC">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28296D03">
            <w:pPr>
              <w:widowControl/>
              <w:jc w:val="center"/>
              <w:rPr>
                <w:rFonts w:ascii="仿宋" w:hAnsi="仿宋" w:eastAsia="仿宋" w:cs="仿宋"/>
                <w:kern w:val="0"/>
                <w:sz w:val="18"/>
                <w:szCs w:val="18"/>
              </w:rPr>
            </w:pPr>
            <w:r>
              <w:rPr>
                <w:rFonts w:hint="eastAsia" w:ascii="仿宋" w:hAnsi="仿宋" w:eastAsia="仿宋" w:cs="仿宋"/>
                <w:kern w:val="0"/>
                <w:sz w:val="18"/>
                <w:szCs w:val="18"/>
              </w:rPr>
              <w:t>申请记录</w:t>
            </w:r>
          </w:p>
        </w:tc>
        <w:tc>
          <w:tcPr>
            <w:tcW w:w="2465" w:type="pct"/>
            <w:tcBorders>
              <w:tl2br w:val="nil"/>
              <w:tr2bl w:val="nil"/>
            </w:tcBorders>
            <w:shd w:val="clear" w:color="auto" w:fill="auto"/>
          </w:tcPr>
          <w:p w14:paraId="48D1A12E">
            <w:pPr>
              <w:widowControl/>
              <w:rPr>
                <w:rFonts w:ascii="仿宋" w:hAnsi="仿宋" w:eastAsia="仿宋" w:cs="仿宋"/>
                <w:kern w:val="0"/>
                <w:sz w:val="18"/>
                <w:szCs w:val="18"/>
              </w:rPr>
            </w:pPr>
            <w:r>
              <w:rPr>
                <w:rFonts w:hint="eastAsia" w:ascii="仿宋" w:hAnsi="仿宋" w:eastAsia="仿宋" w:cs="仿宋"/>
                <w:kern w:val="0"/>
                <w:sz w:val="18"/>
                <w:szCs w:val="18"/>
              </w:rPr>
              <w:t>支持查看床位申请记录。</w:t>
            </w:r>
          </w:p>
        </w:tc>
      </w:tr>
      <w:tr w14:paraId="4AB21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4A6C9C75">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D3ACE4F">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4216C0C9">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21ED981E">
            <w:pPr>
              <w:widowControl/>
              <w:jc w:val="center"/>
              <w:rPr>
                <w:rFonts w:ascii="仿宋" w:hAnsi="仿宋" w:eastAsia="仿宋" w:cs="仿宋"/>
                <w:kern w:val="0"/>
                <w:sz w:val="18"/>
                <w:szCs w:val="18"/>
              </w:rPr>
            </w:pPr>
            <w:r>
              <w:rPr>
                <w:rFonts w:hint="eastAsia" w:ascii="仿宋" w:hAnsi="仿宋" w:eastAsia="仿宋" w:cs="仿宋"/>
                <w:kern w:val="0"/>
                <w:sz w:val="18"/>
                <w:szCs w:val="18"/>
              </w:rPr>
              <w:t>建床签约</w:t>
            </w:r>
          </w:p>
        </w:tc>
        <w:tc>
          <w:tcPr>
            <w:tcW w:w="2465" w:type="pct"/>
            <w:tcBorders>
              <w:tl2br w:val="nil"/>
              <w:tr2bl w:val="nil"/>
            </w:tcBorders>
            <w:shd w:val="clear" w:color="auto" w:fill="auto"/>
          </w:tcPr>
          <w:p w14:paraId="31A43A79">
            <w:pPr>
              <w:widowControl/>
              <w:rPr>
                <w:rFonts w:ascii="仿宋" w:hAnsi="仿宋" w:eastAsia="仿宋" w:cs="仿宋"/>
                <w:kern w:val="0"/>
                <w:sz w:val="18"/>
                <w:szCs w:val="18"/>
              </w:rPr>
            </w:pPr>
            <w:r>
              <w:rPr>
                <w:rFonts w:hint="eastAsia" w:ascii="仿宋" w:hAnsi="仿宋" w:eastAsia="仿宋" w:cs="仿宋"/>
                <w:kern w:val="0"/>
                <w:sz w:val="18"/>
                <w:szCs w:val="18"/>
              </w:rPr>
              <w:t>支持对床位申请发起建床签约，签约包括基本信息、老年评估（可跳过）、改造方案（可跳过）、服务计划、补贴类型、签约时间、到期时间（默认1年可调整）。</w:t>
            </w:r>
          </w:p>
        </w:tc>
      </w:tr>
      <w:tr w14:paraId="4B79E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06813686">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06FC388">
            <w:pPr>
              <w:widowControl/>
              <w:jc w:val="left"/>
              <w:rPr>
                <w:rFonts w:ascii="仿宋" w:hAnsi="仿宋" w:eastAsia="仿宋" w:cs="仿宋"/>
                <w:kern w:val="0"/>
                <w:sz w:val="18"/>
                <w:szCs w:val="18"/>
              </w:rPr>
            </w:pPr>
          </w:p>
        </w:tc>
        <w:tc>
          <w:tcPr>
            <w:tcW w:w="626" w:type="pct"/>
            <w:vMerge w:val="restart"/>
            <w:tcBorders>
              <w:tl2br w:val="nil"/>
              <w:tr2bl w:val="nil"/>
            </w:tcBorders>
            <w:shd w:val="clear" w:color="auto" w:fill="auto"/>
            <w:noWrap/>
            <w:vAlign w:val="center"/>
          </w:tcPr>
          <w:p w14:paraId="7D7FF4D6">
            <w:pPr>
              <w:widowControl/>
              <w:jc w:val="center"/>
              <w:rPr>
                <w:rFonts w:ascii="仿宋" w:hAnsi="仿宋" w:eastAsia="仿宋" w:cs="仿宋"/>
                <w:kern w:val="0"/>
                <w:sz w:val="18"/>
                <w:szCs w:val="18"/>
              </w:rPr>
            </w:pPr>
            <w:r>
              <w:rPr>
                <w:rFonts w:hint="eastAsia" w:ascii="仿宋" w:hAnsi="仿宋" w:eastAsia="仿宋" w:cs="仿宋"/>
                <w:kern w:val="0"/>
                <w:sz w:val="18"/>
                <w:szCs w:val="18"/>
              </w:rPr>
              <w:t>建床签约</w:t>
            </w:r>
          </w:p>
        </w:tc>
        <w:tc>
          <w:tcPr>
            <w:tcW w:w="621" w:type="pct"/>
            <w:tcBorders>
              <w:tl2br w:val="nil"/>
              <w:tr2bl w:val="nil"/>
            </w:tcBorders>
            <w:shd w:val="clear" w:color="auto" w:fill="auto"/>
            <w:noWrap/>
            <w:vAlign w:val="center"/>
          </w:tcPr>
          <w:p w14:paraId="38F4F870">
            <w:pPr>
              <w:widowControl/>
              <w:jc w:val="center"/>
              <w:rPr>
                <w:rFonts w:ascii="仿宋" w:hAnsi="仿宋" w:eastAsia="仿宋" w:cs="仿宋"/>
                <w:kern w:val="0"/>
                <w:sz w:val="18"/>
                <w:szCs w:val="18"/>
              </w:rPr>
            </w:pPr>
            <w:r>
              <w:rPr>
                <w:rFonts w:hint="eastAsia" w:ascii="仿宋" w:hAnsi="仿宋" w:eastAsia="仿宋" w:cs="仿宋"/>
                <w:kern w:val="0"/>
                <w:sz w:val="18"/>
                <w:szCs w:val="18"/>
              </w:rPr>
              <w:t>建床签约记录</w:t>
            </w:r>
          </w:p>
        </w:tc>
        <w:tc>
          <w:tcPr>
            <w:tcW w:w="2465" w:type="pct"/>
            <w:tcBorders>
              <w:tl2br w:val="nil"/>
              <w:tr2bl w:val="nil"/>
            </w:tcBorders>
            <w:shd w:val="clear" w:color="auto" w:fill="auto"/>
          </w:tcPr>
          <w:p w14:paraId="36B62445">
            <w:pPr>
              <w:widowControl/>
              <w:rPr>
                <w:rFonts w:ascii="仿宋" w:hAnsi="仿宋" w:eastAsia="仿宋" w:cs="仿宋"/>
                <w:kern w:val="0"/>
                <w:sz w:val="18"/>
                <w:szCs w:val="18"/>
              </w:rPr>
            </w:pPr>
            <w:r>
              <w:rPr>
                <w:rFonts w:hint="eastAsia" w:ascii="仿宋" w:hAnsi="仿宋" w:eastAsia="仿宋" w:cs="仿宋"/>
                <w:kern w:val="0"/>
                <w:sz w:val="18"/>
                <w:szCs w:val="18"/>
              </w:rPr>
              <w:t>支持查看查看建床签约记录和签约详情。</w:t>
            </w:r>
          </w:p>
        </w:tc>
      </w:tr>
      <w:tr w14:paraId="1A739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408FF2A3">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A61626B">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3171356B">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1B5F683E">
            <w:pPr>
              <w:widowControl/>
              <w:jc w:val="center"/>
              <w:rPr>
                <w:rFonts w:ascii="仿宋" w:hAnsi="仿宋" w:eastAsia="仿宋" w:cs="仿宋"/>
                <w:kern w:val="0"/>
                <w:sz w:val="18"/>
                <w:szCs w:val="18"/>
              </w:rPr>
            </w:pPr>
            <w:r>
              <w:rPr>
                <w:rFonts w:hint="eastAsia" w:ascii="仿宋" w:hAnsi="仿宋" w:eastAsia="仿宋" w:cs="仿宋"/>
                <w:kern w:val="0"/>
                <w:sz w:val="18"/>
                <w:szCs w:val="18"/>
              </w:rPr>
              <w:t>解约</w:t>
            </w:r>
          </w:p>
        </w:tc>
        <w:tc>
          <w:tcPr>
            <w:tcW w:w="2465" w:type="pct"/>
            <w:tcBorders>
              <w:tl2br w:val="nil"/>
              <w:tr2bl w:val="nil"/>
            </w:tcBorders>
            <w:shd w:val="clear" w:color="auto" w:fill="auto"/>
          </w:tcPr>
          <w:p w14:paraId="1DF718BF">
            <w:pPr>
              <w:widowControl/>
              <w:rPr>
                <w:rFonts w:ascii="仿宋" w:hAnsi="仿宋" w:eastAsia="仿宋" w:cs="仿宋"/>
                <w:kern w:val="0"/>
                <w:sz w:val="18"/>
                <w:szCs w:val="18"/>
              </w:rPr>
            </w:pPr>
            <w:r>
              <w:rPr>
                <w:rFonts w:hint="eastAsia" w:ascii="仿宋" w:hAnsi="仿宋" w:eastAsia="仿宋" w:cs="仿宋"/>
                <w:kern w:val="0"/>
                <w:sz w:val="18"/>
                <w:szCs w:val="18"/>
              </w:rPr>
              <w:t>支持提前解约，解约后不能再继续下单家床服务。</w:t>
            </w:r>
          </w:p>
        </w:tc>
      </w:tr>
      <w:tr w14:paraId="47698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4AF2C317">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51FFE7B8">
            <w:pPr>
              <w:widowControl/>
              <w:jc w:val="left"/>
              <w:rPr>
                <w:rFonts w:ascii="仿宋" w:hAnsi="仿宋" w:eastAsia="仿宋" w:cs="仿宋"/>
                <w:kern w:val="0"/>
                <w:sz w:val="18"/>
                <w:szCs w:val="18"/>
              </w:rPr>
            </w:pPr>
          </w:p>
        </w:tc>
        <w:tc>
          <w:tcPr>
            <w:tcW w:w="626" w:type="pct"/>
            <w:vMerge w:val="restart"/>
            <w:tcBorders>
              <w:tl2br w:val="nil"/>
              <w:tr2bl w:val="nil"/>
            </w:tcBorders>
            <w:shd w:val="clear" w:color="auto" w:fill="auto"/>
            <w:noWrap/>
            <w:vAlign w:val="center"/>
          </w:tcPr>
          <w:p w14:paraId="2FC8F6EA">
            <w:pPr>
              <w:widowControl/>
              <w:jc w:val="center"/>
              <w:rPr>
                <w:rFonts w:ascii="仿宋" w:hAnsi="仿宋" w:eastAsia="仿宋" w:cs="仿宋"/>
                <w:kern w:val="0"/>
                <w:sz w:val="18"/>
                <w:szCs w:val="18"/>
              </w:rPr>
            </w:pPr>
            <w:r>
              <w:rPr>
                <w:rFonts w:hint="eastAsia" w:ascii="仿宋" w:hAnsi="仿宋" w:eastAsia="仿宋" w:cs="仿宋"/>
                <w:kern w:val="0"/>
                <w:sz w:val="18"/>
                <w:szCs w:val="18"/>
              </w:rPr>
              <w:t>家床评估</w:t>
            </w:r>
          </w:p>
        </w:tc>
        <w:tc>
          <w:tcPr>
            <w:tcW w:w="621" w:type="pct"/>
            <w:tcBorders>
              <w:tl2br w:val="nil"/>
              <w:tr2bl w:val="nil"/>
            </w:tcBorders>
            <w:shd w:val="clear" w:color="auto" w:fill="auto"/>
            <w:noWrap/>
            <w:vAlign w:val="center"/>
          </w:tcPr>
          <w:p w14:paraId="66F61A09">
            <w:pPr>
              <w:widowControl/>
              <w:jc w:val="center"/>
              <w:rPr>
                <w:rFonts w:ascii="仿宋" w:hAnsi="仿宋" w:eastAsia="仿宋" w:cs="仿宋"/>
                <w:kern w:val="0"/>
                <w:sz w:val="18"/>
                <w:szCs w:val="18"/>
              </w:rPr>
            </w:pPr>
            <w:r>
              <w:rPr>
                <w:rFonts w:hint="eastAsia" w:ascii="仿宋" w:hAnsi="仿宋" w:eastAsia="仿宋" w:cs="仿宋"/>
                <w:kern w:val="0"/>
                <w:sz w:val="18"/>
                <w:szCs w:val="18"/>
              </w:rPr>
              <w:t>新增评估</w:t>
            </w:r>
          </w:p>
        </w:tc>
        <w:tc>
          <w:tcPr>
            <w:tcW w:w="2465" w:type="pct"/>
            <w:tcBorders>
              <w:tl2br w:val="nil"/>
              <w:tr2bl w:val="nil"/>
            </w:tcBorders>
            <w:shd w:val="clear" w:color="auto" w:fill="auto"/>
          </w:tcPr>
          <w:p w14:paraId="2F2E1861">
            <w:pPr>
              <w:widowControl/>
              <w:rPr>
                <w:rFonts w:ascii="仿宋" w:hAnsi="仿宋" w:eastAsia="仿宋" w:cs="仿宋"/>
                <w:kern w:val="0"/>
                <w:sz w:val="18"/>
                <w:szCs w:val="18"/>
              </w:rPr>
            </w:pPr>
            <w:r>
              <w:rPr>
                <w:rFonts w:hint="eastAsia" w:ascii="仿宋" w:hAnsi="仿宋" w:eastAsia="仿宋" w:cs="仿宋"/>
                <w:kern w:val="0"/>
                <w:sz w:val="18"/>
                <w:szCs w:val="18"/>
              </w:rPr>
              <w:t>支持对签约中的老年人进行周期或临时评估。</w:t>
            </w:r>
          </w:p>
        </w:tc>
      </w:tr>
      <w:tr w14:paraId="68833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5281E1C0">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5BB9C19">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3861D3AB">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64CB0D45">
            <w:pPr>
              <w:widowControl/>
              <w:jc w:val="center"/>
              <w:rPr>
                <w:rFonts w:ascii="仿宋" w:hAnsi="仿宋" w:eastAsia="仿宋" w:cs="仿宋"/>
                <w:kern w:val="0"/>
                <w:sz w:val="18"/>
                <w:szCs w:val="18"/>
              </w:rPr>
            </w:pPr>
            <w:r>
              <w:rPr>
                <w:rFonts w:hint="eastAsia" w:ascii="仿宋" w:hAnsi="仿宋" w:eastAsia="仿宋" w:cs="仿宋"/>
                <w:kern w:val="0"/>
                <w:sz w:val="18"/>
                <w:szCs w:val="18"/>
              </w:rPr>
              <w:t>评估记录</w:t>
            </w:r>
          </w:p>
        </w:tc>
        <w:tc>
          <w:tcPr>
            <w:tcW w:w="2465" w:type="pct"/>
            <w:tcBorders>
              <w:tl2br w:val="nil"/>
              <w:tr2bl w:val="nil"/>
            </w:tcBorders>
            <w:shd w:val="clear" w:color="auto" w:fill="auto"/>
          </w:tcPr>
          <w:p w14:paraId="62FD3003">
            <w:pPr>
              <w:widowControl/>
              <w:rPr>
                <w:rFonts w:ascii="仿宋" w:hAnsi="仿宋" w:eastAsia="仿宋" w:cs="仿宋"/>
                <w:kern w:val="0"/>
                <w:sz w:val="18"/>
                <w:szCs w:val="18"/>
              </w:rPr>
            </w:pPr>
            <w:r>
              <w:rPr>
                <w:rFonts w:hint="eastAsia" w:ascii="仿宋" w:hAnsi="仿宋" w:eastAsia="仿宋" w:cs="仿宋"/>
                <w:kern w:val="0"/>
                <w:sz w:val="18"/>
                <w:szCs w:val="18"/>
              </w:rPr>
              <w:t>支持查看家床评估记录及详情。</w:t>
            </w:r>
          </w:p>
        </w:tc>
      </w:tr>
      <w:tr w14:paraId="5D4E0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26" w:type="pct"/>
            <w:vMerge w:val="continue"/>
            <w:tcBorders>
              <w:tl2br w:val="nil"/>
              <w:tr2bl w:val="nil"/>
            </w:tcBorders>
            <w:vAlign w:val="center"/>
          </w:tcPr>
          <w:p w14:paraId="308A84A1">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9C4BB3B">
            <w:pPr>
              <w:widowControl/>
              <w:jc w:val="left"/>
              <w:rPr>
                <w:rFonts w:ascii="仿宋" w:hAnsi="仿宋" w:eastAsia="仿宋" w:cs="仿宋"/>
                <w:kern w:val="0"/>
                <w:sz w:val="18"/>
                <w:szCs w:val="18"/>
              </w:rPr>
            </w:pPr>
          </w:p>
        </w:tc>
        <w:tc>
          <w:tcPr>
            <w:tcW w:w="626" w:type="pct"/>
            <w:vMerge w:val="restart"/>
            <w:tcBorders>
              <w:tl2br w:val="nil"/>
              <w:tr2bl w:val="nil"/>
            </w:tcBorders>
            <w:shd w:val="clear" w:color="auto" w:fill="auto"/>
            <w:noWrap/>
            <w:vAlign w:val="center"/>
          </w:tcPr>
          <w:p w14:paraId="41908996">
            <w:pPr>
              <w:widowControl/>
              <w:jc w:val="center"/>
              <w:rPr>
                <w:rFonts w:ascii="仿宋" w:hAnsi="仿宋" w:eastAsia="仿宋" w:cs="仿宋"/>
                <w:kern w:val="0"/>
                <w:sz w:val="18"/>
                <w:szCs w:val="18"/>
              </w:rPr>
            </w:pPr>
            <w:r>
              <w:rPr>
                <w:rFonts w:hint="eastAsia" w:ascii="仿宋" w:hAnsi="仿宋" w:eastAsia="仿宋" w:cs="仿宋"/>
                <w:kern w:val="0"/>
                <w:sz w:val="18"/>
                <w:szCs w:val="18"/>
              </w:rPr>
              <w:t>家床改造</w:t>
            </w:r>
          </w:p>
        </w:tc>
        <w:tc>
          <w:tcPr>
            <w:tcW w:w="621" w:type="pct"/>
            <w:tcBorders>
              <w:tl2br w:val="nil"/>
              <w:tr2bl w:val="nil"/>
            </w:tcBorders>
            <w:shd w:val="clear" w:color="auto" w:fill="auto"/>
            <w:noWrap/>
            <w:vAlign w:val="center"/>
          </w:tcPr>
          <w:p w14:paraId="0D6CCB85">
            <w:pPr>
              <w:widowControl/>
              <w:jc w:val="center"/>
              <w:rPr>
                <w:rFonts w:ascii="仿宋" w:hAnsi="仿宋" w:eastAsia="仿宋" w:cs="仿宋"/>
                <w:kern w:val="0"/>
                <w:sz w:val="18"/>
                <w:szCs w:val="18"/>
              </w:rPr>
            </w:pPr>
            <w:r>
              <w:rPr>
                <w:rFonts w:hint="eastAsia" w:ascii="仿宋" w:hAnsi="仿宋" w:eastAsia="仿宋" w:cs="仿宋"/>
                <w:kern w:val="0"/>
                <w:sz w:val="18"/>
                <w:szCs w:val="18"/>
              </w:rPr>
              <w:t>家床改造派工</w:t>
            </w:r>
          </w:p>
        </w:tc>
        <w:tc>
          <w:tcPr>
            <w:tcW w:w="2465" w:type="pct"/>
            <w:tcBorders>
              <w:tl2br w:val="nil"/>
              <w:tr2bl w:val="nil"/>
            </w:tcBorders>
            <w:shd w:val="clear" w:color="auto" w:fill="auto"/>
          </w:tcPr>
          <w:p w14:paraId="1EC6E4DE">
            <w:pPr>
              <w:widowControl/>
              <w:rPr>
                <w:rFonts w:ascii="仿宋" w:hAnsi="仿宋" w:eastAsia="仿宋" w:cs="仿宋"/>
                <w:kern w:val="0"/>
                <w:sz w:val="18"/>
                <w:szCs w:val="18"/>
              </w:rPr>
            </w:pPr>
            <w:r>
              <w:rPr>
                <w:rFonts w:hint="eastAsia" w:ascii="仿宋" w:hAnsi="仿宋" w:eastAsia="仿宋" w:cs="仿宋"/>
                <w:kern w:val="0"/>
                <w:sz w:val="18"/>
                <w:szCs w:val="18"/>
              </w:rPr>
              <w:t>按改造项目进行人员派工，派工后在小程序上进行改造。</w:t>
            </w:r>
          </w:p>
        </w:tc>
      </w:tr>
      <w:tr w14:paraId="14E7B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3A2690DF">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75EC1C9">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45480B21">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54D1723B">
            <w:pPr>
              <w:widowControl/>
              <w:jc w:val="center"/>
              <w:rPr>
                <w:rFonts w:ascii="仿宋" w:hAnsi="仿宋" w:eastAsia="仿宋" w:cs="仿宋"/>
                <w:kern w:val="0"/>
                <w:sz w:val="18"/>
                <w:szCs w:val="18"/>
              </w:rPr>
            </w:pPr>
            <w:r>
              <w:rPr>
                <w:rFonts w:hint="eastAsia" w:ascii="仿宋" w:hAnsi="仿宋" w:eastAsia="仿宋" w:cs="仿宋"/>
                <w:kern w:val="0"/>
                <w:sz w:val="18"/>
                <w:szCs w:val="18"/>
              </w:rPr>
              <w:t>家床改造记录</w:t>
            </w:r>
          </w:p>
        </w:tc>
        <w:tc>
          <w:tcPr>
            <w:tcW w:w="2465" w:type="pct"/>
            <w:tcBorders>
              <w:tl2br w:val="nil"/>
              <w:tr2bl w:val="nil"/>
            </w:tcBorders>
            <w:shd w:val="clear" w:color="auto" w:fill="auto"/>
          </w:tcPr>
          <w:p w14:paraId="3C23B71C">
            <w:pPr>
              <w:widowControl/>
              <w:rPr>
                <w:rFonts w:ascii="仿宋" w:hAnsi="仿宋" w:eastAsia="仿宋" w:cs="仿宋"/>
                <w:kern w:val="0"/>
                <w:sz w:val="18"/>
                <w:szCs w:val="18"/>
              </w:rPr>
            </w:pPr>
            <w:r>
              <w:rPr>
                <w:rFonts w:hint="eastAsia" w:ascii="仿宋" w:hAnsi="仿宋" w:eastAsia="仿宋" w:cs="仿宋"/>
                <w:kern w:val="0"/>
                <w:sz w:val="18"/>
                <w:szCs w:val="18"/>
              </w:rPr>
              <w:t>支持查看家床改造记录及详情。</w:t>
            </w:r>
          </w:p>
        </w:tc>
      </w:tr>
      <w:tr w14:paraId="2DDA0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1B152768">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2FBA73C">
            <w:pPr>
              <w:widowControl/>
              <w:jc w:val="left"/>
              <w:rPr>
                <w:rFonts w:ascii="仿宋" w:hAnsi="仿宋" w:eastAsia="仿宋" w:cs="仿宋"/>
                <w:kern w:val="0"/>
                <w:sz w:val="18"/>
                <w:szCs w:val="18"/>
              </w:rPr>
            </w:pPr>
          </w:p>
        </w:tc>
        <w:tc>
          <w:tcPr>
            <w:tcW w:w="626" w:type="pct"/>
            <w:vMerge w:val="restart"/>
            <w:tcBorders>
              <w:tl2br w:val="nil"/>
              <w:tr2bl w:val="nil"/>
            </w:tcBorders>
            <w:shd w:val="clear" w:color="auto" w:fill="auto"/>
            <w:noWrap/>
            <w:vAlign w:val="center"/>
          </w:tcPr>
          <w:p w14:paraId="5FE77558">
            <w:pPr>
              <w:widowControl/>
              <w:jc w:val="center"/>
              <w:rPr>
                <w:rFonts w:ascii="仿宋" w:hAnsi="仿宋" w:eastAsia="仿宋" w:cs="仿宋"/>
                <w:kern w:val="0"/>
                <w:sz w:val="18"/>
                <w:szCs w:val="18"/>
              </w:rPr>
            </w:pPr>
            <w:r>
              <w:rPr>
                <w:rFonts w:hint="eastAsia" w:ascii="仿宋" w:hAnsi="仿宋" w:eastAsia="仿宋" w:cs="仿宋"/>
                <w:kern w:val="0"/>
                <w:sz w:val="18"/>
                <w:szCs w:val="18"/>
              </w:rPr>
              <w:t>家床服务订单</w:t>
            </w:r>
          </w:p>
        </w:tc>
        <w:tc>
          <w:tcPr>
            <w:tcW w:w="621" w:type="pct"/>
            <w:tcBorders>
              <w:tl2br w:val="nil"/>
              <w:tr2bl w:val="nil"/>
            </w:tcBorders>
            <w:shd w:val="clear" w:color="auto" w:fill="auto"/>
            <w:noWrap/>
            <w:vAlign w:val="center"/>
          </w:tcPr>
          <w:p w14:paraId="0719687A">
            <w:pPr>
              <w:widowControl/>
              <w:jc w:val="center"/>
              <w:rPr>
                <w:rFonts w:ascii="仿宋" w:hAnsi="仿宋" w:eastAsia="仿宋" w:cs="仿宋"/>
                <w:kern w:val="0"/>
                <w:sz w:val="18"/>
                <w:szCs w:val="18"/>
              </w:rPr>
            </w:pPr>
            <w:r>
              <w:rPr>
                <w:rFonts w:hint="eastAsia" w:ascii="仿宋" w:hAnsi="仿宋" w:eastAsia="仿宋" w:cs="仿宋"/>
                <w:kern w:val="0"/>
                <w:sz w:val="18"/>
                <w:szCs w:val="18"/>
              </w:rPr>
              <w:t>订单列表</w:t>
            </w:r>
          </w:p>
        </w:tc>
        <w:tc>
          <w:tcPr>
            <w:tcW w:w="2465" w:type="pct"/>
            <w:tcBorders>
              <w:tl2br w:val="nil"/>
              <w:tr2bl w:val="nil"/>
            </w:tcBorders>
            <w:shd w:val="clear" w:color="auto" w:fill="auto"/>
          </w:tcPr>
          <w:p w14:paraId="5FAD6EF5">
            <w:pPr>
              <w:widowControl/>
              <w:rPr>
                <w:rFonts w:ascii="仿宋" w:hAnsi="仿宋" w:eastAsia="仿宋" w:cs="仿宋"/>
                <w:kern w:val="0"/>
                <w:sz w:val="18"/>
                <w:szCs w:val="18"/>
              </w:rPr>
            </w:pPr>
            <w:r>
              <w:rPr>
                <w:rFonts w:hint="eastAsia" w:ascii="仿宋" w:hAnsi="仿宋" w:eastAsia="仿宋" w:cs="仿宋"/>
                <w:kern w:val="0"/>
                <w:sz w:val="18"/>
                <w:szCs w:val="18"/>
              </w:rPr>
              <w:t>支持查看全部家床订单。</w:t>
            </w:r>
          </w:p>
        </w:tc>
      </w:tr>
      <w:tr w14:paraId="26351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30EDC135">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828366B">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01FC5CC0">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229DA6EE">
            <w:pPr>
              <w:widowControl/>
              <w:jc w:val="center"/>
              <w:rPr>
                <w:rFonts w:ascii="仿宋" w:hAnsi="仿宋" w:eastAsia="仿宋" w:cs="仿宋"/>
                <w:kern w:val="0"/>
                <w:sz w:val="18"/>
                <w:szCs w:val="18"/>
              </w:rPr>
            </w:pPr>
            <w:r>
              <w:rPr>
                <w:rFonts w:hint="eastAsia" w:ascii="仿宋" w:hAnsi="仿宋" w:eastAsia="仿宋" w:cs="仿宋"/>
                <w:kern w:val="0"/>
                <w:sz w:val="18"/>
                <w:szCs w:val="18"/>
              </w:rPr>
              <w:t>新增服务订单</w:t>
            </w:r>
          </w:p>
        </w:tc>
        <w:tc>
          <w:tcPr>
            <w:tcW w:w="2465" w:type="pct"/>
            <w:tcBorders>
              <w:tl2br w:val="nil"/>
              <w:tr2bl w:val="nil"/>
            </w:tcBorders>
            <w:shd w:val="clear" w:color="auto" w:fill="auto"/>
          </w:tcPr>
          <w:p w14:paraId="1124B6F7">
            <w:pPr>
              <w:widowControl/>
              <w:rPr>
                <w:rFonts w:ascii="仿宋" w:hAnsi="仿宋" w:eastAsia="仿宋" w:cs="仿宋"/>
                <w:kern w:val="0"/>
                <w:sz w:val="18"/>
                <w:szCs w:val="18"/>
              </w:rPr>
            </w:pPr>
            <w:r>
              <w:rPr>
                <w:rFonts w:hint="eastAsia" w:ascii="仿宋" w:hAnsi="仿宋" w:eastAsia="仿宋" w:cs="仿宋"/>
                <w:kern w:val="0"/>
                <w:sz w:val="18"/>
                <w:szCs w:val="18"/>
              </w:rPr>
              <w:t>只能代下单家床服务，仅限当前签约家床并生效中的老年人。</w:t>
            </w:r>
          </w:p>
        </w:tc>
      </w:tr>
      <w:tr w14:paraId="0D0C4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626" w:type="pct"/>
            <w:vMerge w:val="continue"/>
            <w:tcBorders>
              <w:tl2br w:val="nil"/>
              <w:tr2bl w:val="nil"/>
            </w:tcBorders>
            <w:vAlign w:val="center"/>
          </w:tcPr>
          <w:p w14:paraId="46B5DD31">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31E8246">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24C6C062">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0CF48CE2">
            <w:pPr>
              <w:widowControl/>
              <w:jc w:val="center"/>
              <w:rPr>
                <w:rFonts w:ascii="仿宋" w:hAnsi="仿宋" w:eastAsia="仿宋" w:cs="仿宋"/>
                <w:kern w:val="0"/>
                <w:sz w:val="18"/>
                <w:szCs w:val="18"/>
              </w:rPr>
            </w:pPr>
            <w:r>
              <w:rPr>
                <w:rFonts w:hint="eastAsia" w:ascii="仿宋" w:hAnsi="仿宋" w:eastAsia="仿宋" w:cs="仿宋"/>
                <w:kern w:val="0"/>
                <w:sz w:val="18"/>
                <w:szCs w:val="18"/>
              </w:rPr>
              <w:t>服务派工/改派</w:t>
            </w:r>
          </w:p>
        </w:tc>
        <w:tc>
          <w:tcPr>
            <w:tcW w:w="2465" w:type="pct"/>
            <w:tcBorders>
              <w:tl2br w:val="nil"/>
              <w:tr2bl w:val="nil"/>
            </w:tcBorders>
            <w:shd w:val="clear" w:color="auto" w:fill="auto"/>
          </w:tcPr>
          <w:p w14:paraId="7511FEA9">
            <w:pPr>
              <w:widowControl/>
              <w:rPr>
                <w:rFonts w:ascii="仿宋" w:hAnsi="仿宋" w:eastAsia="仿宋" w:cs="仿宋"/>
                <w:kern w:val="0"/>
                <w:sz w:val="18"/>
                <w:szCs w:val="18"/>
              </w:rPr>
            </w:pPr>
            <w:r>
              <w:rPr>
                <w:rFonts w:hint="eastAsia" w:ascii="仿宋" w:hAnsi="仿宋" w:eastAsia="仿宋" w:cs="仿宋"/>
                <w:kern w:val="0"/>
                <w:sz w:val="18"/>
                <w:szCs w:val="18"/>
              </w:rPr>
              <w:t>支持对家床服务单进行人员派工，待服务的订单可改派。</w:t>
            </w:r>
          </w:p>
        </w:tc>
      </w:tr>
      <w:tr w14:paraId="3B2C3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26" w:type="pct"/>
            <w:vMerge w:val="continue"/>
            <w:tcBorders>
              <w:tl2br w:val="nil"/>
              <w:tr2bl w:val="nil"/>
            </w:tcBorders>
            <w:vAlign w:val="center"/>
          </w:tcPr>
          <w:p w14:paraId="4EA3FBBA">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055E8C7">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635C3A3B">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12948E7F">
            <w:pPr>
              <w:widowControl/>
              <w:jc w:val="center"/>
              <w:rPr>
                <w:rFonts w:ascii="仿宋" w:hAnsi="仿宋" w:eastAsia="仿宋" w:cs="仿宋"/>
                <w:kern w:val="0"/>
                <w:sz w:val="18"/>
                <w:szCs w:val="18"/>
              </w:rPr>
            </w:pPr>
            <w:r>
              <w:rPr>
                <w:rFonts w:hint="eastAsia" w:ascii="仿宋" w:hAnsi="仿宋" w:eastAsia="仿宋" w:cs="仿宋"/>
                <w:kern w:val="0"/>
                <w:sz w:val="18"/>
                <w:szCs w:val="18"/>
              </w:rPr>
              <w:t>服务单</w:t>
            </w:r>
          </w:p>
          <w:p w14:paraId="528829ED">
            <w:pPr>
              <w:widowControl/>
              <w:jc w:val="center"/>
              <w:rPr>
                <w:rFonts w:ascii="仿宋" w:hAnsi="仿宋" w:eastAsia="仿宋" w:cs="仿宋"/>
                <w:kern w:val="0"/>
                <w:sz w:val="18"/>
                <w:szCs w:val="18"/>
              </w:rPr>
            </w:pPr>
            <w:r>
              <w:rPr>
                <w:rFonts w:hint="eastAsia" w:ascii="仿宋" w:hAnsi="仿宋" w:eastAsia="仿宋" w:cs="仿宋"/>
                <w:kern w:val="0"/>
                <w:sz w:val="18"/>
                <w:szCs w:val="18"/>
              </w:rPr>
              <w:t>补录</w:t>
            </w:r>
          </w:p>
        </w:tc>
        <w:tc>
          <w:tcPr>
            <w:tcW w:w="2465" w:type="pct"/>
            <w:tcBorders>
              <w:tl2br w:val="nil"/>
              <w:tr2bl w:val="nil"/>
            </w:tcBorders>
            <w:shd w:val="clear" w:color="auto" w:fill="auto"/>
          </w:tcPr>
          <w:p w14:paraId="239D13DD">
            <w:pPr>
              <w:widowControl/>
              <w:rPr>
                <w:rFonts w:ascii="仿宋" w:hAnsi="仿宋" w:eastAsia="仿宋" w:cs="仿宋"/>
                <w:kern w:val="0"/>
                <w:sz w:val="18"/>
                <w:szCs w:val="18"/>
              </w:rPr>
            </w:pPr>
            <w:r>
              <w:rPr>
                <w:rFonts w:hint="eastAsia" w:ascii="仿宋" w:hAnsi="仿宋" w:eastAsia="仿宋" w:cs="仿宋"/>
                <w:kern w:val="0"/>
                <w:sz w:val="18"/>
                <w:szCs w:val="18"/>
              </w:rPr>
              <w:t>支持对家床服务单进行补录。</w:t>
            </w:r>
          </w:p>
        </w:tc>
      </w:tr>
      <w:tr w14:paraId="11D9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26" w:type="pct"/>
            <w:vMerge w:val="continue"/>
            <w:tcBorders>
              <w:tl2br w:val="nil"/>
              <w:tr2bl w:val="nil"/>
            </w:tcBorders>
            <w:vAlign w:val="center"/>
          </w:tcPr>
          <w:p w14:paraId="6DA6AE9D">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42268F6">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2ED894A3">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7AECDEF0">
            <w:pPr>
              <w:widowControl/>
              <w:jc w:val="center"/>
              <w:rPr>
                <w:rFonts w:ascii="仿宋" w:hAnsi="仿宋" w:eastAsia="仿宋" w:cs="仿宋"/>
                <w:kern w:val="0"/>
                <w:sz w:val="18"/>
                <w:szCs w:val="18"/>
              </w:rPr>
            </w:pPr>
            <w:r>
              <w:rPr>
                <w:rFonts w:hint="eastAsia" w:ascii="仿宋" w:hAnsi="仿宋" w:eastAsia="仿宋" w:cs="仿宋"/>
                <w:kern w:val="0"/>
                <w:sz w:val="18"/>
                <w:szCs w:val="18"/>
              </w:rPr>
              <w:t>异常单</w:t>
            </w:r>
          </w:p>
          <w:p w14:paraId="0232DCEA">
            <w:pPr>
              <w:widowControl/>
              <w:jc w:val="center"/>
              <w:rPr>
                <w:rFonts w:ascii="仿宋" w:hAnsi="仿宋" w:eastAsia="仿宋" w:cs="仿宋"/>
                <w:kern w:val="0"/>
                <w:sz w:val="18"/>
                <w:szCs w:val="18"/>
              </w:rPr>
            </w:pPr>
            <w:r>
              <w:rPr>
                <w:rFonts w:hint="eastAsia" w:ascii="仿宋" w:hAnsi="仿宋" w:eastAsia="仿宋" w:cs="仿宋"/>
                <w:kern w:val="0"/>
                <w:sz w:val="18"/>
                <w:szCs w:val="18"/>
              </w:rPr>
              <w:t>审核</w:t>
            </w:r>
          </w:p>
        </w:tc>
        <w:tc>
          <w:tcPr>
            <w:tcW w:w="2465" w:type="pct"/>
            <w:tcBorders>
              <w:tl2br w:val="nil"/>
              <w:tr2bl w:val="nil"/>
            </w:tcBorders>
            <w:shd w:val="clear" w:color="auto" w:fill="auto"/>
          </w:tcPr>
          <w:p w14:paraId="6F425128">
            <w:pPr>
              <w:widowControl/>
              <w:rPr>
                <w:rFonts w:ascii="仿宋" w:hAnsi="仿宋" w:eastAsia="仿宋" w:cs="仿宋"/>
                <w:kern w:val="0"/>
                <w:sz w:val="18"/>
                <w:szCs w:val="18"/>
              </w:rPr>
            </w:pPr>
            <w:r>
              <w:rPr>
                <w:rFonts w:hint="eastAsia" w:ascii="仿宋" w:hAnsi="仿宋" w:eastAsia="仿宋" w:cs="仿宋"/>
                <w:kern w:val="0"/>
                <w:sz w:val="18"/>
                <w:szCs w:val="18"/>
              </w:rPr>
              <w:t>未按正常服务产生异常单进行异常问题处理。</w:t>
            </w:r>
          </w:p>
        </w:tc>
      </w:tr>
      <w:tr w14:paraId="7AF0E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26" w:type="pct"/>
            <w:vMerge w:val="continue"/>
            <w:tcBorders>
              <w:tl2br w:val="nil"/>
              <w:tr2bl w:val="nil"/>
            </w:tcBorders>
            <w:vAlign w:val="center"/>
          </w:tcPr>
          <w:p w14:paraId="64BE7C03">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70987A3">
            <w:pPr>
              <w:widowControl/>
              <w:jc w:val="left"/>
              <w:rPr>
                <w:rFonts w:ascii="仿宋" w:hAnsi="仿宋" w:eastAsia="仿宋" w:cs="仿宋"/>
                <w:kern w:val="0"/>
                <w:sz w:val="18"/>
                <w:szCs w:val="18"/>
              </w:rPr>
            </w:pPr>
          </w:p>
        </w:tc>
        <w:tc>
          <w:tcPr>
            <w:tcW w:w="626" w:type="pct"/>
            <w:vMerge w:val="restart"/>
            <w:tcBorders>
              <w:tl2br w:val="nil"/>
              <w:tr2bl w:val="nil"/>
            </w:tcBorders>
            <w:shd w:val="clear" w:color="auto" w:fill="auto"/>
            <w:noWrap/>
            <w:vAlign w:val="center"/>
          </w:tcPr>
          <w:p w14:paraId="6635120D">
            <w:pPr>
              <w:widowControl/>
              <w:jc w:val="center"/>
              <w:rPr>
                <w:rFonts w:ascii="仿宋" w:hAnsi="仿宋" w:eastAsia="仿宋" w:cs="仿宋"/>
                <w:kern w:val="0"/>
                <w:sz w:val="18"/>
                <w:szCs w:val="18"/>
              </w:rPr>
            </w:pPr>
            <w:r>
              <w:rPr>
                <w:rFonts w:hint="eastAsia" w:ascii="仿宋" w:hAnsi="仿宋" w:eastAsia="仿宋" w:cs="仿宋"/>
                <w:kern w:val="0"/>
                <w:sz w:val="18"/>
                <w:szCs w:val="18"/>
              </w:rPr>
              <w:t>家床业务配置</w:t>
            </w:r>
          </w:p>
        </w:tc>
        <w:tc>
          <w:tcPr>
            <w:tcW w:w="621" w:type="pct"/>
            <w:tcBorders>
              <w:tl2br w:val="nil"/>
              <w:tr2bl w:val="nil"/>
            </w:tcBorders>
            <w:shd w:val="clear" w:color="auto" w:fill="auto"/>
            <w:noWrap/>
            <w:vAlign w:val="center"/>
          </w:tcPr>
          <w:p w14:paraId="463944F7">
            <w:pPr>
              <w:widowControl/>
              <w:jc w:val="center"/>
              <w:rPr>
                <w:rFonts w:ascii="仿宋" w:hAnsi="仿宋" w:eastAsia="仿宋" w:cs="仿宋"/>
                <w:kern w:val="0"/>
                <w:sz w:val="18"/>
                <w:szCs w:val="18"/>
              </w:rPr>
            </w:pPr>
            <w:r>
              <w:rPr>
                <w:rFonts w:hint="eastAsia" w:ascii="仿宋" w:hAnsi="仿宋" w:eastAsia="仿宋" w:cs="仿宋"/>
                <w:kern w:val="0"/>
                <w:sz w:val="18"/>
                <w:szCs w:val="18"/>
              </w:rPr>
              <w:t>改造项目配置</w:t>
            </w:r>
          </w:p>
        </w:tc>
        <w:tc>
          <w:tcPr>
            <w:tcW w:w="2465" w:type="pct"/>
            <w:tcBorders>
              <w:tl2br w:val="nil"/>
              <w:tr2bl w:val="nil"/>
            </w:tcBorders>
            <w:shd w:val="clear" w:color="auto" w:fill="auto"/>
          </w:tcPr>
          <w:p w14:paraId="4791AC54">
            <w:pPr>
              <w:widowControl/>
              <w:rPr>
                <w:rFonts w:ascii="仿宋" w:hAnsi="仿宋" w:eastAsia="仿宋" w:cs="仿宋"/>
                <w:kern w:val="0"/>
                <w:sz w:val="18"/>
                <w:szCs w:val="18"/>
              </w:rPr>
            </w:pPr>
            <w:r>
              <w:rPr>
                <w:rFonts w:hint="eastAsia" w:ascii="仿宋" w:hAnsi="仿宋" w:eastAsia="仿宋" w:cs="仿宋"/>
                <w:kern w:val="0"/>
                <w:sz w:val="18"/>
                <w:szCs w:val="18"/>
              </w:rPr>
              <w:t>改造项目配置，用于签约时选择，加图。</w:t>
            </w:r>
          </w:p>
        </w:tc>
      </w:tr>
      <w:tr w14:paraId="2BA3E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26" w:type="pct"/>
            <w:vMerge w:val="continue"/>
            <w:tcBorders>
              <w:tl2br w:val="nil"/>
              <w:tr2bl w:val="nil"/>
            </w:tcBorders>
            <w:vAlign w:val="center"/>
          </w:tcPr>
          <w:p w14:paraId="3AD03E93">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F4AA3F2">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03943D4F">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50CBFCC9">
            <w:pPr>
              <w:widowControl/>
              <w:jc w:val="center"/>
              <w:rPr>
                <w:rFonts w:ascii="仿宋" w:hAnsi="仿宋" w:eastAsia="仿宋" w:cs="仿宋"/>
                <w:kern w:val="0"/>
                <w:sz w:val="18"/>
                <w:szCs w:val="18"/>
              </w:rPr>
            </w:pPr>
            <w:r>
              <w:rPr>
                <w:rFonts w:hint="eastAsia" w:ascii="仿宋" w:hAnsi="仿宋" w:eastAsia="仿宋" w:cs="仿宋"/>
                <w:kern w:val="0"/>
                <w:sz w:val="18"/>
                <w:szCs w:val="18"/>
              </w:rPr>
              <w:t>补贴配置</w:t>
            </w:r>
          </w:p>
        </w:tc>
        <w:tc>
          <w:tcPr>
            <w:tcW w:w="2465" w:type="pct"/>
            <w:tcBorders>
              <w:tl2br w:val="nil"/>
              <w:tr2bl w:val="nil"/>
            </w:tcBorders>
            <w:shd w:val="clear" w:color="auto" w:fill="auto"/>
          </w:tcPr>
          <w:p w14:paraId="0C65C260">
            <w:pPr>
              <w:widowControl/>
              <w:rPr>
                <w:rFonts w:ascii="仿宋" w:hAnsi="仿宋" w:eastAsia="仿宋" w:cs="仿宋"/>
                <w:kern w:val="0"/>
                <w:sz w:val="18"/>
                <w:szCs w:val="18"/>
              </w:rPr>
            </w:pPr>
            <w:r>
              <w:rPr>
                <w:rFonts w:hint="eastAsia" w:ascii="仿宋" w:hAnsi="仿宋" w:eastAsia="仿宋" w:cs="仿宋"/>
                <w:kern w:val="0"/>
                <w:sz w:val="18"/>
                <w:szCs w:val="18"/>
              </w:rPr>
              <w:t>补贴配置，运营配置，按区划配置。</w:t>
            </w:r>
          </w:p>
        </w:tc>
      </w:tr>
      <w:tr w14:paraId="4576C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26" w:type="pct"/>
            <w:vMerge w:val="continue"/>
            <w:tcBorders>
              <w:tl2br w:val="nil"/>
              <w:tr2bl w:val="nil"/>
            </w:tcBorders>
            <w:vAlign w:val="center"/>
          </w:tcPr>
          <w:p w14:paraId="10BB2E4B">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57582A83">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27956FDF">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0920A015">
            <w:pPr>
              <w:widowControl/>
              <w:jc w:val="center"/>
              <w:rPr>
                <w:rFonts w:ascii="仿宋" w:hAnsi="仿宋" w:eastAsia="仿宋" w:cs="仿宋"/>
                <w:kern w:val="0"/>
                <w:sz w:val="18"/>
                <w:szCs w:val="18"/>
              </w:rPr>
            </w:pPr>
            <w:r>
              <w:rPr>
                <w:rFonts w:hint="eastAsia" w:ascii="仿宋" w:hAnsi="仿宋" w:eastAsia="仿宋" w:cs="仿宋"/>
                <w:kern w:val="0"/>
                <w:sz w:val="18"/>
                <w:szCs w:val="18"/>
              </w:rPr>
              <w:t>服务项目配置</w:t>
            </w:r>
          </w:p>
        </w:tc>
        <w:tc>
          <w:tcPr>
            <w:tcW w:w="2465" w:type="pct"/>
            <w:tcBorders>
              <w:tl2br w:val="nil"/>
              <w:tr2bl w:val="nil"/>
            </w:tcBorders>
            <w:shd w:val="clear" w:color="auto" w:fill="auto"/>
          </w:tcPr>
          <w:p w14:paraId="77B3F3C2">
            <w:pPr>
              <w:widowControl/>
              <w:rPr>
                <w:rFonts w:ascii="仿宋" w:hAnsi="仿宋" w:eastAsia="仿宋" w:cs="仿宋"/>
                <w:kern w:val="0"/>
                <w:sz w:val="18"/>
                <w:szCs w:val="18"/>
              </w:rPr>
            </w:pPr>
            <w:r>
              <w:rPr>
                <w:rFonts w:hint="eastAsia" w:ascii="仿宋" w:hAnsi="仿宋" w:eastAsia="仿宋" w:cs="仿宋"/>
                <w:kern w:val="0"/>
                <w:sz w:val="18"/>
                <w:szCs w:val="18"/>
              </w:rPr>
              <w:t>家床服务配置。</w:t>
            </w:r>
          </w:p>
        </w:tc>
      </w:tr>
      <w:tr w14:paraId="28950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26" w:type="pct"/>
            <w:vMerge w:val="continue"/>
            <w:tcBorders>
              <w:tl2br w:val="nil"/>
              <w:tr2bl w:val="nil"/>
            </w:tcBorders>
            <w:vAlign w:val="center"/>
          </w:tcPr>
          <w:p w14:paraId="29A12435">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3C1286D">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77F35628">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576DA93D">
            <w:pPr>
              <w:widowControl/>
              <w:jc w:val="center"/>
              <w:rPr>
                <w:rFonts w:ascii="仿宋" w:hAnsi="仿宋" w:eastAsia="仿宋" w:cs="仿宋"/>
                <w:kern w:val="0"/>
                <w:sz w:val="18"/>
                <w:szCs w:val="18"/>
              </w:rPr>
            </w:pPr>
            <w:r>
              <w:rPr>
                <w:rFonts w:hint="eastAsia" w:ascii="仿宋" w:hAnsi="仿宋" w:eastAsia="仿宋" w:cs="仿宋"/>
                <w:kern w:val="0"/>
                <w:sz w:val="18"/>
                <w:szCs w:val="18"/>
              </w:rPr>
              <w:t>评估量表管理</w:t>
            </w:r>
          </w:p>
        </w:tc>
        <w:tc>
          <w:tcPr>
            <w:tcW w:w="2465" w:type="pct"/>
            <w:tcBorders>
              <w:tl2br w:val="nil"/>
              <w:tr2bl w:val="nil"/>
            </w:tcBorders>
            <w:shd w:val="clear" w:color="auto" w:fill="auto"/>
          </w:tcPr>
          <w:p w14:paraId="536DE2D0">
            <w:pPr>
              <w:widowControl/>
              <w:rPr>
                <w:rFonts w:ascii="仿宋" w:hAnsi="仿宋" w:eastAsia="仿宋" w:cs="仿宋"/>
                <w:kern w:val="0"/>
                <w:sz w:val="18"/>
                <w:szCs w:val="18"/>
              </w:rPr>
            </w:pPr>
            <w:r>
              <w:rPr>
                <w:rFonts w:hint="eastAsia" w:ascii="仿宋" w:hAnsi="仿宋" w:eastAsia="仿宋" w:cs="仿宋"/>
                <w:kern w:val="0"/>
                <w:sz w:val="18"/>
                <w:szCs w:val="18"/>
              </w:rPr>
              <w:t>评估量表、评估等级管理。</w:t>
            </w:r>
          </w:p>
        </w:tc>
      </w:tr>
      <w:tr w14:paraId="30399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26" w:type="pct"/>
            <w:vMerge w:val="continue"/>
            <w:tcBorders>
              <w:tl2br w:val="nil"/>
              <w:tr2bl w:val="nil"/>
            </w:tcBorders>
            <w:vAlign w:val="center"/>
          </w:tcPr>
          <w:p w14:paraId="4577F1F7">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04CEF24">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495DC681">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22073A01">
            <w:pPr>
              <w:widowControl/>
              <w:jc w:val="center"/>
              <w:rPr>
                <w:rFonts w:ascii="仿宋" w:hAnsi="仿宋" w:eastAsia="仿宋" w:cs="仿宋"/>
                <w:kern w:val="0"/>
                <w:sz w:val="18"/>
                <w:szCs w:val="18"/>
              </w:rPr>
            </w:pPr>
            <w:r>
              <w:rPr>
                <w:rFonts w:hint="eastAsia" w:ascii="仿宋" w:hAnsi="仿宋" w:eastAsia="仿宋" w:cs="仿宋"/>
                <w:kern w:val="0"/>
                <w:sz w:val="18"/>
                <w:szCs w:val="18"/>
              </w:rPr>
              <w:t>家床业务配置</w:t>
            </w:r>
          </w:p>
        </w:tc>
        <w:tc>
          <w:tcPr>
            <w:tcW w:w="2465" w:type="pct"/>
            <w:tcBorders>
              <w:tl2br w:val="nil"/>
              <w:tr2bl w:val="nil"/>
            </w:tcBorders>
            <w:shd w:val="clear" w:color="auto" w:fill="auto"/>
          </w:tcPr>
          <w:p w14:paraId="1612184A">
            <w:pPr>
              <w:widowControl/>
              <w:rPr>
                <w:rFonts w:ascii="仿宋" w:hAnsi="仿宋" w:eastAsia="仿宋" w:cs="仿宋"/>
                <w:kern w:val="0"/>
                <w:sz w:val="18"/>
                <w:szCs w:val="18"/>
              </w:rPr>
            </w:pPr>
            <w:r>
              <w:rPr>
                <w:rFonts w:hint="eastAsia" w:ascii="仿宋" w:hAnsi="仿宋" w:eastAsia="仿宋" w:cs="仿宋"/>
                <w:kern w:val="0"/>
                <w:sz w:val="18"/>
                <w:szCs w:val="18"/>
              </w:rPr>
              <w:t>订单取消日期、合同到期提醒时间配置。</w:t>
            </w:r>
          </w:p>
        </w:tc>
      </w:tr>
      <w:tr w14:paraId="3C8F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26" w:type="pct"/>
            <w:vMerge w:val="continue"/>
            <w:tcBorders>
              <w:tl2br w:val="nil"/>
              <w:tr2bl w:val="nil"/>
            </w:tcBorders>
            <w:vAlign w:val="center"/>
          </w:tcPr>
          <w:p w14:paraId="2A03182E">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64FF554">
            <w:pPr>
              <w:widowControl/>
              <w:jc w:val="left"/>
              <w:rPr>
                <w:rFonts w:ascii="仿宋" w:hAnsi="仿宋" w:eastAsia="仿宋" w:cs="仿宋"/>
                <w:kern w:val="0"/>
                <w:sz w:val="18"/>
                <w:szCs w:val="18"/>
              </w:rPr>
            </w:pPr>
          </w:p>
        </w:tc>
        <w:tc>
          <w:tcPr>
            <w:tcW w:w="626" w:type="pct"/>
            <w:vMerge w:val="restart"/>
            <w:tcBorders>
              <w:tl2br w:val="nil"/>
              <w:tr2bl w:val="nil"/>
            </w:tcBorders>
            <w:shd w:val="clear" w:color="000000" w:fill="FFFFFF"/>
            <w:noWrap/>
            <w:vAlign w:val="center"/>
          </w:tcPr>
          <w:p w14:paraId="1C23C9C8">
            <w:pPr>
              <w:widowControl/>
              <w:jc w:val="center"/>
              <w:rPr>
                <w:rFonts w:ascii="仿宋" w:hAnsi="仿宋" w:eastAsia="仿宋" w:cs="仿宋"/>
                <w:kern w:val="0"/>
                <w:sz w:val="18"/>
                <w:szCs w:val="18"/>
              </w:rPr>
            </w:pPr>
            <w:r>
              <w:rPr>
                <w:rFonts w:hint="eastAsia" w:ascii="仿宋" w:hAnsi="仿宋" w:eastAsia="仿宋" w:cs="仿宋"/>
                <w:kern w:val="0"/>
                <w:sz w:val="18"/>
                <w:szCs w:val="18"/>
              </w:rPr>
              <w:t>家床业务报表</w:t>
            </w:r>
          </w:p>
        </w:tc>
        <w:tc>
          <w:tcPr>
            <w:tcW w:w="621" w:type="pct"/>
            <w:tcBorders>
              <w:tl2br w:val="nil"/>
              <w:tr2bl w:val="nil"/>
            </w:tcBorders>
            <w:shd w:val="clear" w:color="auto" w:fill="auto"/>
            <w:noWrap/>
            <w:vAlign w:val="center"/>
          </w:tcPr>
          <w:p w14:paraId="2F3BEF22">
            <w:pPr>
              <w:widowControl/>
              <w:jc w:val="center"/>
              <w:rPr>
                <w:rFonts w:ascii="仿宋" w:hAnsi="仿宋" w:eastAsia="仿宋" w:cs="仿宋"/>
                <w:kern w:val="0"/>
                <w:sz w:val="18"/>
                <w:szCs w:val="18"/>
              </w:rPr>
            </w:pPr>
            <w:r>
              <w:rPr>
                <w:rFonts w:hint="eastAsia" w:ascii="仿宋" w:hAnsi="仿宋" w:eastAsia="仿宋" w:cs="仿宋"/>
                <w:kern w:val="0"/>
                <w:sz w:val="18"/>
                <w:szCs w:val="18"/>
              </w:rPr>
              <w:t>政府结算报表</w:t>
            </w:r>
          </w:p>
        </w:tc>
        <w:tc>
          <w:tcPr>
            <w:tcW w:w="2465" w:type="pct"/>
            <w:tcBorders>
              <w:tl2br w:val="nil"/>
              <w:tr2bl w:val="nil"/>
            </w:tcBorders>
            <w:shd w:val="clear" w:color="auto" w:fill="auto"/>
            <w:noWrap/>
          </w:tcPr>
          <w:p w14:paraId="6B9436C9">
            <w:pPr>
              <w:widowControl/>
              <w:rPr>
                <w:rFonts w:ascii="仿宋" w:hAnsi="仿宋" w:eastAsia="仿宋" w:cs="仿宋"/>
                <w:kern w:val="0"/>
                <w:sz w:val="18"/>
                <w:szCs w:val="18"/>
              </w:rPr>
            </w:pPr>
            <w:r>
              <w:rPr>
                <w:rFonts w:hint="eastAsia" w:ascii="仿宋" w:hAnsi="仿宋" w:eastAsia="仿宋" w:cs="仿宋"/>
                <w:kern w:val="0"/>
                <w:sz w:val="18"/>
                <w:szCs w:val="18"/>
              </w:rPr>
              <w:t>提供政府结算报表。</w:t>
            </w:r>
          </w:p>
        </w:tc>
      </w:tr>
      <w:tr w14:paraId="6DC61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26" w:type="pct"/>
            <w:vMerge w:val="continue"/>
            <w:tcBorders>
              <w:tl2br w:val="nil"/>
              <w:tr2bl w:val="nil"/>
            </w:tcBorders>
            <w:vAlign w:val="center"/>
          </w:tcPr>
          <w:p w14:paraId="4139F50F">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3C99CDD">
            <w:pPr>
              <w:widowControl/>
              <w:jc w:val="left"/>
              <w:rPr>
                <w:rFonts w:ascii="仿宋" w:hAnsi="仿宋" w:eastAsia="仿宋" w:cs="仿宋"/>
                <w:kern w:val="0"/>
                <w:sz w:val="18"/>
                <w:szCs w:val="18"/>
              </w:rPr>
            </w:pPr>
          </w:p>
        </w:tc>
        <w:tc>
          <w:tcPr>
            <w:tcW w:w="626" w:type="pct"/>
            <w:vMerge w:val="continue"/>
            <w:tcBorders>
              <w:tl2br w:val="nil"/>
              <w:tr2bl w:val="nil"/>
            </w:tcBorders>
            <w:vAlign w:val="center"/>
          </w:tcPr>
          <w:p w14:paraId="6831D425">
            <w:pPr>
              <w:widowControl/>
              <w:jc w:val="left"/>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54CA8090">
            <w:pPr>
              <w:widowControl/>
              <w:jc w:val="center"/>
              <w:rPr>
                <w:rFonts w:ascii="仿宋" w:hAnsi="仿宋" w:eastAsia="仿宋" w:cs="仿宋"/>
                <w:kern w:val="0"/>
                <w:sz w:val="18"/>
                <w:szCs w:val="18"/>
              </w:rPr>
            </w:pPr>
            <w:r>
              <w:rPr>
                <w:rFonts w:hint="eastAsia" w:ascii="仿宋" w:hAnsi="仿宋" w:eastAsia="仿宋" w:cs="仿宋"/>
                <w:kern w:val="0"/>
                <w:sz w:val="18"/>
                <w:szCs w:val="18"/>
              </w:rPr>
              <w:t>家床业务报表</w:t>
            </w:r>
          </w:p>
        </w:tc>
        <w:tc>
          <w:tcPr>
            <w:tcW w:w="2465" w:type="pct"/>
            <w:tcBorders>
              <w:tl2br w:val="nil"/>
              <w:tr2bl w:val="nil"/>
            </w:tcBorders>
            <w:shd w:val="clear" w:color="auto" w:fill="auto"/>
            <w:noWrap/>
          </w:tcPr>
          <w:p w14:paraId="349781F2">
            <w:pPr>
              <w:widowControl/>
              <w:rPr>
                <w:rFonts w:ascii="仿宋" w:hAnsi="仿宋" w:eastAsia="仿宋" w:cs="仿宋"/>
                <w:kern w:val="0"/>
                <w:sz w:val="18"/>
                <w:szCs w:val="18"/>
              </w:rPr>
            </w:pPr>
            <w:r>
              <w:rPr>
                <w:rFonts w:hint="eastAsia" w:ascii="仿宋" w:hAnsi="仿宋" w:eastAsia="仿宋" w:cs="仿宋"/>
                <w:kern w:val="0"/>
                <w:sz w:val="18"/>
                <w:szCs w:val="18"/>
              </w:rPr>
              <w:t>提供家床业务报表。</w:t>
            </w:r>
          </w:p>
        </w:tc>
      </w:tr>
      <w:tr w14:paraId="68A0C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130E2E9F">
            <w:pPr>
              <w:widowControl/>
              <w:jc w:val="center"/>
              <w:textAlignment w:val="center"/>
              <w:rPr>
                <w:rFonts w:ascii="仿宋" w:hAnsi="仿宋" w:eastAsia="仿宋" w:cs="仿宋"/>
                <w:kern w:val="0"/>
                <w:sz w:val="18"/>
                <w:szCs w:val="18"/>
              </w:rPr>
            </w:pPr>
          </w:p>
        </w:tc>
        <w:tc>
          <w:tcPr>
            <w:tcW w:w="659" w:type="pct"/>
            <w:vMerge w:val="restart"/>
            <w:tcBorders>
              <w:tl2br w:val="nil"/>
              <w:tr2bl w:val="nil"/>
            </w:tcBorders>
            <w:vAlign w:val="center"/>
          </w:tcPr>
          <w:p w14:paraId="4D84D4F7">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医康养</w:t>
            </w:r>
          </w:p>
          <w:p w14:paraId="60810FA4">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服务商城</w:t>
            </w:r>
          </w:p>
        </w:tc>
        <w:tc>
          <w:tcPr>
            <w:tcW w:w="626" w:type="pct"/>
            <w:vMerge w:val="restart"/>
            <w:tcBorders>
              <w:tl2br w:val="nil"/>
              <w:tr2bl w:val="nil"/>
            </w:tcBorders>
            <w:shd w:val="clear" w:color="000000" w:fill="FFFFFF"/>
            <w:noWrap/>
            <w:vAlign w:val="center"/>
          </w:tcPr>
          <w:p w14:paraId="495F3271">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服务选品</w:t>
            </w:r>
          </w:p>
        </w:tc>
        <w:tc>
          <w:tcPr>
            <w:tcW w:w="621" w:type="pct"/>
            <w:tcBorders>
              <w:tl2br w:val="nil"/>
              <w:tr2bl w:val="nil"/>
            </w:tcBorders>
            <w:shd w:val="clear" w:color="000000" w:fill="FFFFFF"/>
            <w:noWrap/>
            <w:vAlign w:val="center"/>
          </w:tcPr>
          <w:p w14:paraId="4BE16FB7">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服务搜索</w:t>
            </w:r>
          </w:p>
        </w:tc>
        <w:tc>
          <w:tcPr>
            <w:tcW w:w="2465" w:type="pct"/>
            <w:tcBorders>
              <w:tl2br w:val="nil"/>
              <w:tr2bl w:val="nil"/>
            </w:tcBorders>
            <w:shd w:val="clear" w:color="auto" w:fill="auto"/>
          </w:tcPr>
          <w:p w14:paraId="7B0D2AF0">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允许老年用户根据特定的关键词、条件或属性来查找感兴趣的医养康服务和产品，点击可进入详情。</w:t>
            </w:r>
          </w:p>
        </w:tc>
      </w:tr>
      <w:tr w14:paraId="220DE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25B57933">
            <w:pPr>
              <w:jc w:val="center"/>
              <w:rPr>
                <w:rFonts w:ascii="仿宋" w:hAnsi="仿宋" w:eastAsia="仿宋" w:cs="仿宋"/>
                <w:kern w:val="0"/>
                <w:sz w:val="18"/>
                <w:szCs w:val="18"/>
              </w:rPr>
            </w:pPr>
          </w:p>
        </w:tc>
        <w:tc>
          <w:tcPr>
            <w:tcW w:w="659" w:type="pct"/>
            <w:vMerge w:val="continue"/>
            <w:tcBorders>
              <w:tl2br w:val="nil"/>
              <w:tr2bl w:val="nil"/>
            </w:tcBorders>
            <w:vAlign w:val="center"/>
          </w:tcPr>
          <w:p w14:paraId="344DDD4D">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56153320">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1A39B6E8">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服务目录</w:t>
            </w:r>
          </w:p>
        </w:tc>
        <w:tc>
          <w:tcPr>
            <w:tcW w:w="2465" w:type="pct"/>
            <w:tcBorders>
              <w:tl2br w:val="nil"/>
              <w:tr2bl w:val="nil"/>
            </w:tcBorders>
            <w:shd w:val="clear" w:color="auto" w:fill="auto"/>
          </w:tcPr>
          <w:p w14:paraId="117043AB">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支持查看居家服务/产品分类，点击分类可查看该分类服务/产品，点击更多可查看更多平台全部分类。</w:t>
            </w:r>
          </w:p>
        </w:tc>
      </w:tr>
      <w:tr w14:paraId="378AF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069B953D">
            <w:pPr>
              <w:jc w:val="center"/>
              <w:rPr>
                <w:rFonts w:ascii="仿宋" w:hAnsi="仿宋" w:eastAsia="仿宋" w:cs="仿宋"/>
                <w:kern w:val="0"/>
                <w:sz w:val="18"/>
                <w:szCs w:val="18"/>
              </w:rPr>
            </w:pPr>
          </w:p>
        </w:tc>
        <w:tc>
          <w:tcPr>
            <w:tcW w:w="659" w:type="pct"/>
            <w:vMerge w:val="continue"/>
            <w:tcBorders>
              <w:tl2br w:val="nil"/>
              <w:tr2bl w:val="nil"/>
            </w:tcBorders>
            <w:vAlign w:val="center"/>
          </w:tcPr>
          <w:p w14:paraId="0CF7974B">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14931208">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514FD220">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附近服务机构</w:t>
            </w:r>
          </w:p>
        </w:tc>
        <w:tc>
          <w:tcPr>
            <w:tcW w:w="2465" w:type="pct"/>
            <w:tcBorders>
              <w:tl2br w:val="nil"/>
              <w:tr2bl w:val="nil"/>
            </w:tcBorders>
            <w:shd w:val="clear" w:color="auto" w:fill="auto"/>
          </w:tcPr>
          <w:p w14:paraId="1C6A3674">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支持查看附近养老服务机构及服务/产品信息，支持按距离、按销量进行排序。</w:t>
            </w:r>
          </w:p>
        </w:tc>
      </w:tr>
      <w:tr w14:paraId="3C3E9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3D3995AC">
            <w:pPr>
              <w:jc w:val="center"/>
              <w:rPr>
                <w:rFonts w:ascii="仿宋" w:hAnsi="仿宋" w:eastAsia="仿宋" w:cs="仿宋"/>
                <w:kern w:val="0"/>
                <w:sz w:val="18"/>
                <w:szCs w:val="18"/>
              </w:rPr>
            </w:pPr>
          </w:p>
        </w:tc>
        <w:tc>
          <w:tcPr>
            <w:tcW w:w="659" w:type="pct"/>
            <w:vMerge w:val="continue"/>
            <w:tcBorders>
              <w:tl2br w:val="nil"/>
              <w:tr2bl w:val="nil"/>
            </w:tcBorders>
            <w:vAlign w:val="center"/>
          </w:tcPr>
          <w:p w14:paraId="4ECC1D80">
            <w:pPr>
              <w:jc w:val="center"/>
              <w:rPr>
                <w:rFonts w:ascii="仿宋" w:hAnsi="仿宋" w:eastAsia="仿宋" w:cs="仿宋"/>
                <w:kern w:val="0"/>
                <w:sz w:val="18"/>
                <w:szCs w:val="18"/>
              </w:rPr>
            </w:pPr>
          </w:p>
        </w:tc>
        <w:tc>
          <w:tcPr>
            <w:tcW w:w="626" w:type="pct"/>
            <w:vMerge w:val="restart"/>
            <w:tcBorders>
              <w:tl2br w:val="nil"/>
              <w:tr2bl w:val="nil"/>
            </w:tcBorders>
            <w:shd w:val="clear" w:color="000000" w:fill="FFFFFF"/>
            <w:noWrap/>
            <w:vAlign w:val="center"/>
          </w:tcPr>
          <w:p w14:paraId="19741994">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机构店铺</w:t>
            </w:r>
          </w:p>
        </w:tc>
        <w:tc>
          <w:tcPr>
            <w:tcW w:w="621" w:type="pct"/>
            <w:tcBorders>
              <w:tl2br w:val="nil"/>
              <w:tr2bl w:val="nil"/>
            </w:tcBorders>
            <w:shd w:val="clear" w:color="000000" w:fill="FFFFFF"/>
            <w:noWrap/>
            <w:vAlign w:val="center"/>
          </w:tcPr>
          <w:p w14:paraId="0B0441B4">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服务/产品分类</w:t>
            </w:r>
          </w:p>
        </w:tc>
        <w:tc>
          <w:tcPr>
            <w:tcW w:w="2465" w:type="pct"/>
            <w:tcBorders>
              <w:tl2br w:val="nil"/>
              <w:tr2bl w:val="nil"/>
            </w:tcBorders>
            <w:shd w:val="clear" w:color="auto" w:fill="auto"/>
          </w:tcPr>
          <w:p w14:paraId="57BE05A8">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支持按分类查看居家服务服务/产品列表</w:t>
            </w:r>
          </w:p>
        </w:tc>
      </w:tr>
      <w:tr w14:paraId="5936A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15127885">
            <w:pPr>
              <w:jc w:val="center"/>
              <w:rPr>
                <w:rFonts w:ascii="仿宋" w:hAnsi="仿宋" w:eastAsia="仿宋" w:cs="仿宋"/>
                <w:kern w:val="0"/>
                <w:sz w:val="18"/>
                <w:szCs w:val="18"/>
              </w:rPr>
            </w:pPr>
          </w:p>
        </w:tc>
        <w:tc>
          <w:tcPr>
            <w:tcW w:w="659" w:type="pct"/>
            <w:vMerge w:val="continue"/>
            <w:tcBorders>
              <w:tl2br w:val="nil"/>
              <w:tr2bl w:val="nil"/>
            </w:tcBorders>
            <w:vAlign w:val="center"/>
          </w:tcPr>
          <w:p w14:paraId="1C00A1A9">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0D8D9C7B">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120CE5DF">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买赠专区</w:t>
            </w:r>
          </w:p>
        </w:tc>
        <w:tc>
          <w:tcPr>
            <w:tcW w:w="2465" w:type="pct"/>
            <w:tcBorders>
              <w:tl2br w:val="nil"/>
              <w:tr2bl w:val="nil"/>
            </w:tcBorders>
            <w:shd w:val="clear" w:color="auto" w:fill="auto"/>
          </w:tcPr>
          <w:p w14:paraId="2F31F7EA">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支持查看机构买赠服务。</w:t>
            </w:r>
          </w:p>
        </w:tc>
      </w:tr>
      <w:tr w14:paraId="36E5B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3BC593B7">
            <w:pPr>
              <w:jc w:val="center"/>
              <w:rPr>
                <w:rFonts w:ascii="仿宋" w:hAnsi="仿宋" w:eastAsia="仿宋" w:cs="仿宋"/>
                <w:kern w:val="0"/>
                <w:sz w:val="18"/>
                <w:szCs w:val="18"/>
              </w:rPr>
            </w:pPr>
          </w:p>
        </w:tc>
        <w:tc>
          <w:tcPr>
            <w:tcW w:w="659" w:type="pct"/>
            <w:vMerge w:val="continue"/>
            <w:tcBorders>
              <w:tl2br w:val="nil"/>
              <w:tr2bl w:val="nil"/>
            </w:tcBorders>
            <w:vAlign w:val="center"/>
          </w:tcPr>
          <w:p w14:paraId="06AF28BD">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1EF948C9">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43AC58B9">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优惠套餐</w:t>
            </w:r>
          </w:p>
        </w:tc>
        <w:tc>
          <w:tcPr>
            <w:tcW w:w="2465" w:type="pct"/>
            <w:tcBorders>
              <w:tl2br w:val="nil"/>
              <w:tr2bl w:val="nil"/>
            </w:tcBorders>
            <w:shd w:val="clear" w:color="auto" w:fill="auto"/>
          </w:tcPr>
          <w:p w14:paraId="43B78C5E">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支持查看机构的服务包详情。</w:t>
            </w:r>
          </w:p>
        </w:tc>
      </w:tr>
      <w:tr w14:paraId="03327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0E8FAD58">
            <w:pPr>
              <w:jc w:val="center"/>
              <w:rPr>
                <w:rFonts w:ascii="仿宋" w:hAnsi="仿宋" w:eastAsia="仿宋" w:cs="仿宋"/>
                <w:kern w:val="0"/>
                <w:sz w:val="18"/>
                <w:szCs w:val="18"/>
              </w:rPr>
            </w:pPr>
          </w:p>
        </w:tc>
        <w:tc>
          <w:tcPr>
            <w:tcW w:w="659" w:type="pct"/>
            <w:vMerge w:val="continue"/>
            <w:tcBorders>
              <w:tl2br w:val="nil"/>
              <w:tr2bl w:val="nil"/>
            </w:tcBorders>
            <w:vAlign w:val="center"/>
          </w:tcPr>
          <w:p w14:paraId="0D376410">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4E19BFCF">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14FB057F">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机构信息</w:t>
            </w:r>
          </w:p>
        </w:tc>
        <w:tc>
          <w:tcPr>
            <w:tcW w:w="2465" w:type="pct"/>
            <w:tcBorders>
              <w:tl2br w:val="nil"/>
              <w:tr2bl w:val="nil"/>
            </w:tcBorders>
            <w:shd w:val="clear" w:color="auto" w:fill="auto"/>
          </w:tcPr>
          <w:p w14:paraId="4FAA534A">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支持查看店铺详情，包括店铺评价信息、位置信息、服务/产品列表。</w:t>
            </w:r>
          </w:p>
        </w:tc>
      </w:tr>
      <w:tr w14:paraId="528D1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5A0528BE">
            <w:pPr>
              <w:jc w:val="center"/>
              <w:rPr>
                <w:rFonts w:ascii="仿宋" w:hAnsi="仿宋" w:eastAsia="仿宋" w:cs="仿宋"/>
                <w:kern w:val="0"/>
                <w:sz w:val="18"/>
                <w:szCs w:val="18"/>
              </w:rPr>
            </w:pPr>
          </w:p>
        </w:tc>
        <w:tc>
          <w:tcPr>
            <w:tcW w:w="659" w:type="pct"/>
            <w:vMerge w:val="continue"/>
            <w:tcBorders>
              <w:tl2br w:val="nil"/>
              <w:tr2bl w:val="nil"/>
            </w:tcBorders>
            <w:vAlign w:val="center"/>
          </w:tcPr>
          <w:p w14:paraId="70448C32">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68B9CE23">
            <w:pPr>
              <w:jc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3457AEA9">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服务详情</w:t>
            </w:r>
          </w:p>
        </w:tc>
        <w:tc>
          <w:tcPr>
            <w:tcW w:w="2465" w:type="pct"/>
            <w:tcBorders>
              <w:tl2br w:val="nil"/>
              <w:tr2bl w:val="nil"/>
            </w:tcBorders>
            <w:shd w:val="clear" w:color="auto" w:fill="auto"/>
          </w:tcPr>
          <w:p w14:paraId="37366801">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支持查看服务图片、服务销量、服务评价、服务详情介绍。</w:t>
            </w:r>
          </w:p>
        </w:tc>
      </w:tr>
      <w:tr w14:paraId="3A1C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2900FED2">
            <w:pPr>
              <w:jc w:val="center"/>
              <w:rPr>
                <w:rFonts w:ascii="仿宋" w:hAnsi="仿宋" w:eastAsia="仿宋" w:cs="仿宋"/>
                <w:kern w:val="0"/>
                <w:sz w:val="18"/>
                <w:szCs w:val="18"/>
              </w:rPr>
            </w:pPr>
          </w:p>
        </w:tc>
        <w:tc>
          <w:tcPr>
            <w:tcW w:w="659" w:type="pct"/>
            <w:vMerge w:val="continue"/>
            <w:tcBorders>
              <w:tl2br w:val="nil"/>
              <w:tr2bl w:val="nil"/>
            </w:tcBorders>
            <w:vAlign w:val="center"/>
          </w:tcPr>
          <w:p w14:paraId="1055F417">
            <w:pPr>
              <w:jc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5AC403C1">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服务购买</w:t>
            </w:r>
          </w:p>
        </w:tc>
        <w:tc>
          <w:tcPr>
            <w:tcW w:w="621" w:type="pct"/>
            <w:tcBorders>
              <w:tl2br w:val="nil"/>
              <w:tr2bl w:val="nil"/>
            </w:tcBorders>
            <w:shd w:val="clear" w:color="000000" w:fill="FFFFFF"/>
            <w:noWrap/>
            <w:vAlign w:val="center"/>
          </w:tcPr>
          <w:p w14:paraId="573BC635">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服务购买</w:t>
            </w:r>
          </w:p>
        </w:tc>
        <w:tc>
          <w:tcPr>
            <w:tcW w:w="2465" w:type="pct"/>
            <w:tcBorders>
              <w:tl2br w:val="nil"/>
              <w:tr2bl w:val="nil"/>
            </w:tcBorders>
            <w:shd w:val="clear" w:color="auto" w:fill="auto"/>
          </w:tcPr>
          <w:p w14:paraId="5DFACE7A">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支持上门服务、到店服务、配送货物、自提货物、服务包下单。</w:t>
            </w:r>
          </w:p>
        </w:tc>
      </w:tr>
      <w:tr w14:paraId="691CE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436999CC">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624B0B74">
            <w:pPr>
              <w:widowControl/>
              <w:jc w:val="center"/>
              <w:textAlignment w:val="center"/>
              <w:rPr>
                <w:rFonts w:ascii="仿宋" w:hAnsi="仿宋" w:eastAsia="仿宋" w:cs="仿宋"/>
                <w:kern w:val="0"/>
                <w:sz w:val="18"/>
                <w:szCs w:val="18"/>
              </w:rPr>
            </w:pPr>
          </w:p>
        </w:tc>
        <w:tc>
          <w:tcPr>
            <w:tcW w:w="626" w:type="pct"/>
            <w:vMerge w:val="restart"/>
            <w:tcBorders>
              <w:tl2br w:val="nil"/>
              <w:tr2bl w:val="nil"/>
            </w:tcBorders>
            <w:shd w:val="clear" w:color="000000" w:fill="FFFFFF"/>
            <w:noWrap/>
            <w:vAlign w:val="center"/>
          </w:tcPr>
          <w:p w14:paraId="4BC6E9FF">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康复资源</w:t>
            </w:r>
          </w:p>
        </w:tc>
        <w:tc>
          <w:tcPr>
            <w:tcW w:w="621" w:type="pct"/>
            <w:tcBorders>
              <w:tl2br w:val="nil"/>
              <w:tr2bl w:val="nil"/>
            </w:tcBorders>
            <w:shd w:val="clear" w:color="000000" w:fill="FFFFFF"/>
            <w:noWrap/>
            <w:vAlign w:val="center"/>
          </w:tcPr>
          <w:p w14:paraId="088A1224">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康复资源查看</w:t>
            </w:r>
          </w:p>
        </w:tc>
        <w:tc>
          <w:tcPr>
            <w:tcW w:w="2465" w:type="pct"/>
            <w:tcBorders>
              <w:tl2br w:val="nil"/>
              <w:tr2bl w:val="nil"/>
            </w:tcBorders>
            <w:shd w:val="clear" w:color="auto" w:fill="auto"/>
          </w:tcPr>
          <w:p w14:paraId="084C219A">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可查看支持预约的康复资源。</w:t>
            </w:r>
          </w:p>
        </w:tc>
      </w:tr>
      <w:tr w14:paraId="6A4E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18C7D2FD">
            <w:pPr>
              <w:jc w:val="center"/>
              <w:rPr>
                <w:rFonts w:ascii="仿宋" w:hAnsi="仿宋" w:eastAsia="仿宋" w:cs="仿宋"/>
                <w:kern w:val="0"/>
                <w:sz w:val="18"/>
                <w:szCs w:val="18"/>
              </w:rPr>
            </w:pPr>
          </w:p>
        </w:tc>
        <w:tc>
          <w:tcPr>
            <w:tcW w:w="659" w:type="pct"/>
            <w:vMerge w:val="continue"/>
            <w:tcBorders>
              <w:tl2br w:val="nil"/>
              <w:tr2bl w:val="nil"/>
            </w:tcBorders>
            <w:vAlign w:val="center"/>
          </w:tcPr>
          <w:p w14:paraId="1F9E04DF">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63D7629F">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653A3D80">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康复资源预约</w:t>
            </w:r>
          </w:p>
        </w:tc>
        <w:tc>
          <w:tcPr>
            <w:tcW w:w="2465" w:type="pct"/>
            <w:tcBorders>
              <w:tl2br w:val="nil"/>
              <w:tr2bl w:val="nil"/>
            </w:tcBorders>
            <w:shd w:val="clear" w:color="auto" w:fill="auto"/>
          </w:tcPr>
          <w:p w14:paraId="665DF22F">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查看康复资源并选择可预约时间段进行预约。</w:t>
            </w:r>
          </w:p>
        </w:tc>
      </w:tr>
      <w:tr w14:paraId="21974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0F5DAC41">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4154FA31">
            <w:pPr>
              <w:widowControl/>
              <w:jc w:val="center"/>
              <w:textAlignment w:val="center"/>
              <w:rPr>
                <w:rFonts w:ascii="仿宋" w:hAnsi="仿宋" w:eastAsia="仿宋" w:cs="仿宋"/>
                <w:kern w:val="0"/>
                <w:sz w:val="18"/>
                <w:szCs w:val="18"/>
              </w:rPr>
            </w:pPr>
          </w:p>
        </w:tc>
        <w:tc>
          <w:tcPr>
            <w:tcW w:w="626" w:type="pct"/>
            <w:vMerge w:val="restart"/>
            <w:tcBorders>
              <w:tl2br w:val="nil"/>
              <w:tr2bl w:val="nil"/>
            </w:tcBorders>
            <w:shd w:val="clear" w:color="000000" w:fill="FFFFFF"/>
            <w:noWrap/>
            <w:vAlign w:val="center"/>
          </w:tcPr>
          <w:p w14:paraId="7B14D3C2">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积分活动</w:t>
            </w:r>
          </w:p>
        </w:tc>
        <w:tc>
          <w:tcPr>
            <w:tcW w:w="621" w:type="pct"/>
            <w:tcBorders>
              <w:tl2br w:val="nil"/>
              <w:tr2bl w:val="nil"/>
            </w:tcBorders>
            <w:shd w:val="clear" w:color="000000" w:fill="FFFFFF"/>
            <w:noWrap/>
            <w:vAlign w:val="center"/>
          </w:tcPr>
          <w:p w14:paraId="2B937A58">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积分活动查看</w:t>
            </w:r>
          </w:p>
        </w:tc>
        <w:tc>
          <w:tcPr>
            <w:tcW w:w="2465" w:type="pct"/>
            <w:tcBorders>
              <w:tl2br w:val="nil"/>
              <w:tr2bl w:val="nil"/>
            </w:tcBorders>
            <w:shd w:val="clear" w:color="auto" w:fill="auto"/>
          </w:tcPr>
          <w:p w14:paraId="20729D0E">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可查看已发布的积分活动信息。</w:t>
            </w:r>
          </w:p>
        </w:tc>
      </w:tr>
      <w:tr w14:paraId="52702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73029398">
            <w:pPr>
              <w:jc w:val="center"/>
              <w:rPr>
                <w:rFonts w:ascii="仿宋" w:hAnsi="仿宋" w:eastAsia="仿宋" w:cs="仿宋"/>
                <w:kern w:val="0"/>
                <w:sz w:val="18"/>
                <w:szCs w:val="18"/>
              </w:rPr>
            </w:pPr>
          </w:p>
        </w:tc>
        <w:tc>
          <w:tcPr>
            <w:tcW w:w="659" w:type="pct"/>
            <w:vMerge w:val="continue"/>
            <w:tcBorders>
              <w:tl2br w:val="nil"/>
              <w:tr2bl w:val="nil"/>
            </w:tcBorders>
            <w:vAlign w:val="center"/>
          </w:tcPr>
          <w:p w14:paraId="6374D9DA">
            <w:pPr>
              <w:jc w:val="center"/>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2BC7ADD5">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000000" w:fill="FFFFFF"/>
            <w:noWrap/>
            <w:vAlign w:val="center"/>
          </w:tcPr>
          <w:p w14:paraId="7CBB5488">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积分活动报名</w:t>
            </w:r>
          </w:p>
        </w:tc>
        <w:tc>
          <w:tcPr>
            <w:tcW w:w="2465" w:type="pct"/>
            <w:tcBorders>
              <w:tl2br w:val="nil"/>
              <w:tr2bl w:val="nil"/>
            </w:tcBorders>
            <w:shd w:val="clear" w:color="auto" w:fill="auto"/>
          </w:tcPr>
          <w:p w14:paraId="49EEE1AB">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可查看已发布的积分活动信息并选择活动进行报名。</w:t>
            </w:r>
          </w:p>
        </w:tc>
      </w:tr>
      <w:tr w14:paraId="23215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7F4BBDC0">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7E2A3154">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5DD20BDE">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健康监测</w:t>
            </w:r>
          </w:p>
        </w:tc>
        <w:tc>
          <w:tcPr>
            <w:tcW w:w="621" w:type="pct"/>
            <w:tcBorders>
              <w:tl2br w:val="nil"/>
              <w:tr2bl w:val="nil"/>
            </w:tcBorders>
            <w:shd w:val="clear" w:color="000000" w:fill="FFFFFF"/>
            <w:noWrap/>
            <w:vAlign w:val="center"/>
          </w:tcPr>
          <w:p w14:paraId="7D30D5D5">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健康监测</w:t>
            </w:r>
          </w:p>
        </w:tc>
        <w:tc>
          <w:tcPr>
            <w:tcW w:w="2465" w:type="pct"/>
            <w:tcBorders>
              <w:tl2br w:val="nil"/>
              <w:tr2bl w:val="nil"/>
            </w:tcBorders>
            <w:shd w:val="clear" w:color="auto" w:fill="auto"/>
          </w:tcPr>
          <w:p w14:paraId="2D8F6E1F">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老年人及家属可以查看智能设备监测到的健康指标信息，包括血压、体温、心率等信息。可以查看监测指标过往记录。当指标有多个设备提供数据来源时，可切换设备查看指标数据信息。</w:t>
            </w:r>
          </w:p>
        </w:tc>
      </w:tr>
      <w:tr w14:paraId="3D2C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3C1C6D6F">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585AE57B">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1447B1ED">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医师团队</w:t>
            </w:r>
          </w:p>
        </w:tc>
        <w:tc>
          <w:tcPr>
            <w:tcW w:w="621" w:type="pct"/>
            <w:tcBorders>
              <w:tl2br w:val="nil"/>
              <w:tr2bl w:val="nil"/>
            </w:tcBorders>
            <w:shd w:val="clear" w:color="000000" w:fill="FFFFFF"/>
            <w:noWrap/>
            <w:vAlign w:val="center"/>
          </w:tcPr>
          <w:p w14:paraId="55EA61F8">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医师团队</w:t>
            </w:r>
          </w:p>
        </w:tc>
        <w:tc>
          <w:tcPr>
            <w:tcW w:w="2465" w:type="pct"/>
            <w:tcBorders>
              <w:tl2br w:val="nil"/>
              <w:tr2bl w:val="nil"/>
            </w:tcBorders>
            <w:shd w:val="clear" w:color="auto" w:fill="auto"/>
          </w:tcPr>
          <w:p w14:paraId="14B71B9E">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老年人可查看绑定的医师团队、家庭医生，查看医师团队成员信息。可发起家庭医生签约申请。</w:t>
            </w:r>
          </w:p>
        </w:tc>
      </w:tr>
      <w:tr w14:paraId="543F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63E1B791">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42FE1873">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1BA8F82C">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健康宣教</w:t>
            </w:r>
          </w:p>
        </w:tc>
        <w:tc>
          <w:tcPr>
            <w:tcW w:w="621" w:type="pct"/>
            <w:tcBorders>
              <w:tl2br w:val="nil"/>
              <w:tr2bl w:val="nil"/>
            </w:tcBorders>
            <w:shd w:val="clear" w:color="000000" w:fill="FFFFFF"/>
            <w:noWrap/>
            <w:vAlign w:val="center"/>
          </w:tcPr>
          <w:p w14:paraId="7C1040E0">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健康宣教</w:t>
            </w:r>
          </w:p>
        </w:tc>
        <w:tc>
          <w:tcPr>
            <w:tcW w:w="2465" w:type="pct"/>
            <w:tcBorders>
              <w:tl2br w:val="nil"/>
              <w:tr2bl w:val="nil"/>
            </w:tcBorders>
            <w:shd w:val="clear" w:color="auto" w:fill="auto"/>
          </w:tcPr>
          <w:p w14:paraId="5AE6DA3E">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老年人可查看健康宣教的图文内容。</w:t>
            </w:r>
          </w:p>
        </w:tc>
      </w:tr>
      <w:tr w14:paraId="61746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6D4E66AC">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798E76CA">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3E052C97">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远程问诊</w:t>
            </w:r>
          </w:p>
        </w:tc>
        <w:tc>
          <w:tcPr>
            <w:tcW w:w="621" w:type="pct"/>
            <w:tcBorders>
              <w:tl2br w:val="nil"/>
              <w:tr2bl w:val="nil"/>
            </w:tcBorders>
            <w:shd w:val="clear" w:color="000000" w:fill="FFFFFF"/>
            <w:noWrap/>
            <w:vAlign w:val="center"/>
          </w:tcPr>
          <w:p w14:paraId="3DEB1B3F">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远程问诊</w:t>
            </w:r>
          </w:p>
        </w:tc>
        <w:tc>
          <w:tcPr>
            <w:tcW w:w="2465" w:type="pct"/>
            <w:tcBorders>
              <w:tl2br w:val="nil"/>
              <w:tr2bl w:val="nil"/>
            </w:tcBorders>
            <w:shd w:val="clear" w:color="auto" w:fill="auto"/>
          </w:tcPr>
          <w:p w14:paraId="6DBD9A63">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对接小程序的音视频通话能力，实现老年用户与选择的医生定向视频通话，实现视频问诊。</w:t>
            </w:r>
          </w:p>
        </w:tc>
      </w:tr>
      <w:tr w14:paraId="1B338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3044DA92">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vAlign w:val="center"/>
          </w:tcPr>
          <w:p w14:paraId="2F80FE6A">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noWrap/>
            <w:vAlign w:val="center"/>
          </w:tcPr>
          <w:p w14:paraId="081C0FF4">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视频急救</w:t>
            </w:r>
          </w:p>
        </w:tc>
        <w:tc>
          <w:tcPr>
            <w:tcW w:w="621" w:type="pct"/>
            <w:tcBorders>
              <w:tl2br w:val="nil"/>
              <w:tr2bl w:val="nil"/>
            </w:tcBorders>
            <w:shd w:val="clear" w:color="000000" w:fill="FFFFFF"/>
            <w:noWrap/>
            <w:vAlign w:val="center"/>
          </w:tcPr>
          <w:p w14:paraId="1212F128">
            <w:pPr>
              <w:widowControl/>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视频急救</w:t>
            </w:r>
          </w:p>
        </w:tc>
        <w:tc>
          <w:tcPr>
            <w:tcW w:w="2465" w:type="pct"/>
            <w:tcBorders>
              <w:tl2br w:val="nil"/>
              <w:tr2bl w:val="nil"/>
            </w:tcBorders>
            <w:shd w:val="clear" w:color="auto" w:fill="auto"/>
          </w:tcPr>
          <w:p w14:paraId="1BF9D12F">
            <w:pPr>
              <w:widowControl/>
              <w:textAlignment w:val="center"/>
              <w:rPr>
                <w:rFonts w:ascii="仿宋" w:hAnsi="仿宋" w:eastAsia="仿宋" w:cs="仿宋"/>
                <w:kern w:val="0"/>
                <w:sz w:val="18"/>
                <w:szCs w:val="18"/>
              </w:rPr>
            </w:pPr>
            <w:r>
              <w:rPr>
                <w:rFonts w:hint="eastAsia" w:ascii="仿宋" w:hAnsi="仿宋" w:eastAsia="仿宋" w:cs="仿宋"/>
                <w:color w:val="000000"/>
                <w:kern w:val="0"/>
                <w:sz w:val="18"/>
                <w:szCs w:val="18"/>
                <w:lang w:bidi="ar"/>
              </w:rPr>
              <w:t>支持从小程序一键发起视频急救，对接小程序的音视频通话能力，即老年人点击SOS时，向老年人的家属及其主医生生成急救告警信息，并支持发起视频通话请求。</w:t>
            </w:r>
          </w:p>
        </w:tc>
      </w:tr>
      <w:tr w14:paraId="31B74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41D3F0D6">
            <w:pPr>
              <w:widowControl/>
              <w:jc w:val="left"/>
              <w:rPr>
                <w:rFonts w:ascii="仿宋" w:hAnsi="仿宋" w:eastAsia="仿宋" w:cs="仿宋"/>
                <w:kern w:val="0"/>
                <w:sz w:val="18"/>
                <w:szCs w:val="18"/>
              </w:rPr>
            </w:pPr>
          </w:p>
        </w:tc>
        <w:tc>
          <w:tcPr>
            <w:tcW w:w="659" w:type="pct"/>
            <w:vMerge w:val="continue"/>
            <w:tcBorders>
              <w:tl2br w:val="nil"/>
              <w:tr2bl w:val="nil"/>
            </w:tcBorders>
            <w:shd w:val="clear" w:color="auto" w:fill="auto"/>
            <w:vAlign w:val="center"/>
          </w:tcPr>
          <w:p w14:paraId="77F16949">
            <w:pPr>
              <w:widowControl/>
              <w:jc w:val="center"/>
              <w:textAlignment w:val="center"/>
              <w:rPr>
                <w:rFonts w:ascii="仿宋" w:hAnsi="仿宋" w:eastAsia="仿宋" w:cs="仿宋"/>
                <w:color w:val="000000"/>
                <w:sz w:val="18"/>
                <w:szCs w:val="18"/>
              </w:rPr>
            </w:pPr>
          </w:p>
        </w:tc>
        <w:tc>
          <w:tcPr>
            <w:tcW w:w="626" w:type="pct"/>
            <w:vMerge w:val="restart"/>
            <w:tcBorders>
              <w:tl2br w:val="nil"/>
              <w:tr2bl w:val="nil"/>
            </w:tcBorders>
            <w:shd w:val="clear" w:color="auto" w:fill="auto"/>
            <w:noWrap/>
            <w:vAlign w:val="center"/>
          </w:tcPr>
          <w:p w14:paraId="43D05AA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个人中心</w:t>
            </w:r>
          </w:p>
        </w:tc>
        <w:tc>
          <w:tcPr>
            <w:tcW w:w="621" w:type="pct"/>
            <w:tcBorders>
              <w:tl2br w:val="nil"/>
              <w:tr2bl w:val="nil"/>
            </w:tcBorders>
            <w:shd w:val="clear" w:color="auto" w:fill="auto"/>
            <w:noWrap/>
            <w:vAlign w:val="center"/>
          </w:tcPr>
          <w:p w14:paraId="5F27ACED">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服务订单</w:t>
            </w:r>
          </w:p>
        </w:tc>
        <w:tc>
          <w:tcPr>
            <w:tcW w:w="2465" w:type="pct"/>
            <w:tcBorders>
              <w:tl2br w:val="nil"/>
              <w:tr2bl w:val="nil"/>
            </w:tcBorders>
            <w:shd w:val="clear" w:color="auto" w:fill="auto"/>
          </w:tcPr>
          <w:p w14:paraId="3AF4765E">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支持按订单状态查看服务订单，可发起退款/售后。</w:t>
            </w:r>
          </w:p>
        </w:tc>
      </w:tr>
      <w:tr w14:paraId="34E23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557AD7BD">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5D99DAD7">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15D5B17E">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251D90F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货物订单</w:t>
            </w:r>
          </w:p>
        </w:tc>
        <w:tc>
          <w:tcPr>
            <w:tcW w:w="2465" w:type="pct"/>
            <w:tcBorders>
              <w:tl2br w:val="nil"/>
              <w:tr2bl w:val="nil"/>
            </w:tcBorders>
            <w:shd w:val="clear" w:color="auto" w:fill="auto"/>
          </w:tcPr>
          <w:p w14:paraId="5A13D52B">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支持按订单状态查看货物订单，可发起退款/售后。</w:t>
            </w:r>
          </w:p>
        </w:tc>
      </w:tr>
      <w:tr w14:paraId="6D334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62D04869">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DD4CAC4">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490C0C26">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0D2A2FA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健康档案</w:t>
            </w:r>
          </w:p>
        </w:tc>
        <w:tc>
          <w:tcPr>
            <w:tcW w:w="2465" w:type="pct"/>
            <w:tcBorders>
              <w:tl2br w:val="nil"/>
              <w:tr2bl w:val="nil"/>
            </w:tcBorders>
            <w:shd w:val="clear" w:color="auto" w:fill="auto"/>
          </w:tcPr>
          <w:p w14:paraId="2D11374E">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老年人及家属可以查看智能设备监测到的健康指标信息，包括血压、体温、心率等信息。可以查看监测指标过往记录。当指标有多个设备提供数据来源时，可切换设备查看指标数据信息。</w:t>
            </w:r>
          </w:p>
        </w:tc>
      </w:tr>
      <w:tr w14:paraId="0327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26" w:type="pct"/>
            <w:vMerge w:val="continue"/>
            <w:tcBorders>
              <w:tl2br w:val="nil"/>
              <w:tr2bl w:val="nil"/>
            </w:tcBorders>
            <w:vAlign w:val="center"/>
          </w:tcPr>
          <w:p w14:paraId="14078AE9">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0E013BD2">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191A1626">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1567DB9A">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个人预约</w:t>
            </w:r>
          </w:p>
        </w:tc>
        <w:tc>
          <w:tcPr>
            <w:tcW w:w="2465" w:type="pct"/>
            <w:tcBorders>
              <w:tl2br w:val="nil"/>
              <w:tr2bl w:val="nil"/>
            </w:tcBorders>
            <w:shd w:val="clear" w:color="auto" w:fill="auto"/>
          </w:tcPr>
          <w:p w14:paraId="1B345E45">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可查看康复资源预约记录。</w:t>
            </w:r>
          </w:p>
        </w:tc>
      </w:tr>
      <w:tr w14:paraId="35AF7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1990677C">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2630BFD">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0295A1B1">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01A84C47">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个人地址</w:t>
            </w:r>
          </w:p>
        </w:tc>
        <w:tc>
          <w:tcPr>
            <w:tcW w:w="2465" w:type="pct"/>
            <w:tcBorders>
              <w:tl2br w:val="nil"/>
              <w:tr2bl w:val="nil"/>
            </w:tcBorders>
            <w:shd w:val="clear" w:color="auto" w:fill="auto"/>
          </w:tcPr>
          <w:p w14:paraId="0E6C3949">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管理老年人个人的服务地址，包括地址新增、编辑、删除等。</w:t>
            </w:r>
          </w:p>
        </w:tc>
      </w:tr>
      <w:tr w14:paraId="3A0D8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vAlign w:val="center"/>
          </w:tcPr>
          <w:p w14:paraId="0C4A9C92">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D2E3337">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4181ABED">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455A348B">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个人养老消费券</w:t>
            </w:r>
          </w:p>
        </w:tc>
        <w:tc>
          <w:tcPr>
            <w:tcW w:w="2465" w:type="pct"/>
            <w:tcBorders>
              <w:tl2br w:val="nil"/>
              <w:tr2bl w:val="nil"/>
            </w:tcBorders>
            <w:shd w:val="clear" w:color="auto" w:fill="auto"/>
          </w:tcPr>
          <w:p w14:paraId="7B576B24">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查看养老消费券。</w:t>
            </w:r>
          </w:p>
        </w:tc>
      </w:tr>
      <w:tr w14:paraId="2825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4F45AB43">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9159776">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noWrap/>
            <w:vAlign w:val="center"/>
          </w:tcPr>
          <w:p w14:paraId="74FF8289">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noWrap/>
            <w:vAlign w:val="center"/>
          </w:tcPr>
          <w:p w14:paraId="270AA8FC">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积分明细</w:t>
            </w:r>
          </w:p>
        </w:tc>
        <w:tc>
          <w:tcPr>
            <w:tcW w:w="2465" w:type="pct"/>
            <w:tcBorders>
              <w:tl2br w:val="nil"/>
              <w:tr2bl w:val="nil"/>
            </w:tcBorders>
            <w:shd w:val="clear" w:color="auto" w:fill="auto"/>
          </w:tcPr>
          <w:p w14:paraId="5F9991DE">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可查看积分获取明细。</w:t>
            </w:r>
          </w:p>
        </w:tc>
      </w:tr>
      <w:tr w14:paraId="35A1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vAlign w:val="center"/>
          </w:tcPr>
          <w:p w14:paraId="2E633426">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8EFA0DC">
            <w:pPr>
              <w:widowControl/>
              <w:jc w:val="left"/>
              <w:rPr>
                <w:rFonts w:ascii="仿宋" w:hAnsi="仿宋" w:eastAsia="仿宋" w:cs="仿宋"/>
                <w:kern w:val="0"/>
                <w:sz w:val="18"/>
                <w:szCs w:val="18"/>
              </w:rPr>
            </w:pPr>
          </w:p>
        </w:tc>
        <w:tc>
          <w:tcPr>
            <w:tcW w:w="626" w:type="pct"/>
            <w:vMerge w:val="continue"/>
            <w:tcBorders>
              <w:tl2br w:val="nil"/>
              <w:tr2bl w:val="nil"/>
            </w:tcBorders>
            <w:shd w:val="clear" w:color="000000" w:fill="FFFFFF"/>
            <w:noWrap/>
            <w:vAlign w:val="center"/>
          </w:tcPr>
          <w:p w14:paraId="2EB66D58">
            <w:pPr>
              <w:widowControl/>
              <w:jc w:val="center"/>
              <w:rPr>
                <w:rFonts w:ascii="仿宋" w:hAnsi="仿宋" w:eastAsia="仿宋" w:cs="仿宋"/>
                <w:kern w:val="0"/>
                <w:sz w:val="18"/>
                <w:szCs w:val="18"/>
              </w:rPr>
            </w:pPr>
          </w:p>
        </w:tc>
        <w:tc>
          <w:tcPr>
            <w:tcW w:w="621" w:type="pct"/>
            <w:tcBorders>
              <w:tl2br w:val="nil"/>
              <w:tr2bl w:val="nil"/>
            </w:tcBorders>
            <w:shd w:val="clear" w:color="auto" w:fill="auto"/>
            <w:noWrap/>
            <w:vAlign w:val="center"/>
          </w:tcPr>
          <w:p w14:paraId="07A4AF36">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活动记录</w:t>
            </w:r>
          </w:p>
        </w:tc>
        <w:tc>
          <w:tcPr>
            <w:tcW w:w="2465" w:type="pct"/>
            <w:tcBorders>
              <w:tl2br w:val="nil"/>
              <w:tr2bl w:val="nil"/>
            </w:tcBorders>
            <w:shd w:val="clear" w:color="auto" w:fill="auto"/>
          </w:tcPr>
          <w:p w14:paraId="4499EA04">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可查看积分活动参与记录。</w:t>
            </w:r>
          </w:p>
        </w:tc>
      </w:tr>
      <w:tr w14:paraId="4FE7E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2F90AF64">
            <w:pPr>
              <w:widowControl/>
              <w:jc w:val="left"/>
              <w:rPr>
                <w:rFonts w:ascii="仿宋" w:hAnsi="仿宋" w:eastAsia="仿宋" w:cs="仿宋"/>
                <w:kern w:val="0"/>
                <w:sz w:val="18"/>
                <w:szCs w:val="18"/>
              </w:rPr>
            </w:pPr>
          </w:p>
        </w:tc>
        <w:tc>
          <w:tcPr>
            <w:tcW w:w="659" w:type="pct"/>
            <w:vMerge w:val="continue"/>
            <w:tcBorders>
              <w:tl2br w:val="nil"/>
              <w:tr2bl w:val="nil"/>
            </w:tcBorders>
          </w:tcPr>
          <w:p w14:paraId="05818C86">
            <w:pPr>
              <w:widowControl/>
              <w:jc w:val="left"/>
              <w:rPr>
                <w:rFonts w:ascii="仿宋" w:hAnsi="仿宋" w:eastAsia="仿宋" w:cs="仿宋"/>
                <w:kern w:val="0"/>
                <w:sz w:val="18"/>
                <w:szCs w:val="18"/>
              </w:rPr>
            </w:pPr>
          </w:p>
        </w:tc>
        <w:tc>
          <w:tcPr>
            <w:tcW w:w="626" w:type="pct"/>
            <w:vMerge w:val="continue"/>
            <w:tcBorders>
              <w:tl2br w:val="nil"/>
              <w:tr2bl w:val="nil"/>
            </w:tcBorders>
          </w:tcPr>
          <w:p w14:paraId="380E36E0">
            <w:pPr>
              <w:widowControl/>
              <w:jc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2873B6C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积分商品</w:t>
            </w:r>
          </w:p>
        </w:tc>
        <w:tc>
          <w:tcPr>
            <w:tcW w:w="2465" w:type="pct"/>
            <w:tcBorders>
              <w:tl2br w:val="nil"/>
              <w:tr2bl w:val="nil"/>
            </w:tcBorders>
            <w:shd w:val="clear" w:color="auto" w:fill="auto"/>
          </w:tcPr>
          <w:p w14:paraId="266831F6">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可查看积分商品并进行兑换。</w:t>
            </w:r>
          </w:p>
        </w:tc>
      </w:tr>
      <w:tr w14:paraId="73C66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57BD1FD3">
            <w:pPr>
              <w:widowControl/>
              <w:jc w:val="left"/>
              <w:rPr>
                <w:rFonts w:ascii="仿宋" w:hAnsi="仿宋" w:eastAsia="仿宋" w:cs="仿宋"/>
                <w:kern w:val="0"/>
                <w:sz w:val="18"/>
                <w:szCs w:val="18"/>
              </w:rPr>
            </w:pPr>
          </w:p>
        </w:tc>
        <w:tc>
          <w:tcPr>
            <w:tcW w:w="659" w:type="pct"/>
            <w:vMerge w:val="continue"/>
            <w:tcBorders>
              <w:tl2br w:val="nil"/>
              <w:tr2bl w:val="nil"/>
            </w:tcBorders>
          </w:tcPr>
          <w:p w14:paraId="01D46A46">
            <w:pPr>
              <w:widowControl/>
              <w:jc w:val="left"/>
              <w:rPr>
                <w:rFonts w:ascii="仿宋" w:hAnsi="仿宋" w:eastAsia="仿宋" w:cs="仿宋"/>
                <w:kern w:val="0"/>
                <w:sz w:val="18"/>
                <w:szCs w:val="18"/>
              </w:rPr>
            </w:pPr>
          </w:p>
        </w:tc>
        <w:tc>
          <w:tcPr>
            <w:tcW w:w="626" w:type="pct"/>
            <w:vMerge w:val="continue"/>
            <w:tcBorders>
              <w:tl2br w:val="nil"/>
              <w:tr2bl w:val="nil"/>
            </w:tcBorders>
          </w:tcPr>
          <w:p w14:paraId="717FFA7B">
            <w:pPr>
              <w:widowControl/>
              <w:jc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0340CE4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兑换记录</w:t>
            </w:r>
          </w:p>
        </w:tc>
        <w:tc>
          <w:tcPr>
            <w:tcW w:w="2465" w:type="pct"/>
            <w:tcBorders>
              <w:tl2br w:val="nil"/>
              <w:tr2bl w:val="nil"/>
            </w:tcBorders>
            <w:shd w:val="clear" w:color="auto" w:fill="auto"/>
          </w:tcPr>
          <w:p w14:paraId="5A002D6B">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可查看积分商品的兑换记录。</w:t>
            </w:r>
          </w:p>
        </w:tc>
      </w:tr>
      <w:tr w14:paraId="71587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bottom w:val="single" w:color="auto" w:sz="4" w:space="0"/>
              <w:tl2br w:val="nil"/>
              <w:tr2bl w:val="nil"/>
            </w:tcBorders>
          </w:tcPr>
          <w:p w14:paraId="4C4F1196">
            <w:pPr>
              <w:widowControl/>
              <w:jc w:val="left"/>
              <w:rPr>
                <w:rFonts w:ascii="仿宋" w:hAnsi="仿宋" w:eastAsia="仿宋" w:cs="仿宋"/>
                <w:kern w:val="0"/>
                <w:sz w:val="18"/>
                <w:szCs w:val="18"/>
              </w:rPr>
            </w:pPr>
          </w:p>
        </w:tc>
        <w:tc>
          <w:tcPr>
            <w:tcW w:w="659" w:type="pct"/>
            <w:vMerge w:val="continue"/>
            <w:tcBorders>
              <w:tl2br w:val="nil"/>
              <w:tr2bl w:val="nil"/>
            </w:tcBorders>
          </w:tcPr>
          <w:p w14:paraId="4890F682">
            <w:pPr>
              <w:widowControl/>
              <w:jc w:val="left"/>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425E2028">
            <w:pPr>
              <w:widowControl/>
              <w:jc w:val="center"/>
              <w:textAlignment w:val="center"/>
              <w:rPr>
                <w:rFonts w:ascii="仿宋" w:hAnsi="仿宋" w:eastAsia="仿宋" w:cs="仿宋"/>
                <w:color w:val="000000"/>
                <w:sz w:val="18"/>
                <w:szCs w:val="18"/>
              </w:rPr>
            </w:pPr>
          </w:p>
        </w:tc>
        <w:tc>
          <w:tcPr>
            <w:tcW w:w="621" w:type="pct"/>
            <w:tcBorders>
              <w:tl2br w:val="nil"/>
              <w:tr2bl w:val="nil"/>
            </w:tcBorders>
            <w:shd w:val="clear" w:color="auto" w:fill="auto"/>
            <w:vAlign w:val="center"/>
          </w:tcPr>
          <w:p w14:paraId="5BB5A5B2">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修改密码</w:t>
            </w:r>
          </w:p>
        </w:tc>
        <w:tc>
          <w:tcPr>
            <w:tcW w:w="2465" w:type="pct"/>
            <w:tcBorders>
              <w:tl2br w:val="nil"/>
              <w:tr2bl w:val="nil"/>
            </w:tcBorders>
            <w:shd w:val="clear" w:color="auto" w:fill="auto"/>
          </w:tcPr>
          <w:p w14:paraId="42949482">
            <w:pPr>
              <w:widowControl/>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老年人用户可对当前账号的密码进行修改。</w:t>
            </w:r>
          </w:p>
        </w:tc>
      </w:tr>
      <w:tr w14:paraId="48575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restart"/>
            <w:tcBorders>
              <w:tl2br w:val="nil"/>
              <w:tr2bl w:val="nil"/>
            </w:tcBorders>
            <w:shd w:val="clear" w:color="auto" w:fill="auto"/>
            <w:vAlign w:val="center"/>
          </w:tcPr>
          <w:p w14:paraId="0A864E29">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医养康</w:t>
            </w:r>
          </w:p>
          <w:p w14:paraId="6C044475">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服务端</w:t>
            </w:r>
          </w:p>
          <w:p w14:paraId="6C11AB6F">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小程序</w:t>
            </w:r>
          </w:p>
        </w:tc>
        <w:tc>
          <w:tcPr>
            <w:tcW w:w="659" w:type="pct"/>
            <w:vMerge w:val="restart"/>
            <w:tcBorders>
              <w:tl2br w:val="nil"/>
              <w:tr2bl w:val="nil"/>
            </w:tcBorders>
            <w:shd w:val="clear" w:color="auto" w:fill="auto"/>
            <w:vAlign w:val="center"/>
          </w:tcPr>
          <w:p w14:paraId="63C8D356">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家床任务</w:t>
            </w:r>
          </w:p>
          <w:p w14:paraId="62F34EBF">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中心</w:t>
            </w:r>
          </w:p>
        </w:tc>
        <w:tc>
          <w:tcPr>
            <w:tcW w:w="626" w:type="pct"/>
            <w:vMerge w:val="restart"/>
            <w:tcBorders>
              <w:tl2br w:val="nil"/>
              <w:tr2bl w:val="nil"/>
            </w:tcBorders>
            <w:shd w:val="clear" w:color="auto" w:fill="auto"/>
            <w:vAlign w:val="center"/>
          </w:tcPr>
          <w:p w14:paraId="1FDD9BC7">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家床服务</w:t>
            </w:r>
          </w:p>
        </w:tc>
        <w:tc>
          <w:tcPr>
            <w:tcW w:w="621" w:type="pct"/>
            <w:tcBorders>
              <w:tl2br w:val="nil"/>
              <w:tr2bl w:val="nil"/>
            </w:tcBorders>
            <w:shd w:val="clear" w:color="auto" w:fill="auto"/>
            <w:vAlign w:val="center"/>
          </w:tcPr>
          <w:p w14:paraId="742993C5">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开始服务</w:t>
            </w:r>
          </w:p>
        </w:tc>
        <w:tc>
          <w:tcPr>
            <w:tcW w:w="2465" w:type="pct"/>
            <w:tcBorders>
              <w:tl2br w:val="nil"/>
              <w:tr2bl w:val="nil"/>
            </w:tcBorders>
            <w:shd w:val="clear" w:color="auto" w:fill="auto"/>
            <w:vAlign w:val="center"/>
          </w:tcPr>
          <w:p w14:paraId="1542F517">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可对待服务的订单进行开始服务操作。</w:t>
            </w:r>
          </w:p>
        </w:tc>
      </w:tr>
      <w:tr w14:paraId="1EF71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53616E0D">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3F263DBC">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299BFDA3">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55506484">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退单</w:t>
            </w:r>
          </w:p>
        </w:tc>
        <w:tc>
          <w:tcPr>
            <w:tcW w:w="2465" w:type="pct"/>
            <w:tcBorders>
              <w:tl2br w:val="nil"/>
              <w:tr2bl w:val="nil"/>
            </w:tcBorders>
            <w:shd w:val="clear" w:color="auto" w:fill="auto"/>
            <w:vAlign w:val="center"/>
          </w:tcPr>
          <w:p w14:paraId="37EE628A">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可对待服务的订单进行退单操作。退派工重新派工</w:t>
            </w:r>
          </w:p>
        </w:tc>
      </w:tr>
      <w:tr w14:paraId="7851E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664D68EF">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09F6C2F3">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6046FC00">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32316FED">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完成服务</w:t>
            </w:r>
          </w:p>
        </w:tc>
        <w:tc>
          <w:tcPr>
            <w:tcW w:w="2465" w:type="pct"/>
            <w:tcBorders>
              <w:tl2br w:val="nil"/>
              <w:tr2bl w:val="nil"/>
            </w:tcBorders>
            <w:shd w:val="clear" w:color="auto" w:fill="auto"/>
            <w:vAlign w:val="center"/>
          </w:tcPr>
          <w:p w14:paraId="76F73BC5">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可对待服务的订单进行开始服务操作。</w:t>
            </w:r>
          </w:p>
        </w:tc>
      </w:tr>
      <w:tr w14:paraId="7126B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74E759EE">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5FA69827">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69DAFF96">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62AC3391">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历史订单</w:t>
            </w:r>
          </w:p>
        </w:tc>
        <w:tc>
          <w:tcPr>
            <w:tcW w:w="2465" w:type="pct"/>
            <w:tcBorders>
              <w:tl2br w:val="nil"/>
              <w:tr2bl w:val="nil"/>
            </w:tcBorders>
            <w:shd w:val="clear" w:color="auto" w:fill="auto"/>
            <w:vAlign w:val="center"/>
          </w:tcPr>
          <w:p w14:paraId="33BEC568">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可查看历史订单详情。</w:t>
            </w:r>
          </w:p>
        </w:tc>
      </w:tr>
      <w:tr w14:paraId="6878C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3BA6B511">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6DC8174E">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0C1DFB92">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补录确认</w:t>
            </w:r>
          </w:p>
        </w:tc>
        <w:tc>
          <w:tcPr>
            <w:tcW w:w="621" w:type="pct"/>
            <w:tcBorders>
              <w:tl2br w:val="nil"/>
              <w:tr2bl w:val="nil"/>
            </w:tcBorders>
            <w:shd w:val="clear" w:color="auto" w:fill="auto"/>
            <w:vAlign w:val="center"/>
          </w:tcPr>
          <w:p w14:paraId="3A8CE10B">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补录确认</w:t>
            </w:r>
          </w:p>
        </w:tc>
        <w:tc>
          <w:tcPr>
            <w:tcW w:w="2465" w:type="pct"/>
            <w:tcBorders>
              <w:tl2br w:val="nil"/>
              <w:tr2bl w:val="nil"/>
            </w:tcBorders>
            <w:shd w:val="clear" w:color="auto" w:fill="auto"/>
            <w:vAlign w:val="center"/>
          </w:tcPr>
          <w:p w14:paraId="469D3FED">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派单员工对补录单与客户进行确认。</w:t>
            </w:r>
          </w:p>
        </w:tc>
      </w:tr>
      <w:tr w14:paraId="4B88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3C618EDD">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70CA4939">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7F0D21E6">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家床服务派工</w:t>
            </w:r>
          </w:p>
        </w:tc>
        <w:tc>
          <w:tcPr>
            <w:tcW w:w="621" w:type="pct"/>
            <w:tcBorders>
              <w:tl2br w:val="nil"/>
              <w:tr2bl w:val="nil"/>
            </w:tcBorders>
            <w:shd w:val="clear" w:color="auto" w:fill="auto"/>
            <w:vAlign w:val="center"/>
          </w:tcPr>
          <w:p w14:paraId="4819D73A">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家床服务派工</w:t>
            </w:r>
          </w:p>
        </w:tc>
        <w:tc>
          <w:tcPr>
            <w:tcW w:w="2465" w:type="pct"/>
            <w:tcBorders>
              <w:tl2br w:val="nil"/>
              <w:tr2bl w:val="nil"/>
            </w:tcBorders>
            <w:shd w:val="clear" w:color="auto" w:fill="auto"/>
            <w:vAlign w:val="center"/>
          </w:tcPr>
          <w:p w14:paraId="19A73777">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对未派工服务进行派工管理。</w:t>
            </w:r>
          </w:p>
        </w:tc>
      </w:tr>
      <w:tr w14:paraId="740BC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387BF32D">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64E9E912">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3FAFFC9C">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床位申请</w:t>
            </w:r>
          </w:p>
        </w:tc>
        <w:tc>
          <w:tcPr>
            <w:tcW w:w="621" w:type="pct"/>
            <w:tcBorders>
              <w:tl2br w:val="nil"/>
              <w:tr2bl w:val="nil"/>
            </w:tcBorders>
            <w:shd w:val="clear" w:color="auto" w:fill="auto"/>
            <w:vAlign w:val="center"/>
          </w:tcPr>
          <w:p w14:paraId="5EAF7F60">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床位申请</w:t>
            </w:r>
          </w:p>
        </w:tc>
        <w:tc>
          <w:tcPr>
            <w:tcW w:w="2465" w:type="pct"/>
            <w:tcBorders>
              <w:tl2br w:val="nil"/>
              <w:tr2bl w:val="nil"/>
            </w:tcBorders>
            <w:shd w:val="clear" w:color="auto" w:fill="auto"/>
            <w:vAlign w:val="center"/>
          </w:tcPr>
          <w:p w14:paraId="60932F27">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员工可为</w:t>
            </w:r>
            <w:r>
              <w:rPr>
                <w:rFonts w:hint="eastAsia" w:ascii="仿宋" w:hAnsi="仿宋" w:eastAsia="仿宋" w:cs="仿宋"/>
                <w:kern w:val="0"/>
                <w:sz w:val="18"/>
                <w:szCs w:val="18"/>
              </w:rPr>
              <w:t>老年人</w:t>
            </w:r>
            <w:r>
              <w:rPr>
                <w:rFonts w:hint="eastAsia" w:ascii="仿宋" w:hAnsi="仿宋" w:eastAsia="仿宋" w:cs="仿宋"/>
                <w:color w:val="000000"/>
                <w:kern w:val="0"/>
                <w:sz w:val="18"/>
                <w:szCs w:val="18"/>
                <w:lang w:bidi="ar"/>
              </w:rPr>
              <w:t>进行家床申请。</w:t>
            </w:r>
          </w:p>
        </w:tc>
      </w:tr>
      <w:tr w14:paraId="05891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692BF2C0">
            <w:pPr>
              <w:widowControl/>
              <w:jc w:val="center"/>
              <w:textAlignment w:val="center"/>
              <w:rPr>
                <w:rFonts w:ascii="仿宋" w:hAnsi="仿宋" w:eastAsia="仿宋" w:cs="仿宋"/>
                <w:kern w:val="0"/>
                <w:sz w:val="18"/>
                <w:szCs w:val="18"/>
              </w:rPr>
            </w:pPr>
          </w:p>
        </w:tc>
        <w:tc>
          <w:tcPr>
            <w:tcW w:w="659" w:type="pct"/>
            <w:vMerge w:val="restart"/>
            <w:tcBorders>
              <w:tl2br w:val="nil"/>
              <w:tr2bl w:val="nil"/>
            </w:tcBorders>
            <w:shd w:val="clear" w:color="auto" w:fill="auto"/>
            <w:vAlign w:val="center"/>
          </w:tcPr>
          <w:p w14:paraId="3DB88D30">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家床服务</w:t>
            </w:r>
          </w:p>
          <w:p w14:paraId="7DF7D2F3">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应用</w:t>
            </w:r>
          </w:p>
        </w:tc>
        <w:tc>
          <w:tcPr>
            <w:tcW w:w="626" w:type="pct"/>
            <w:vMerge w:val="restart"/>
            <w:tcBorders>
              <w:tl2br w:val="nil"/>
              <w:tr2bl w:val="nil"/>
            </w:tcBorders>
            <w:shd w:val="clear" w:color="auto" w:fill="auto"/>
            <w:vAlign w:val="center"/>
          </w:tcPr>
          <w:p w14:paraId="24113EBE">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建床签约</w:t>
            </w:r>
          </w:p>
        </w:tc>
        <w:tc>
          <w:tcPr>
            <w:tcW w:w="621" w:type="pct"/>
            <w:tcBorders>
              <w:tl2br w:val="nil"/>
              <w:tr2bl w:val="nil"/>
            </w:tcBorders>
            <w:shd w:val="clear" w:color="auto" w:fill="auto"/>
            <w:vAlign w:val="center"/>
          </w:tcPr>
          <w:p w14:paraId="6C3245BB">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建床签约</w:t>
            </w:r>
          </w:p>
        </w:tc>
        <w:tc>
          <w:tcPr>
            <w:tcW w:w="2465" w:type="pct"/>
            <w:tcBorders>
              <w:tl2br w:val="nil"/>
              <w:tr2bl w:val="nil"/>
            </w:tcBorders>
            <w:shd w:val="clear" w:color="auto" w:fill="auto"/>
            <w:vAlign w:val="center"/>
          </w:tcPr>
          <w:p w14:paraId="4F57C780">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w:t>
            </w:r>
            <w:r>
              <w:rPr>
                <w:rFonts w:hint="eastAsia" w:ascii="仿宋" w:hAnsi="仿宋" w:eastAsia="仿宋" w:cs="仿宋"/>
                <w:kern w:val="0"/>
                <w:sz w:val="18"/>
                <w:szCs w:val="18"/>
              </w:rPr>
              <w:t>老年人</w:t>
            </w:r>
            <w:r>
              <w:rPr>
                <w:rFonts w:hint="eastAsia" w:ascii="仿宋" w:hAnsi="仿宋" w:eastAsia="仿宋" w:cs="仿宋"/>
                <w:color w:val="000000"/>
                <w:kern w:val="0"/>
                <w:sz w:val="18"/>
                <w:szCs w:val="18"/>
                <w:lang w:bidi="ar"/>
              </w:rPr>
              <w:t>进行签约管理，包含基础信息（可对</w:t>
            </w:r>
            <w:r>
              <w:rPr>
                <w:rFonts w:hint="eastAsia" w:ascii="仿宋" w:hAnsi="仿宋" w:eastAsia="仿宋" w:cs="仿宋"/>
                <w:kern w:val="0"/>
                <w:sz w:val="18"/>
                <w:szCs w:val="18"/>
              </w:rPr>
              <w:t>老年人</w:t>
            </w:r>
            <w:r>
              <w:rPr>
                <w:rFonts w:hint="eastAsia" w:ascii="仿宋" w:hAnsi="仿宋" w:eastAsia="仿宋" w:cs="仿宋"/>
                <w:color w:val="000000"/>
                <w:kern w:val="0"/>
                <w:sz w:val="18"/>
                <w:szCs w:val="18"/>
                <w:lang w:bidi="ar"/>
              </w:rPr>
              <w:t>建档）、</w:t>
            </w:r>
            <w:r>
              <w:rPr>
                <w:rFonts w:hint="eastAsia" w:ascii="仿宋" w:hAnsi="仿宋" w:eastAsia="仿宋" w:cs="仿宋"/>
                <w:kern w:val="0"/>
                <w:sz w:val="18"/>
                <w:szCs w:val="18"/>
              </w:rPr>
              <w:t>老年</w:t>
            </w:r>
            <w:r>
              <w:rPr>
                <w:rFonts w:hint="eastAsia" w:ascii="仿宋" w:hAnsi="仿宋" w:eastAsia="仿宋" w:cs="仿宋"/>
                <w:color w:val="000000"/>
                <w:kern w:val="0"/>
                <w:sz w:val="18"/>
                <w:szCs w:val="18"/>
                <w:lang w:bidi="ar"/>
              </w:rPr>
              <w:t>评估、适老化改造方案、照护计划、签约信息。</w:t>
            </w:r>
          </w:p>
        </w:tc>
      </w:tr>
      <w:tr w14:paraId="4AEE7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7AB78788">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2DD8A245">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05572CAE">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512AFD16">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解约</w:t>
            </w:r>
          </w:p>
        </w:tc>
        <w:tc>
          <w:tcPr>
            <w:tcW w:w="2465" w:type="pct"/>
            <w:tcBorders>
              <w:tl2br w:val="nil"/>
              <w:tr2bl w:val="nil"/>
            </w:tcBorders>
            <w:shd w:val="clear" w:color="auto" w:fill="auto"/>
            <w:vAlign w:val="center"/>
          </w:tcPr>
          <w:p w14:paraId="0609DF37">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支持提前解约，解约后不能再继续下单家床服务。</w:t>
            </w:r>
          </w:p>
        </w:tc>
      </w:tr>
      <w:tr w14:paraId="4FEC7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63B0F67E">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37BE508D">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4EA8F522">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511E0B73">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续约</w:t>
            </w:r>
          </w:p>
        </w:tc>
        <w:tc>
          <w:tcPr>
            <w:tcW w:w="2465" w:type="pct"/>
            <w:tcBorders>
              <w:tl2br w:val="nil"/>
              <w:tr2bl w:val="nil"/>
            </w:tcBorders>
            <w:shd w:val="clear" w:color="auto" w:fill="auto"/>
            <w:vAlign w:val="center"/>
          </w:tcPr>
          <w:p w14:paraId="485501A4">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支持进行续约操作。</w:t>
            </w:r>
          </w:p>
        </w:tc>
      </w:tr>
      <w:tr w14:paraId="3610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03748EF3">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66A34F97">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4C6BADFE">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68C89E4B">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变更</w:t>
            </w:r>
          </w:p>
        </w:tc>
        <w:tc>
          <w:tcPr>
            <w:tcW w:w="2465" w:type="pct"/>
            <w:tcBorders>
              <w:tl2br w:val="nil"/>
              <w:tr2bl w:val="nil"/>
            </w:tcBorders>
            <w:shd w:val="clear" w:color="auto" w:fill="auto"/>
            <w:vAlign w:val="center"/>
          </w:tcPr>
          <w:p w14:paraId="7A9F7248">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支持对签约信息进行变更。</w:t>
            </w:r>
          </w:p>
        </w:tc>
      </w:tr>
      <w:tr w14:paraId="10FA6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55276A80">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69314F41">
            <w:pPr>
              <w:widowControl/>
              <w:jc w:val="center"/>
              <w:textAlignment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3815AC65">
            <w:pPr>
              <w:widowControl/>
              <w:jc w:val="center"/>
              <w:textAlignment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79FA917A">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签约详情</w:t>
            </w:r>
          </w:p>
        </w:tc>
        <w:tc>
          <w:tcPr>
            <w:tcW w:w="2465" w:type="pct"/>
            <w:tcBorders>
              <w:tl2br w:val="nil"/>
              <w:tr2bl w:val="nil"/>
            </w:tcBorders>
            <w:shd w:val="clear" w:color="auto" w:fill="auto"/>
            <w:vAlign w:val="center"/>
          </w:tcPr>
          <w:p w14:paraId="756F819F">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支持查看建床签约详情。</w:t>
            </w:r>
          </w:p>
        </w:tc>
      </w:tr>
      <w:tr w14:paraId="6E04B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0355927D">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3E9AD086">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0223E7B5">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家床服务起单</w:t>
            </w:r>
          </w:p>
        </w:tc>
        <w:tc>
          <w:tcPr>
            <w:tcW w:w="621" w:type="pct"/>
            <w:tcBorders>
              <w:tl2br w:val="nil"/>
              <w:tr2bl w:val="nil"/>
            </w:tcBorders>
            <w:shd w:val="clear" w:color="auto" w:fill="auto"/>
            <w:vAlign w:val="center"/>
          </w:tcPr>
          <w:p w14:paraId="4A3FD274">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家床服务起单</w:t>
            </w:r>
          </w:p>
        </w:tc>
        <w:tc>
          <w:tcPr>
            <w:tcW w:w="2465" w:type="pct"/>
            <w:tcBorders>
              <w:tl2br w:val="nil"/>
              <w:tr2bl w:val="nil"/>
            </w:tcBorders>
            <w:shd w:val="clear" w:color="auto" w:fill="auto"/>
            <w:vAlign w:val="center"/>
          </w:tcPr>
          <w:p w14:paraId="2C392F0D">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对签约生效</w:t>
            </w:r>
            <w:r>
              <w:rPr>
                <w:rFonts w:hint="eastAsia" w:ascii="仿宋" w:hAnsi="仿宋" w:eastAsia="仿宋" w:cs="仿宋"/>
                <w:kern w:val="0"/>
                <w:sz w:val="18"/>
                <w:szCs w:val="18"/>
              </w:rPr>
              <w:t>老年人</w:t>
            </w:r>
            <w:r>
              <w:rPr>
                <w:rFonts w:hint="eastAsia" w:ascii="仿宋" w:hAnsi="仿宋" w:eastAsia="仿宋" w:cs="仿宋"/>
                <w:color w:val="000000"/>
                <w:kern w:val="0"/>
                <w:sz w:val="18"/>
                <w:szCs w:val="18"/>
                <w:lang w:bidi="ar"/>
              </w:rPr>
              <w:t>进行服务代下单。</w:t>
            </w:r>
          </w:p>
        </w:tc>
      </w:tr>
      <w:tr w14:paraId="6421C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738AF136">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7351E151">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70E41269">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家床改造</w:t>
            </w:r>
          </w:p>
        </w:tc>
        <w:tc>
          <w:tcPr>
            <w:tcW w:w="621" w:type="pct"/>
            <w:tcBorders>
              <w:tl2br w:val="nil"/>
              <w:tr2bl w:val="nil"/>
            </w:tcBorders>
            <w:shd w:val="clear" w:color="auto" w:fill="auto"/>
            <w:vAlign w:val="center"/>
          </w:tcPr>
          <w:p w14:paraId="1D74D916">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家床改造</w:t>
            </w:r>
          </w:p>
        </w:tc>
        <w:tc>
          <w:tcPr>
            <w:tcW w:w="2465" w:type="pct"/>
            <w:tcBorders>
              <w:tl2br w:val="nil"/>
              <w:tr2bl w:val="nil"/>
            </w:tcBorders>
            <w:shd w:val="clear" w:color="auto" w:fill="auto"/>
            <w:vAlign w:val="center"/>
          </w:tcPr>
          <w:p w14:paraId="5FDDC33F">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服务员工对派工改造任务进行改造跟进确认。</w:t>
            </w:r>
          </w:p>
        </w:tc>
      </w:tr>
      <w:tr w14:paraId="52AD4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 w:hRule="atLeast"/>
        </w:trPr>
        <w:tc>
          <w:tcPr>
            <w:tcW w:w="626" w:type="pct"/>
            <w:vMerge w:val="continue"/>
            <w:tcBorders>
              <w:tl2br w:val="nil"/>
              <w:tr2bl w:val="nil"/>
            </w:tcBorders>
          </w:tcPr>
          <w:p w14:paraId="02BEEBB6">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2EC18228">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vAlign w:val="center"/>
          </w:tcPr>
          <w:p w14:paraId="774273ED">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家床设备绑定</w:t>
            </w:r>
          </w:p>
        </w:tc>
        <w:tc>
          <w:tcPr>
            <w:tcW w:w="621" w:type="pct"/>
            <w:tcBorders>
              <w:tl2br w:val="nil"/>
              <w:tr2bl w:val="nil"/>
            </w:tcBorders>
            <w:shd w:val="clear" w:color="000000" w:fill="FFFFFF"/>
            <w:vAlign w:val="center"/>
          </w:tcPr>
          <w:p w14:paraId="23B14A6A">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家床设备绑定</w:t>
            </w:r>
          </w:p>
        </w:tc>
        <w:tc>
          <w:tcPr>
            <w:tcW w:w="2465" w:type="pct"/>
            <w:tcBorders>
              <w:tl2br w:val="nil"/>
              <w:tr2bl w:val="nil"/>
            </w:tcBorders>
            <w:shd w:val="clear" w:color="auto" w:fill="auto"/>
            <w:vAlign w:val="center"/>
          </w:tcPr>
          <w:p w14:paraId="672FC914">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对设备绑定功能进行升级，支持对家床签约</w:t>
            </w:r>
            <w:r>
              <w:rPr>
                <w:rFonts w:hint="eastAsia" w:ascii="仿宋" w:hAnsi="仿宋" w:eastAsia="仿宋" w:cs="仿宋"/>
                <w:kern w:val="0"/>
                <w:sz w:val="18"/>
                <w:szCs w:val="18"/>
              </w:rPr>
              <w:t>老年人</w:t>
            </w:r>
            <w:r>
              <w:rPr>
                <w:rFonts w:hint="eastAsia" w:ascii="仿宋" w:hAnsi="仿宋" w:eastAsia="仿宋" w:cs="仿宋"/>
                <w:color w:val="000000"/>
                <w:kern w:val="0"/>
                <w:sz w:val="18"/>
                <w:szCs w:val="18"/>
                <w:lang w:bidi="ar"/>
              </w:rPr>
              <w:t>进行智能设备绑定。</w:t>
            </w:r>
          </w:p>
        </w:tc>
      </w:tr>
      <w:tr w14:paraId="15E1F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193A01D3">
            <w:pPr>
              <w:widowControl/>
              <w:jc w:val="center"/>
              <w:textAlignment w:val="center"/>
              <w:rPr>
                <w:rFonts w:ascii="仿宋" w:hAnsi="仿宋" w:eastAsia="仿宋" w:cs="仿宋"/>
                <w:kern w:val="0"/>
                <w:sz w:val="18"/>
                <w:szCs w:val="18"/>
              </w:rPr>
            </w:pPr>
          </w:p>
        </w:tc>
        <w:tc>
          <w:tcPr>
            <w:tcW w:w="659" w:type="pct"/>
            <w:vMerge w:val="continue"/>
            <w:tcBorders>
              <w:tl2br w:val="nil"/>
              <w:tr2bl w:val="nil"/>
            </w:tcBorders>
          </w:tcPr>
          <w:p w14:paraId="314A754C">
            <w:pPr>
              <w:widowControl/>
              <w:jc w:val="center"/>
              <w:textAlignment w:val="center"/>
              <w:rPr>
                <w:rFonts w:ascii="仿宋" w:hAnsi="仿宋" w:eastAsia="仿宋" w:cs="仿宋"/>
                <w:kern w:val="0"/>
                <w:sz w:val="18"/>
                <w:szCs w:val="18"/>
              </w:rPr>
            </w:pPr>
          </w:p>
        </w:tc>
        <w:tc>
          <w:tcPr>
            <w:tcW w:w="626" w:type="pct"/>
            <w:tcBorders>
              <w:tl2br w:val="nil"/>
              <w:tr2bl w:val="nil"/>
            </w:tcBorders>
            <w:shd w:val="clear" w:color="000000" w:fill="FFFFFF"/>
            <w:vAlign w:val="center"/>
          </w:tcPr>
          <w:p w14:paraId="161257A3">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家床设备告警</w:t>
            </w:r>
          </w:p>
        </w:tc>
        <w:tc>
          <w:tcPr>
            <w:tcW w:w="621" w:type="pct"/>
            <w:tcBorders>
              <w:tl2br w:val="nil"/>
              <w:tr2bl w:val="nil"/>
            </w:tcBorders>
            <w:shd w:val="clear" w:color="000000" w:fill="FFFFFF"/>
            <w:vAlign w:val="center"/>
          </w:tcPr>
          <w:p w14:paraId="3DCB6F59">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家床设备告警</w:t>
            </w:r>
          </w:p>
        </w:tc>
        <w:tc>
          <w:tcPr>
            <w:tcW w:w="2465" w:type="pct"/>
            <w:tcBorders>
              <w:tl2br w:val="nil"/>
              <w:tr2bl w:val="nil"/>
            </w:tcBorders>
            <w:shd w:val="clear" w:color="auto" w:fill="auto"/>
            <w:vAlign w:val="center"/>
          </w:tcPr>
          <w:p w14:paraId="64BBB88B">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对设备绑定功能进行升级，支持查看家床设备的告警记录。</w:t>
            </w:r>
          </w:p>
        </w:tc>
      </w:tr>
      <w:tr w14:paraId="30A14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4112CD41">
            <w:pPr>
              <w:widowControl/>
              <w:jc w:val="center"/>
              <w:textAlignment w:val="center"/>
              <w:rPr>
                <w:rFonts w:ascii="仿宋" w:hAnsi="仿宋" w:eastAsia="仿宋" w:cs="仿宋"/>
                <w:kern w:val="0"/>
                <w:sz w:val="18"/>
                <w:szCs w:val="18"/>
              </w:rPr>
            </w:pPr>
          </w:p>
        </w:tc>
        <w:tc>
          <w:tcPr>
            <w:tcW w:w="659" w:type="pct"/>
            <w:tcBorders>
              <w:tl2br w:val="nil"/>
              <w:tr2bl w:val="nil"/>
            </w:tcBorders>
            <w:vAlign w:val="center"/>
          </w:tcPr>
          <w:p w14:paraId="502A21DD">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医护人员</w:t>
            </w:r>
          </w:p>
          <w:p w14:paraId="42DD3F7B">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服务评价</w:t>
            </w:r>
          </w:p>
        </w:tc>
        <w:tc>
          <w:tcPr>
            <w:tcW w:w="626" w:type="pct"/>
            <w:tcBorders>
              <w:tl2br w:val="nil"/>
              <w:tr2bl w:val="nil"/>
            </w:tcBorders>
            <w:shd w:val="clear" w:color="000000" w:fill="FFFFFF"/>
            <w:vAlign w:val="center"/>
          </w:tcPr>
          <w:p w14:paraId="10B93127">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服务评价</w:t>
            </w:r>
          </w:p>
        </w:tc>
        <w:tc>
          <w:tcPr>
            <w:tcW w:w="621" w:type="pct"/>
            <w:tcBorders>
              <w:tl2br w:val="nil"/>
              <w:tr2bl w:val="nil"/>
            </w:tcBorders>
            <w:shd w:val="clear" w:color="000000" w:fill="FFFFFF"/>
            <w:vAlign w:val="center"/>
          </w:tcPr>
          <w:p w14:paraId="345D3882">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服务评价</w:t>
            </w:r>
          </w:p>
        </w:tc>
        <w:tc>
          <w:tcPr>
            <w:tcW w:w="2465" w:type="pct"/>
            <w:tcBorders>
              <w:tl2br w:val="nil"/>
              <w:tr2bl w:val="nil"/>
            </w:tcBorders>
            <w:shd w:val="clear" w:color="auto" w:fill="auto"/>
            <w:vAlign w:val="center"/>
          </w:tcPr>
          <w:p w14:paraId="7E0DCFF3">
            <w:pPr>
              <w:widowControl/>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bidi="ar"/>
              </w:rPr>
              <w:t>在管理后台和医护端小程序展示医护人员、服务人员的服务评价</w:t>
            </w:r>
            <w:r>
              <w:rPr>
                <w:rFonts w:hint="eastAsia" w:ascii="仿宋" w:hAnsi="仿宋" w:eastAsia="仿宋" w:cs="仿宋"/>
                <w:color w:val="000000"/>
                <w:kern w:val="0"/>
                <w:sz w:val="18"/>
                <w:szCs w:val="18"/>
                <w:lang w:eastAsia="zh-CN" w:bidi="ar"/>
              </w:rPr>
              <w:t>，并根据服务评价累计服务积分（平均5星可积3分，4星可积1分，其他星级不积分）。</w:t>
            </w:r>
          </w:p>
        </w:tc>
      </w:tr>
      <w:tr w14:paraId="033C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restart"/>
            <w:tcBorders>
              <w:top w:val="single" w:color="auto" w:sz="4" w:space="0"/>
              <w:tl2br w:val="nil"/>
              <w:tr2bl w:val="nil"/>
            </w:tcBorders>
            <w:vAlign w:val="center"/>
          </w:tcPr>
          <w:p w14:paraId="584F3019">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医养康</w:t>
            </w:r>
          </w:p>
          <w:p w14:paraId="79A1E60B">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管理后台</w:t>
            </w:r>
          </w:p>
        </w:tc>
        <w:tc>
          <w:tcPr>
            <w:tcW w:w="659" w:type="pct"/>
            <w:vMerge w:val="restart"/>
            <w:tcBorders>
              <w:tl2br w:val="nil"/>
              <w:tr2bl w:val="nil"/>
            </w:tcBorders>
            <w:vAlign w:val="center"/>
          </w:tcPr>
          <w:p w14:paraId="226E2DB1">
            <w:pPr>
              <w:widowControl/>
              <w:jc w:val="center"/>
              <w:rPr>
                <w:rFonts w:ascii="仿宋" w:hAnsi="仿宋" w:eastAsia="仿宋" w:cs="仿宋"/>
                <w:kern w:val="0"/>
                <w:sz w:val="18"/>
                <w:szCs w:val="18"/>
              </w:rPr>
            </w:pPr>
            <w:r>
              <w:rPr>
                <w:rFonts w:hint="eastAsia" w:ascii="仿宋" w:hAnsi="仿宋" w:eastAsia="仿宋" w:cs="仿宋"/>
                <w:kern w:val="0"/>
                <w:sz w:val="18"/>
                <w:szCs w:val="18"/>
              </w:rPr>
              <w:t>老年人</w:t>
            </w:r>
          </w:p>
          <w:p w14:paraId="35BF3EAC">
            <w:pPr>
              <w:widowControl/>
              <w:jc w:val="center"/>
              <w:rPr>
                <w:rFonts w:ascii="仿宋" w:hAnsi="仿宋" w:eastAsia="仿宋" w:cs="仿宋"/>
                <w:kern w:val="0"/>
                <w:sz w:val="18"/>
                <w:szCs w:val="18"/>
              </w:rPr>
            </w:pPr>
            <w:r>
              <w:rPr>
                <w:rFonts w:hint="eastAsia" w:ascii="仿宋" w:hAnsi="仿宋" w:eastAsia="仿宋" w:cs="仿宋"/>
                <w:kern w:val="0"/>
                <w:sz w:val="18"/>
                <w:szCs w:val="18"/>
              </w:rPr>
              <w:t>使用端</w:t>
            </w:r>
          </w:p>
          <w:p w14:paraId="307F63E4">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626" w:type="pct"/>
            <w:tcBorders>
              <w:tl2br w:val="nil"/>
              <w:tr2bl w:val="nil"/>
            </w:tcBorders>
            <w:shd w:val="clear" w:color="auto" w:fill="auto"/>
            <w:vAlign w:val="center"/>
          </w:tcPr>
          <w:p w14:paraId="6AB17CE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医康养</w:t>
            </w:r>
          </w:p>
          <w:p w14:paraId="5A17D47D">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商品库</w:t>
            </w:r>
          </w:p>
        </w:tc>
        <w:tc>
          <w:tcPr>
            <w:tcW w:w="621" w:type="pct"/>
            <w:tcBorders>
              <w:tl2br w:val="nil"/>
              <w:tr2bl w:val="nil"/>
            </w:tcBorders>
            <w:shd w:val="clear" w:color="auto" w:fill="auto"/>
            <w:vAlign w:val="center"/>
          </w:tcPr>
          <w:p w14:paraId="74126285">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商品库</w:t>
            </w:r>
          </w:p>
        </w:tc>
        <w:tc>
          <w:tcPr>
            <w:tcW w:w="2465" w:type="pct"/>
            <w:tcBorders>
              <w:tl2br w:val="nil"/>
              <w:tr2bl w:val="nil"/>
            </w:tcBorders>
            <w:shd w:val="clear" w:color="auto" w:fill="auto"/>
          </w:tcPr>
          <w:p w14:paraId="1B79A763">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对医养康商品进行统一管理，支持发布上门服务、到店服务、配送货物、自提货物。</w:t>
            </w:r>
          </w:p>
        </w:tc>
      </w:tr>
      <w:tr w14:paraId="5AA8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41C7694C">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611CFE2">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682DD71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服务包</w:t>
            </w:r>
          </w:p>
          <w:p w14:paraId="3A76959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621" w:type="pct"/>
            <w:tcBorders>
              <w:tl2br w:val="nil"/>
              <w:tr2bl w:val="nil"/>
            </w:tcBorders>
            <w:shd w:val="clear" w:color="auto" w:fill="auto"/>
            <w:vAlign w:val="center"/>
          </w:tcPr>
          <w:p w14:paraId="1759F762">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服务包</w:t>
            </w:r>
          </w:p>
          <w:p w14:paraId="1A9D3B59">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2465" w:type="pct"/>
            <w:tcBorders>
              <w:tl2br w:val="nil"/>
              <w:tr2bl w:val="nil"/>
            </w:tcBorders>
            <w:shd w:val="clear" w:color="auto" w:fill="auto"/>
          </w:tcPr>
          <w:p w14:paraId="5EC0FE41">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支持选择同一企业的多个商品打包成服务包进行售卖。</w:t>
            </w:r>
          </w:p>
        </w:tc>
      </w:tr>
      <w:tr w14:paraId="4B8B7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64627DFD">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04EB737">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7665D485">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10112875">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服务包</w:t>
            </w:r>
          </w:p>
          <w:p w14:paraId="226ED2F5">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审核</w:t>
            </w:r>
          </w:p>
        </w:tc>
        <w:tc>
          <w:tcPr>
            <w:tcW w:w="2465" w:type="pct"/>
            <w:tcBorders>
              <w:tl2br w:val="nil"/>
              <w:tr2bl w:val="nil"/>
            </w:tcBorders>
            <w:shd w:val="clear" w:color="auto" w:fill="auto"/>
          </w:tcPr>
          <w:p w14:paraId="6A64E057">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对服务包信息进行审核，审核通过后可进行服务包下单。</w:t>
            </w:r>
          </w:p>
        </w:tc>
      </w:tr>
      <w:tr w14:paraId="29ADA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08FEDEEE">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19B88CF">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4E12AE1B">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商品审核管理</w:t>
            </w:r>
          </w:p>
        </w:tc>
        <w:tc>
          <w:tcPr>
            <w:tcW w:w="621" w:type="pct"/>
            <w:tcBorders>
              <w:tl2br w:val="nil"/>
              <w:tr2bl w:val="nil"/>
            </w:tcBorders>
            <w:shd w:val="clear" w:color="auto" w:fill="auto"/>
            <w:vAlign w:val="center"/>
          </w:tcPr>
          <w:p w14:paraId="6120529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商品审核列表</w:t>
            </w:r>
          </w:p>
        </w:tc>
        <w:tc>
          <w:tcPr>
            <w:tcW w:w="2465" w:type="pct"/>
            <w:tcBorders>
              <w:tl2br w:val="nil"/>
              <w:tr2bl w:val="nil"/>
            </w:tcBorders>
            <w:shd w:val="clear" w:color="auto" w:fill="auto"/>
          </w:tcPr>
          <w:p w14:paraId="4D0E4BAE">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对商品信息进行审核，审核通过后可进行商品下单。</w:t>
            </w:r>
          </w:p>
        </w:tc>
      </w:tr>
      <w:tr w14:paraId="0DF6E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72722B0E">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A52B290">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156800B6">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4834BF1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商品审核配置</w:t>
            </w:r>
          </w:p>
        </w:tc>
        <w:tc>
          <w:tcPr>
            <w:tcW w:w="2465" w:type="pct"/>
            <w:tcBorders>
              <w:tl2br w:val="nil"/>
              <w:tr2bl w:val="nil"/>
            </w:tcBorders>
            <w:shd w:val="clear" w:color="auto" w:fill="auto"/>
          </w:tcPr>
          <w:p w14:paraId="01BB7A44">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对老年老年人的审核权限进行配置。</w:t>
            </w:r>
          </w:p>
        </w:tc>
      </w:tr>
      <w:tr w14:paraId="49EB0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18862746">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5A5AA99">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283C700D">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服务营销管理</w:t>
            </w:r>
          </w:p>
        </w:tc>
        <w:tc>
          <w:tcPr>
            <w:tcW w:w="621" w:type="pct"/>
            <w:tcBorders>
              <w:tl2br w:val="nil"/>
              <w:tr2bl w:val="nil"/>
            </w:tcBorders>
            <w:shd w:val="clear" w:color="auto" w:fill="auto"/>
            <w:vAlign w:val="center"/>
          </w:tcPr>
          <w:p w14:paraId="29F04593">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买赠规则管理</w:t>
            </w:r>
          </w:p>
        </w:tc>
        <w:tc>
          <w:tcPr>
            <w:tcW w:w="2465" w:type="pct"/>
            <w:tcBorders>
              <w:tl2br w:val="nil"/>
              <w:tr2bl w:val="nil"/>
            </w:tcBorders>
            <w:shd w:val="clear" w:color="auto" w:fill="auto"/>
          </w:tcPr>
          <w:p w14:paraId="27A4F31C">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对商品的买赠规则进行配置。</w:t>
            </w:r>
          </w:p>
        </w:tc>
      </w:tr>
      <w:tr w14:paraId="7E3FC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0321A16F">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6162DEA">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7B866A60">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7185FFC8">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买赠规则审核</w:t>
            </w:r>
          </w:p>
        </w:tc>
        <w:tc>
          <w:tcPr>
            <w:tcW w:w="2465" w:type="pct"/>
            <w:tcBorders>
              <w:tl2br w:val="nil"/>
              <w:tr2bl w:val="nil"/>
            </w:tcBorders>
            <w:shd w:val="clear" w:color="auto" w:fill="auto"/>
          </w:tcPr>
          <w:p w14:paraId="136D6F62">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对商品的买赠规则进行审核。</w:t>
            </w:r>
          </w:p>
        </w:tc>
      </w:tr>
      <w:tr w14:paraId="32A6D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70D3319B">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AE38C70">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3241ABE2">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订单管理</w:t>
            </w:r>
          </w:p>
        </w:tc>
        <w:tc>
          <w:tcPr>
            <w:tcW w:w="621" w:type="pct"/>
            <w:tcBorders>
              <w:tl2br w:val="nil"/>
              <w:tr2bl w:val="nil"/>
            </w:tcBorders>
            <w:shd w:val="clear" w:color="auto" w:fill="auto"/>
            <w:vAlign w:val="center"/>
          </w:tcPr>
          <w:p w14:paraId="22E8381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订单列表</w:t>
            </w:r>
          </w:p>
        </w:tc>
        <w:tc>
          <w:tcPr>
            <w:tcW w:w="2465" w:type="pct"/>
            <w:tcBorders>
              <w:tl2br w:val="nil"/>
              <w:tr2bl w:val="nil"/>
            </w:tcBorders>
            <w:shd w:val="clear" w:color="auto" w:fill="auto"/>
          </w:tcPr>
          <w:p w14:paraId="691CB21E">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对交易订单进行管理，可查看订单交易明细，支持服务起单、支付、退款、返单操作。</w:t>
            </w:r>
          </w:p>
        </w:tc>
      </w:tr>
      <w:tr w14:paraId="4FFAA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573BC518">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5303C1C4">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29EB7DF6">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404CEE04">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服务订单管理</w:t>
            </w:r>
          </w:p>
        </w:tc>
        <w:tc>
          <w:tcPr>
            <w:tcW w:w="2465" w:type="pct"/>
            <w:tcBorders>
              <w:tl2br w:val="nil"/>
              <w:tr2bl w:val="nil"/>
            </w:tcBorders>
            <w:shd w:val="clear" w:color="auto" w:fill="auto"/>
          </w:tcPr>
          <w:p w14:paraId="45A4135D">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对服务订单进行管理，支持核销、派工、订单补录操作。</w:t>
            </w:r>
          </w:p>
        </w:tc>
      </w:tr>
      <w:tr w14:paraId="150A9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3AF0D642">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D1250FA">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4ABC4B48">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0FB2B58B">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货物订单管理</w:t>
            </w:r>
          </w:p>
        </w:tc>
        <w:tc>
          <w:tcPr>
            <w:tcW w:w="2465" w:type="pct"/>
            <w:tcBorders>
              <w:tl2br w:val="nil"/>
              <w:tr2bl w:val="nil"/>
            </w:tcBorders>
            <w:shd w:val="clear" w:color="auto" w:fill="auto"/>
          </w:tcPr>
          <w:p w14:paraId="136DE831">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对货物订单进行管理，支持发货、修改物流信息、自提核销操作。</w:t>
            </w:r>
          </w:p>
        </w:tc>
      </w:tr>
      <w:tr w14:paraId="5AC2B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63C20C7D">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0724E2B1">
            <w:pPr>
              <w:jc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4E88FF55">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评价管理</w:t>
            </w:r>
          </w:p>
        </w:tc>
        <w:tc>
          <w:tcPr>
            <w:tcW w:w="621" w:type="pct"/>
            <w:tcBorders>
              <w:tl2br w:val="nil"/>
              <w:tr2bl w:val="nil"/>
            </w:tcBorders>
            <w:shd w:val="clear" w:color="auto" w:fill="auto"/>
            <w:vAlign w:val="center"/>
          </w:tcPr>
          <w:p w14:paraId="726D79BE">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评价管理</w:t>
            </w:r>
          </w:p>
        </w:tc>
        <w:tc>
          <w:tcPr>
            <w:tcW w:w="2465" w:type="pct"/>
            <w:tcBorders>
              <w:tl2br w:val="nil"/>
              <w:tr2bl w:val="nil"/>
            </w:tcBorders>
            <w:shd w:val="clear" w:color="auto" w:fill="auto"/>
          </w:tcPr>
          <w:p w14:paraId="5EBBA27A">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可查看订单评价明细信息，支持屏蔽评价在小程序的展示。</w:t>
            </w:r>
          </w:p>
        </w:tc>
      </w:tr>
      <w:tr w14:paraId="6B48B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08324EBD">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0248CDB7">
            <w:pPr>
              <w:jc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5FF335C9">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售后审核管理</w:t>
            </w:r>
          </w:p>
        </w:tc>
        <w:tc>
          <w:tcPr>
            <w:tcW w:w="621" w:type="pct"/>
            <w:tcBorders>
              <w:tl2br w:val="nil"/>
              <w:tr2bl w:val="nil"/>
            </w:tcBorders>
            <w:shd w:val="clear" w:color="auto" w:fill="auto"/>
            <w:vAlign w:val="center"/>
          </w:tcPr>
          <w:p w14:paraId="54362709">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售后审核管理</w:t>
            </w:r>
          </w:p>
        </w:tc>
        <w:tc>
          <w:tcPr>
            <w:tcW w:w="2465" w:type="pct"/>
            <w:tcBorders>
              <w:tl2br w:val="nil"/>
              <w:tr2bl w:val="nil"/>
            </w:tcBorders>
            <w:shd w:val="clear" w:color="auto" w:fill="auto"/>
          </w:tcPr>
          <w:p w14:paraId="682B1E96">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机构可对本机构的售后记录进行查看和审核。</w:t>
            </w:r>
          </w:p>
        </w:tc>
      </w:tr>
      <w:tr w14:paraId="2B8B0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331DE905">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BD8E418">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61DE27C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异常单</w:t>
            </w:r>
          </w:p>
          <w:p w14:paraId="6A03D309">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621" w:type="pct"/>
            <w:tcBorders>
              <w:tl2br w:val="nil"/>
              <w:tr2bl w:val="nil"/>
            </w:tcBorders>
            <w:shd w:val="clear" w:color="auto" w:fill="auto"/>
            <w:vAlign w:val="center"/>
          </w:tcPr>
          <w:p w14:paraId="557C92D9">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服务异常单管理</w:t>
            </w:r>
          </w:p>
        </w:tc>
        <w:tc>
          <w:tcPr>
            <w:tcW w:w="2465" w:type="pct"/>
            <w:tcBorders>
              <w:tl2br w:val="nil"/>
              <w:tr2bl w:val="nil"/>
            </w:tcBorders>
            <w:shd w:val="clear" w:color="auto" w:fill="auto"/>
          </w:tcPr>
          <w:p w14:paraId="1FDC07DE">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机构用户可查看异常服务订单，支持对异常单进行审核、导出处理。</w:t>
            </w:r>
          </w:p>
        </w:tc>
      </w:tr>
      <w:tr w14:paraId="08B0D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0B488AB0">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50010AAF">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673BF669">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4139AF74">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货物异常单管理</w:t>
            </w:r>
          </w:p>
        </w:tc>
        <w:tc>
          <w:tcPr>
            <w:tcW w:w="2465" w:type="pct"/>
            <w:tcBorders>
              <w:tl2br w:val="nil"/>
              <w:tr2bl w:val="nil"/>
            </w:tcBorders>
            <w:shd w:val="clear" w:color="auto" w:fill="auto"/>
          </w:tcPr>
          <w:p w14:paraId="3190F19B">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机构用户可查看异常货物订单，支持对异常单进行审核、导出处理。</w:t>
            </w:r>
          </w:p>
        </w:tc>
      </w:tr>
      <w:tr w14:paraId="27373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23FCA44F">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224F25D">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4384FE40">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656569B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异常规则配置</w:t>
            </w:r>
          </w:p>
        </w:tc>
        <w:tc>
          <w:tcPr>
            <w:tcW w:w="2465" w:type="pct"/>
            <w:tcBorders>
              <w:tl2br w:val="nil"/>
              <w:tr2bl w:val="nil"/>
            </w:tcBorders>
            <w:shd w:val="clear" w:color="auto" w:fill="auto"/>
          </w:tcPr>
          <w:p w14:paraId="717DA269">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平台用户可针对派工超时、服务迟到、服务超时、服务时长不达标、发货超时规则进行配置。</w:t>
            </w:r>
          </w:p>
        </w:tc>
      </w:tr>
      <w:tr w14:paraId="3FC9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200977F8">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558B455">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70C6462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居家业务报表</w:t>
            </w:r>
          </w:p>
        </w:tc>
        <w:tc>
          <w:tcPr>
            <w:tcW w:w="621" w:type="pct"/>
            <w:tcBorders>
              <w:tl2br w:val="nil"/>
              <w:tr2bl w:val="nil"/>
            </w:tcBorders>
            <w:shd w:val="clear" w:color="auto" w:fill="auto"/>
            <w:vAlign w:val="center"/>
          </w:tcPr>
          <w:p w14:paraId="51F84B86">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订单分账明细</w:t>
            </w:r>
          </w:p>
        </w:tc>
        <w:tc>
          <w:tcPr>
            <w:tcW w:w="2465" w:type="pct"/>
            <w:tcBorders>
              <w:tl2br w:val="nil"/>
              <w:tr2bl w:val="nil"/>
            </w:tcBorders>
            <w:shd w:val="clear" w:color="auto" w:fill="auto"/>
          </w:tcPr>
          <w:p w14:paraId="1F7AE5FA">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支持查看订单分账的明细数据。</w:t>
            </w:r>
          </w:p>
        </w:tc>
      </w:tr>
      <w:tr w14:paraId="00DD4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1A3A3C06">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24060EA">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10E93E23">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34138CFF">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政府结算报表</w:t>
            </w:r>
          </w:p>
        </w:tc>
        <w:tc>
          <w:tcPr>
            <w:tcW w:w="2465" w:type="pct"/>
            <w:tcBorders>
              <w:tl2br w:val="nil"/>
              <w:tr2bl w:val="nil"/>
            </w:tcBorders>
            <w:shd w:val="clear" w:color="auto" w:fill="auto"/>
          </w:tcPr>
          <w:p w14:paraId="3CB670A5">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可查询居家服务补贴结算报表，支持进行导出、查看明细、导出明细。</w:t>
            </w:r>
          </w:p>
        </w:tc>
      </w:tr>
      <w:tr w14:paraId="57C0C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150EF0FE">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DFFD7BF">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79D3677B">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08E653E4">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销售收支汇总表</w:t>
            </w:r>
          </w:p>
        </w:tc>
        <w:tc>
          <w:tcPr>
            <w:tcW w:w="2465" w:type="pct"/>
            <w:tcBorders>
              <w:tl2br w:val="nil"/>
              <w:tr2bl w:val="nil"/>
            </w:tcBorders>
            <w:shd w:val="clear" w:color="auto" w:fill="auto"/>
          </w:tcPr>
          <w:p w14:paraId="6E009A6E">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可查看本机构及下级机构的收支情况。</w:t>
            </w:r>
          </w:p>
        </w:tc>
      </w:tr>
      <w:tr w14:paraId="4A807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31F3EE40">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FE9CEF7">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0CF9342F">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62008209">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供应商收支汇总表</w:t>
            </w:r>
          </w:p>
        </w:tc>
        <w:tc>
          <w:tcPr>
            <w:tcW w:w="2465" w:type="pct"/>
            <w:tcBorders>
              <w:tl2br w:val="nil"/>
              <w:tr2bl w:val="nil"/>
            </w:tcBorders>
            <w:shd w:val="clear" w:color="auto" w:fill="auto"/>
          </w:tcPr>
          <w:p w14:paraId="17E9A73B">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可查看本机构作为服务商的收支情况。</w:t>
            </w:r>
          </w:p>
        </w:tc>
      </w:tr>
      <w:tr w14:paraId="6C582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0E41858B">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130F321">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3F2CE44B">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服务商</w:t>
            </w:r>
          </w:p>
          <w:p w14:paraId="3661A067">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621" w:type="pct"/>
            <w:tcBorders>
              <w:tl2br w:val="nil"/>
              <w:tr2bl w:val="nil"/>
            </w:tcBorders>
            <w:shd w:val="clear" w:color="auto" w:fill="auto"/>
            <w:vAlign w:val="center"/>
          </w:tcPr>
          <w:p w14:paraId="5FE09E3B">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服务商</w:t>
            </w:r>
          </w:p>
          <w:p w14:paraId="7476B9BB">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管理</w:t>
            </w:r>
          </w:p>
        </w:tc>
        <w:tc>
          <w:tcPr>
            <w:tcW w:w="2465" w:type="pct"/>
            <w:tcBorders>
              <w:tl2br w:val="nil"/>
              <w:tr2bl w:val="nil"/>
            </w:tcBorders>
            <w:shd w:val="clear" w:color="auto" w:fill="auto"/>
          </w:tcPr>
          <w:p w14:paraId="26CDF6B3">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机构可查看本机构的服务商，对服务商的申请信息进行审核。</w:t>
            </w:r>
          </w:p>
        </w:tc>
      </w:tr>
      <w:tr w14:paraId="36774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23B7D4C2">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1FD6C45">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7EF1BB00">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747EEE68">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申请成为服务商</w:t>
            </w:r>
          </w:p>
        </w:tc>
        <w:tc>
          <w:tcPr>
            <w:tcW w:w="2465" w:type="pct"/>
            <w:tcBorders>
              <w:tl2br w:val="nil"/>
              <w:tr2bl w:val="nil"/>
            </w:tcBorders>
            <w:shd w:val="clear" w:color="auto" w:fill="auto"/>
          </w:tcPr>
          <w:p w14:paraId="418EFE1D">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机构可申请成为其他机构服务商。</w:t>
            </w:r>
          </w:p>
        </w:tc>
      </w:tr>
      <w:tr w14:paraId="41160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659FEE93">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EAE67B8">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0A98FA8B">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5208A7FC">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服务商</w:t>
            </w:r>
          </w:p>
          <w:p w14:paraId="35B56293">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列表</w:t>
            </w:r>
          </w:p>
        </w:tc>
        <w:tc>
          <w:tcPr>
            <w:tcW w:w="2465" w:type="pct"/>
            <w:tcBorders>
              <w:tl2br w:val="nil"/>
              <w:tr2bl w:val="nil"/>
            </w:tcBorders>
            <w:shd w:val="clear" w:color="auto" w:fill="auto"/>
          </w:tcPr>
          <w:p w14:paraId="036C9BB5">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平台可查看机构间的服务关系。</w:t>
            </w:r>
          </w:p>
        </w:tc>
      </w:tr>
      <w:tr w14:paraId="4A44D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47B596AD">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B21C985">
            <w:pPr>
              <w:jc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4F945DA6">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政采机构管理</w:t>
            </w:r>
          </w:p>
        </w:tc>
        <w:tc>
          <w:tcPr>
            <w:tcW w:w="621" w:type="pct"/>
            <w:tcBorders>
              <w:tl2br w:val="nil"/>
              <w:tr2bl w:val="nil"/>
            </w:tcBorders>
            <w:shd w:val="clear" w:color="auto" w:fill="auto"/>
            <w:vAlign w:val="center"/>
          </w:tcPr>
          <w:p w14:paraId="47E18110">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政采机构管理</w:t>
            </w:r>
          </w:p>
        </w:tc>
        <w:tc>
          <w:tcPr>
            <w:tcW w:w="2465" w:type="pct"/>
            <w:tcBorders>
              <w:tl2br w:val="nil"/>
              <w:tr2bl w:val="nil"/>
            </w:tcBorders>
            <w:shd w:val="clear" w:color="auto" w:fill="auto"/>
          </w:tcPr>
          <w:p w14:paraId="0F5CE1E8">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对支持使用服务券的机构进行管理。</w:t>
            </w:r>
          </w:p>
        </w:tc>
      </w:tr>
      <w:tr w14:paraId="06E4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26" w:type="pct"/>
            <w:vMerge w:val="continue"/>
            <w:tcBorders>
              <w:tl2br w:val="nil"/>
              <w:tr2bl w:val="nil"/>
            </w:tcBorders>
          </w:tcPr>
          <w:p w14:paraId="0C60BD40">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13F33C83">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64A7A05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养老服务券管理</w:t>
            </w:r>
          </w:p>
        </w:tc>
        <w:tc>
          <w:tcPr>
            <w:tcW w:w="621" w:type="pct"/>
            <w:tcBorders>
              <w:tl2br w:val="nil"/>
              <w:tr2bl w:val="nil"/>
            </w:tcBorders>
            <w:shd w:val="clear" w:color="auto" w:fill="auto"/>
            <w:vAlign w:val="center"/>
          </w:tcPr>
          <w:p w14:paraId="3A70FF85">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消费券</w:t>
            </w:r>
          </w:p>
          <w:p w14:paraId="0F0F26F4">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充值明细</w:t>
            </w:r>
          </w:p>
        </w:tc>
        <w:tc>
          <w:tcPr>
            <w:tcW w:w="2465" w:type="pct"/>
            <w:tcBorders>
              <w:tl2br w:val="nil"/>
              <w:tr2bl w:val="nil"/>
            </w:tcBorders>
            <w:shd w:val="clear" w:color="auto" w:fill="auto"/>
          </w:tcPr>
          <w:p w14:paraId="4F9AEFC0">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支持查看权限内服务券兑换列表，支持养老服务券兑换。</w:t>
            </w:r>
          </w:p>
        </w:tc>
      </w:tr>
      <w:tr w14:paraId="0628E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37D5A388">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7F867DDF">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1F087DDB">
            <w:pPr>
              <w:jc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530A14F3">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居家消费明细</w:t>
            </w:r>
          </w:p>
        </w:tc>
        <w:tc>
          <w:tcPr>
            <w:tcW w:w="2465" w:type="pct"/>
            <w:tcBorders>
              <w:tl2br w:val="nil"/>
              <w:tr2bl w:val="nil"/>
            </w:tcBorders>
            <w:shd w:val="clear" w:color="auto" w:fill="auto"/>
          </w:tcPr>
          <w:p w14:paraId="36E5DF56">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支持查看权限内养老服务券消费记录，支持导出。</w:t>
            </w:r>
          </w:p>
        </w:tc>
      </w:tr>
      <w:tr w14:paraId="39AFB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50D3ABC4">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9AD5F60">
            <w:pPr>
              <w:jc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60A6A85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商城配置</w:t>
            </w:r>
          </w:p>
        </w:tc>
        <w:tc>
          <w:tcPr>
            <w:tcW w:w="621" w:type="pct"/>
            <w:tcBorders>
              <w:tl2br w:val="nil"/>
              <w:tr2bl w:val="nil"/>
            </w:tcBorders>
            <w:shd w:val="clear" w:color="auto" w:fill="auto"/>
            <w:vAlign w:val="center"/>
          </w:tcPr>
          <w:p w14:paraId="6140CE42">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商城配置</w:t>
            </w:r>
          </w:p>
        </w:tc>
        <w:tc>
          <w:tcPr>
            <w:tcW w:w="2465" w:type="pct"/>
            <w:tcBorders>
              <w:tl2br w:val="nil"/>
              <w:tr2bl w:val="nil"/>
            </w:tcBorders>
            <w:shd w:val="clear" w:color="auto" w:fill="auto"/>
          </w:tcPr>
          <w:p w14:paraId="47CDB54D">
            <w:pPr>
              <w:widowControl/>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对机构居家社区服务的上门服务范围、到店服务地址、到店说明、发货地址、配送范围、自提地址、自提说明进行配置。</w:t>
            </w:r>
          </w:p>
        </w:tc>
      </w:tr>
      <w:tr w14:paraId="33F23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4BBD1CF2">
            <w:pPr>
              <w:widowControl/>
              <w:jc w:val="left"/>
              <w:rPr>
                <w:rFonts w:ascii="仿宋" w:hAnsi="仿宋" w:eastAsia="仿宋" w:cs="仿宋"/>
                <w:kern w:val="0"/>
                <w:sz w:val="18"/>
                <w:szCs w:val="18"/>
              </w:rPr>
            </w:pPr>
          </w:p>
        </w:tc>
        <w:tc>
          <w:tcPr>
            <w:tcW w:w="659" w:type="pct"/>
            <w:tcBorders>
              <w:tl2br w:val="nil"/>
              <w:tr2bl w:val="nil"/>
            </w:tcBorders>
            <w:vAlign w:val="center"/>
          </w:tcPr>
          <w:p w14:paraId="7B28D8FD">
            <w:pPr>
              <w:widowControl/>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多元支付</w:t>
            </w:r>
          </w:p>
        </w:tc>
        <w:tc>
          <w:tcPr>
            <w:tcW w:w="626" w:type="pct"/>
            <w:tcBorders>
              <w:tl2br w:val="nil"/>
              <w:tr2bl w:val="nil"/>
            </w:tcBorders>
            <w:shd w:val="clear" w:color="auto" w:fill="auto"/>
            <w:vAlign w:val="center"/>
          </w:tcPr>
          <w:p w14:paraId="6A57EFE2">
            <w:pPr>
              <w:widowControl/>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多元支付</w:t>
            </w:r>
          </w:p>
        </w:tc>
        <w:tc>
          <w:tcPr>
            <w:tcW w:w="621" w:type="pct"/>
            <w:tcBorders>
              <w:tl2br w:val="nil"/>
              <w:tr2bl w:val="nil"/>
            </w:tcBorders>
            <w:shd w:val="clear" w:color="auto" w:fill="auto"/>
            <w:vAlign w:val="center"/>
          </w:tcPr>
          <w:p w14:paraId="6C4E8E78">
            <w:pPr>
              <w:widowControl/>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多元支付</w:t>
            </w:r>
          </w:p>
        </w:tc>
        <w:tc>
          <w:tcPr>
            <w:tcW w:w="2465" w:type="pct"/>
            <w:tcBorders>
              <w:tl2br w:val="nil"/>
              <w:tr2bl w:val="nil"/>
            </w:tcBorders>
            <w:shd w:val="clear" w:color="auto" w:fill="auto"/>
            <w:vAlign w:val="center"/>
          </w:tcPr>
          <w:p w14:paraId="2464CE74">
            <w:pPr>
              <w:widowControl/>
              <w:rPr>
                <w:rFonts w:ascii="仿宋" w:hAnsi="仿宋" w:eastAsia="仿宋" w:cs="仿宋"/>
                <w:kern w:val="0"/>
                <w:sz w:val="18"/>
                <w:szCs w:val="18"/>
                <w:highlight w:val="none"/>
              </w:rPr>
            </w:pPr>
            <w:r>
              <w:rPr>
                <w:rFonts w:hint="eastAsia" w:ascii="仿宋" w:hAnsi="仿宋" w:eastAsia="仿宋" w:cs="仿宋"/>
                <w:kern w:val="0"/>
                <w:sz w:val="18"/>
                <w:szCs w:val="18"/>
                <w:highlight w:val="none"/>
              </w:rPr>
              <w:t>可以使用养老服务券、银联等方式进行订单支付。</w:t>
            </w:r>
          </w:p>
          <w:p w14:paraId="190FB286">
            <w:pPr>
              <w:widowControl/>
              <w:rPr>
                <w:rFonts w:ascii="仿宋" w:hAnsi="仿宋" w:eastAsia="仿宋" w:cs="仿宋"/>
                <w:kern w:val="0"/>
                <w:sz w:val="18"/>
                <w:szCs w:val="18"/>
                <w:highlight w:val="none"/>
              </w:rPr>
            </w:pPr>
            <w:r>
              <w:rPr>
                <w:rFonts w:hint="eastAsia" w:ascii="仿宋" w:hAnsi="仿宋" w:eastAsia="仿宋" w:cs="仿宋"/>
                <w:kern w:val="0"/>
                <w:sz w:val="18"/>
                <w:szCs w:val="18"/>
                <w:highlight w:val="none"/>
              </w:rPr>
              <w:t>老年人通过用户端小程序下单，可以通过微信完成支付；通过管理后台进行服务起单，可以生成支付二维码，由老年人通过微信、支付宝扫码完成支付。</w:t>
            </w:r>
          </w:p>
        </w:tc>
      </w:tr>
      <w:tr w14:paraId="2BA9E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 w:hRule="atLeast"/>
        </w:trPr>
        <w:tc>
          <w:tcPr>
            <w:tcW w:w="626" w:type="pct"/>
            <w:vMerge w:val="continue"/>
            <w:tcBorders>
              <w:tl2br w:val="nil"/>
              <w:tr2bl w:val="nil"/>
            </w:tcBorders>
          </w:tcPr>
          <w:p w14:paraId="3C51234C">
            <w:pPr>
              <w:widowControl/>
              <w:jc w:val="left"/>
              <w:rPr>
                <w:rFonts w:ascii="仿宋" w:hAnsi="仿宋" w:eastAsia="仿宋" w:cs="仿宋"/>
                <w:kern w:val="0"/>
                <w:sz w:val="18"/>
                <w:szCs w:val="18"/>
              </w:rPr>
            </w:pPr>
          </w:p>
        </w:tc>
        <w:tc>
          <w:tcPr>
            <w:tcW w:w="659" w:type="pct"/>
            <w:vMerge w:val="restart"/>
            <w:tcBorders>
              <w:tl2br w:val="nil"/>
              <w:tr2bl w:val="nil"/>
            </w:tcBorders>
            <w:shd w:val="clear" w:color="auto" w:fill="auto"/>
            <w:vAlign w:val="center"/>
          </w:tcPr>
          <w:p w14:paraId="3FDA198D">
            <w:pPr>
              <w:widowControl/>
              <w:jc w:val="center"/>
              <w:rPr>
                <w:rFonts w:ascii="仿宋" w:hAnsi="仿宋" w:eastAsia="仿宋" w:cs="仿宋"/>
                <w:kern w:val="0"/>
                <w:sz w:val="18"/>
                <w:szCs w:val="18"/>
              </w:rPr>
            </w:pPr>
            <w:r>
              <w:rPr>
                <w:rFonts w:hint="eastAsia" w:ascii="仿宋" w:hAnsi="仿宋" w:eastAsia="仿宋" w:cs="仿宋"/>
                <w:kern w:val="0"/>
                <w:sz w:val="18"/>
                <w:szCs w:val="18"/>
              </w:rPr>
              <w:t>设备管理</w:t>
            </w:r>
          </w:p>
        </w:tc>
        <w:tc>
          <w:tcPr>
            <w:tcW w:w="626" w:type="pct"/>
            <w:vMerge w:val="restart"/>
            <w:tcBorders>
              <w:tl2br w:val="nil"/>
              <w:tr2bl w:val="nil"/>
            </w:tcBorders>
            <w:shd w:val="clear" w:color="auto" w:fill="auto"/>
            <w:vAlign w:val="center"/>
          </w:tcPr>
          <w:p w14:paraId="024C7B65">
            <w:pPr>
              <w:widowControl/>
              <w:jc w:val="center"/>
              <w:rPr>
                <w:rFonts w:ascii="仿宋" w:hAnsi="仿宋" w:eastAsia="仿宋" w:cs="仿宋"/>
                <w:kern w:val="0"/>
                <w:sz w:val="18"/>
                <w:szCs w:val="18"/>
              </w:rPr>
            </w:pPr>
            <w:r>
              <w:rPr>
                <w:rFonts w:hint="eastAsia" w:ascii="仿宋" w:hAnsi="仿宋" w:eastAsia="仿宋" w:cs="仿宋"/>
                <w:kern w:val="0"/>
                <w:sz w:val="18"/>
                <w:szCs w:val="18"/>
              </w:rPr>
              <w:t>家床设备</w:t>
            </w:r>
          </w:p>
        </w:tc>
        <w:tc>
          <w:tcPr>
            <w:tcW w:w="621" w:type="pct"/>
            <w:tcBorders>
              <w:tl2br w:val="nil"/>
              <w:tr2bl w:val="nil"/>
            </w:tcBorders>
            <w:shd w:val="clear" w:color="auto" w:fill="auto"/>
            <w:vAlign w:val="center"/>
          </w:tcPr>
          <w:p w14:paraId="3252DE49">
            <w:pPr>
              <w:widowControl/>
              <w:jc w:val="center"/>
              <w:rPr>
                <w:rFonts w:ascii="仿宋" w:hAnsi="仿宋" w:eastAsia="仿宋" w:cs="仿宋"/>
                <w:kern w:val="0"/>
                <w:sz w:val="18"/>
                <w:szCs w:val="18"/>
              </w:rPr>
            </w:pPr>
            <w:r>
              <w:rPr>
                <w:rFonts w:hint="eastAsia" w:ascii="仿宋" w:hAnsi="仿宋" w:eastAsia="仿宋" w:cs="仿宋"/>
                <w:kern w:val="0"/>
                <w:sz w:val="18"/>
                <w:szCs w:val="18"/>
              </w:rPr>
              <w:t>家床绑定</w:t>
            </w:r>
          </w:p>
        </w:tc>
        <w:tc>
          <w:tcPr>
            <w:tcW w:w="2465" w:type="pct"/>
            <w:tcBorders>
              <w:tl2br w:val="nil"/>
              <w:tr2bl w:val="nil"/>
            </w:tcBorders>
            <w:shd w:val="clear" w:color="auto" w:fill="auto"/>
          </w:tcPr>
          <w:p w14:paraId="27BFAE0A">
            <w:pPr>
              <w:widowControl/>
              <w:rPr>
                <w:rFonts w:ascii="仿宋" w:hAnsi="仿宋" w:eastAsia="仿宋" w:cs="仿宋"/>
                <w:kern w:val="0"/>
                <w:sz w:val="18"/>
                <w:szCs w:val="18"/>
              </w:rPr>
            </w:pPr>
            <w:r>
              <w:rPr>
                <w:rFonts w:hint="eastAsia" w:ascii="仿宋" w:hAnsi="仿宋" w:eastAsia="仿宋" w:cs="仿宋"/>
                <w:kern w:val="0"/>
                <w:sz w:val="18"/>
                <w:szCs w:val="18"/>
              </w:rPr>
              <w:t>对设备绑定功能进行升级，支持对家床签约老年人进行智能设备绑定。</w:t>
            </w:r>
          </w:p>
        </w:tc>
      </w:tr>
      <w:tr w14:paraId="22407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4991A090">
            <w:pPr>
              <w:widowControl/>
              <w:jc w:val="left"/>
              <w:rPr>
                <w:rFonts w:ascii="仿宋" w:hAnsi="仿宋" w:eastAsia="仿宋" w:cs="仿宋"/>
                <w:kern w:val="0"/>
                <w:sz w:val="18"/>
                <w:szCs w:val="18"/>
              </w:rPr>
            </w:pPr>
          </w:p>
        </w:tc>
        <w:tc>
          <w:tcPr>
            <w:tcW w:w="659" w:type="pct"/>
            <w:vMerge w:val="continue"/>
            <w:tcBorders>
              <w:tl2br w:val="nil"/>
              <w:tr2bl w:val="nil"/>
            </w:tcBorders>
            <w:shd w:val="clear" w:color="auto" w:fill="auto"/>
            <w:vAlign w:val="center"/>
          </w:tcPr>
          <w:p w14:paraId="6C5A6EE1">
            <w:pPr>
              <w:widowControl/>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18DBA517">
            <w:pPr>
              <w:widowControl/>
              <w:jc w:val="center"/>
              <w:rPr>
                <w:rFonts w:ascii="仿宋" w:hAnsi="仿宋" w:eastAsia="仿宋" w:cs="仿宋"/>
                <w:kern w:val="0"/>
                <w:sz w:val="18"/>
                <w:szCs w:val="18"/>
              </w:rPr>
            </w:pPr>
          </w:p>
        </w:tc>
        <w:tc>
          <w:tcPr>
            <w:tcW w:w="621" w:type="pct"/>
            <w:tcBorders>
              <w:tl2br w:val="nil"/>
              <w:tr2bl w:val="nil"/>
            </w:tcBorders>
            <w:shd w:val="clear" w:color="auto" w:fill="auto"/>
            <w:vAlign w:val="center"/>
          </w:tcPr>
          <w:p w14:paraId="27657783">
            <w:pPr>
              <w:widowControl/>
              <w:jc w:val="center"/>
              <w:rPr>
                <w:rFonts w:ascii="仿宋" w:hAnsi="仿宋" w:eastAsia="仿宋" w:cs="仿宋"/>
                <w:kern w:val="0"/>
                <w:sz w:val="18"/>
                <w:szCs w:val="18"/>
              </w:rPr>
            </w:pPr>
            <w:r>
              <w:rPr>
                <w:rFonts w:hint="eastAsia" w:ascii="仿宋" w:hAnsi="仿宋" w:eastAsia="仿宋" w:cs="仿宋"/>
                <w:kern w:val="0"/>
                <w:sz w:val="18"/>
                <w:szCs w:val="18"/>
              </w:rPr>
              <w:t>家床设备告警</w:t>
            </w:r>
          </w:p>
        </w:tc>
        <w:tc>
          <w:tcPr>
            <w:tcW w:w="2465" w:type="pct"/>
            <w:tcBorders>
              <w:tl2br w:val="nil"/>
              <w:tr2bl w:val="nil"/>
            </w:tcBorders>
            <w:shd w:val="clear" w:color="auto" w:fill="auto"/>
          </w:tcPr>
          <w:p w14:paraId="17449253">
            <w:pPr>
              <w:widowControl/>
              <w:rPr>
                <w:rFonts w:ascii="仿宋" w:hAnsi="仿宋" w:eastAsia="仿宋" w:cs="仿宋"/>
                <w:kern w:val="0"/>
                <w:sz w:val="18"/>
                <w:szCs w:val="18"/>
              </w:rPr>
            </w:pPr>
            <w:r>
              <w:rPr>
                <w:rFonts w:hint="eastAsia" w:ascii="仿宋" w:hAnsi="仿宋" w:eastAsia="仿宋" w:cs="仿宋"/>
                <w:kern w:val="0"/>
                <w:sz w:val="18"/>
                <w:szCs w:val="18"/>
              </w:rPr>
              <w:t>对设备绑定功能进行升级，支持查看家床配套设备的告警记录。</w:t>
            </w:r>
          </w:p>
        </w:tc>
      </w:tr>
      <w:tr w14:paraId="1A39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3112DAAE">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0D9A4070">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3E0109F4">
            <w:pPr>
              <w:widowControl/>
              <w:jc w:val="center"/>
              <w:textAlignment w:val="center"/>
              <w:rPr>
                <w:rFonts w:ascii="仿宋" w:hAnsi="仿宋" w:eastAsia="仿宋" w:cs="仿宋"/>
                <w:color w:val="000000"/>
                <w:kern w:val="0"/>
                <w:sz w:val="18"/>
                <w:szCs w:val="18"/>
                <w:lang w:bidi="ar"/>
              </w:rPr>
            </w:pPr>
          </w:p>
        </w:tc>
        <w:tc>
          <w:tcPr>
            <w:tcW w:w="621" w:type="pct"/>
            <w:tcBorders>
              <w:tl2br w:val="nil"/>
              <w:tr2bl w:val="nil"/>
            </w:tcBorders>
            <w:shd w:val="clear" w:color="auto" w:fill="auto"/>
            <w:vAlign w:val="center"/>
          </w:tcPr>
          <w:p w14:paraId="084348B1">
            <w:pPr>
              <w:widowControl/>
              <w:jc w:val="center"/>
              <w:rPr>
                <w:rFonts w:ascii="仿宋" w:hAnsi="仿宋" w:eastAsia="仿宋" w:cs="仿宋"/>
                <w:kern w:val="0"/>
                <w:sz w:val="18"/>
                <w:szCs w:val="18"/>
              </w:rPr>
            </w:pPr>
            <w:r>
              <w:rPr>
                <w:rFonts w:hint="eastAsia" w:ascii="仿宋" w:hAnsi="仿宋" w:eastAsia="仿宋" w:cs="仿宋"/>
                <w:kern w:val="0"/>
                <w:sz w:val="18"/>
                <w:szCs w:val="18"/>
              </w:rPr>
              <w:t>家床告警配置</w:t>
            </w:r>
          </w:p>
        </w:tc>
        <w:tc>
          <w:tcPr>
            <w:tcW w:w="2465" w:type="pct"/>
            <w:tcBorders>
              <w:tl2br w:val="nil"/>
              <w:tr2bl w:val="nil"/>
            </w:tcBorders>
            <w:shd w:val="clear" w:color="auto" w:fill="auto"/>
          </w:tcPr>
          <w:p w14:paraId="0560DF7C">
            <w:pPr>
              <w:widowControl/>
              <w:rPr>
                <w:rFonts w:ascii="仿宋" w:hAnsi="仿宋" w:eastAsia="仿宋" w:cs="仿宋"/>
                <w:kern w:val="0"/>
                <w:sz w:val="18"/>
                <w:szCs w:val="18"/>
              </w:rPr>
            </w:pPr>
            <w:r>
              <w:rPr>
                <w:rFonts w:hint="eastAsia" w:ascii="仿宋" w:hAnsi="仿宋" w:eastAsia="仿宋" w:cs="仿宋"/>
                <w:kern w:val="0"/>
                <w:sz w:val="18"/>
                <w:szCs w:val="18"/>
              </w:rPr>
              <w:t>对告警配置功能进行升级，支持对家床配套设备的告警阈值配置管理。</w:t>
            </w:r>
          </w:p>
        </w:tc>
      </w:tr>
      <w:tr w14:paraId="529E0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626" w:type="pct"/>
            <w:vMerge w:val="continue"/>
            <w:tcBorders>
              <w:tl2br w:val="nil"/>
              <w:tr2bl w:val="nil"/>
            </w:tcBorders>
          </w:tcPr>
          <w:p w14:paraId="3390B548">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6341AE8">
            <w:pPr>
              <w:jc w:val="center"/>
              <w:rPr>
                <w:rFonts w:ascii="仿宋" w:hAnsi="仿宋" w:eastAsia="仿宋" w:cs="仿宋"/>
                <w:kern w:val="0"/>
                <w:sz w:val="18"/>
                <w:szCs w:val="18"/>
              </w:rPr>
            </w:pPr>
          </w:p>
        </w:tc>
        <w:tc>
          <w:tcPr>
            <w:tcW w:w="626" w:type="pct"/>
            <w:vMerge w:val="restart"/>
            <w:tcBorders>
              <w:tl2br w:val="nil"/>
              <w:tr2bl w:val="nil"/>
            </w:tcBorders>
            <w:shd w:val="clear" w:color="auto" w:fill="auto"/>
            <w:vAlign w:val="center"/>
          </w:tcPr>
          <w:p w14:paraId="3C4277A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健康监测设备</w:t>
            </w:r>
          </w:p>
        </w:tc>
        <w:tc>
          <w:tcPr>
            <w:tcW w:w="621" w:type="pct"/>
            <w:tcBorders>
              <w:tl2br w:val="nil"/>
              <w:tr2bl w:val="nil"/>
            </w:tcBorders>
            <w:shd w:val="clear" w:color="auto" w:fill="auto"/>
            <w:vAlign w:val="center"/>
          </w:tcPr>
          <w:p w14:paraId="44E1C47A">
            <w:pPr>
              <w:widowControl/>
              <w:jc w:val="center"/>
              <w:rPr>
                <w:rFonts w:ascii="仿宋" w:hAnsi="仿宋" w:eastAsia="仿宋" w:cs="仿宋"/>
                <w:kern w:val="0"/>
                <w:sz w:val="18"/>
                <w:szCs w:val="18"/>
              </w:rPr>
            </w:pPr>
            <w:r>
              <w:rPr>
                <w:rFonts w:hint="eastAsia" w:ascii="仿宋" w:hAnsi="仿宋" w:eastAsia="仿宋" w:cs="仿宋"/>
                <w:kern w:val="0"/>
                <w:sz w:val="18"/>
                <w:szCs w:val="18"/>
              </w:rPr>
              <w:t>智能手环</w:t>
            </w:r>
          </w:p>
        </w:tc>
        <w:tc>
          <w:tcPr>
            <w:tcW w:w="2465" w:type="pct"/>
            <w:tcBorders>
              <w:tl2br w:val="nil"/>
              <w:tr2bl w:val="nil"/>
            </w:tcBorders>
            <w:shd w:val="clear" w:color="auto" w:fill="auto"/>
          </w:tcPr>
          <w:p w14:paraId="760F98E9">
            <w:pPr>
              <w:rPr>
                <w:rFonts w:ascii="仿宋" w:hAnsi="仿宋" w:eastAsia="仿宋" w:cs="仿宋"/>
                <w:kern w:val="0"/>
                <w:sz w:val="18"/>
                <w:szCs w:val="18"/>
              </w:rPr>
            </w:pPr>
            <w:r>
              <w:rPr>
                <w:rFonts w:hint="eastAsia" w:ascii="仿宋" w:hAnsi="仿宋" w:eastAsia="仿宋" w:cs="仿宋"/>
                <w:kern w:val="0"/>
                <w:sz w:val="18"/>
                <w:szCs w:val="18"/>
              </w:rPr>
              <w:t>面向社区居家老年人提供并支持不少于20个智能手环，通过穿戴智能手环后，医养康医护端、管理后台等方式能够实时展示老年人的健康数据，手环支持健康监测（血压、心率、血氧、睡眠、运动）、支持2/3/4G通信网络，极速定位（基站定位 +wifi 定位）、智能省电算法、一键呼救（SOS）、双向通话、运动计步。</w:t>
            </w:r>
          </w:p>
        </w:tc>
      </w:tr>
      <w:tr w14:paraId="5E8C5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7" w:hRule="atLeast"/>
        </w:trPr>
        <w:tc>
          <w:tcPr>
            <w:tcW w:w="626" w:type="pct"/>
            <w:vMerge w:val="continue"/>
            <w:tcBorders>
              <w:tl2br w:val="nil"/>
              <w:tr2bl w:val="nil"/>
            </w:tcBorders>
          </w:tcPr>
          <w:p w14:paraId="5058B164">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CDAF7ED">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576AAEA9">
            <w:pPr>
              <w:widowControl/>
              <w:jc w:val="center"/>
              <w:textAlignment w:val="center"/>
              <w:rPr>
                <w:rFonts w:ascii="仿宋" w:hAnsi="仿宋" w:eastAsia="仿宋" w:cs="仿宋"/>
                <w:color w:val="000000"/>
                <w:kern w:val="0"/>
                <w:sz w:val="18"/>
                <w:szCs w:val="18"/>
                <w:lang w:bidi="ar"/>
              </w:rPr>
            </w:pPr>
          </w:p>
        </w:tc>
        <w:tc>
          <w:tcPr>
            <w:tcW w:w="621" w:type="pct"/>
            <w:tcBorders>
              <w:bottom w:val="single" w:color="auto" w:sz="4" w:space="0"/>
              <w:tl2br w:val="nil"/>
              <w:tr2bl w:val="nil"/>
            </w:tcBorders>
            <w:shd w:val="clear" w:color="auto" w:fill="auto"/>
            <w:vAlign w:val="center"/>
          </w:tcPr>
          <w:p w14:paraId="3FBBA071">
            <w:pPr>
              <w:widowControl/>
              <w:jc w:val="center"/>
              <w:rPr>
                <w:rFonts w:ascii="仿宋" w:hAnsi="仿宋" w:eastAsia="仿宋" w:cs="仿宋"/>
                <w:kern w:val="0"/>
                <w:sz w:val="18"/>
                <w:szCs w:val="18"/>
              </w:rPr>
            </w:pPr>
            <w:r>
              <w:rPr>
                <w:rFonts w:hint="eastAsia" w:ascii="仿宋" w:hAnsi="仿宋" w:eastAsia="仿宋" w:cs="仿宋"/>
                <w:kern w:val="0"/>
                <w:sz w:val="18"/>
                <w:szCs w:val="18"/>
              </w:rPr>
              <w:t>守护</w:t>
            </w:r>
          </w:p>
          <w:p w14:paraId="21CF04E4">
            <w:pPr>
              <w:widowControl/>
              <w:jc w:val="center"/>
              <w:rPr>
                <w:rFonts w:ascii="仿宋" w:hAnsi="仿宋" w:eastAsia="仿宋" w:cs="仿宋"/>
                <w:kern w:val="0"/>
                <w:sz w:val="18"/>
                <w:szCs w:val="18"/>
              </w:rPr>
            </w:pPr>
            <w:r>
              <w:rPr>
                <w:rFonts w:hint="eastAsia" w:ascii="仿宋" w:hAnsi="仿宋" w:eastAsia="仿宋" w:cs="仿宋"/>
                <w:kern w:val="0"/>
                <w:sz w:val="18"/>
                <w:szCs w:val="18"/>
              </w:rPr>
              <w:t>一键通</w:t>
            </w:r>
          </w:p>
        </w:tc>
        <w:tc>
          <w:tcPr>
            <w:tcW w:w="2465" w:type="pct"/>
            <w:tcBorders>
              <w:bottom w:val="single" w:color="auto" w:sz="4" w:space="0"/>
              <w:tl2br w:val="nil"/>
              <w:tr2bl w:val="nil"/>
            </w:tcBorders>
            <w:shd w:val="clear" w:color="auto" w:fill="auto"/>
          </w:tcPr>
          <w:p w14:paraId="1A21E120">
            <w:pPr>
              <w:jc w:val="left"/>
              <w:rPr>
                <w:rFonts w:ascii="仿宋" w:hAnsi="仿宋" w:eastAsia="仿宋" w:cs="仿宋"/>
                <w:kern w:val="0"/>
                <w:sz w:val="18"/>
                <w:szCs w:val="18"/>
              </w:rPr>
            </w:pPr>
            <w:r>
              <w:rPr>
                <w:rFonts w:hint="eastAsia" w:ascii="仿宋" w:hAnsi="仿宋" w:eastAsia="仿宋" w:cs="仿宋"/>
                <w:kern w:val="0"/>
                <w:sz w:val="18"/>
                <w:szCs w:val="18"/>
              </w:rPr>
              <w:t>面向社区居家老年人提供并支持不少于20个守护一键通，部署在老年人的居住环境中，支持老年人按下主机SOS键、拉绳、语音向子机发出求助信息，医养康医护端、管理后台能够实时获取老年人的求助告警。每个守护一键通设备产品规格不低于如下：</w:t>
            </w:r>
          </w:p>
          <w:p w14:paraId="20C64ADD">
            <w:pPr>
              <w:jc w:val="left"/>
              <w:rPr>
                <w:rFonts w:ascii="仿宋" w:hAnsi="仿宋" w:eastAsia="仿宋" w:cs="仿宋"/>
                <w:kern w:val="0"/>
                <w:sz w:val="18"/>
                <w:szCs w:val="18"/>
              </w:rPr>
            </w:pPr>
            <w:r>
              <w:rPr>
                <w:rFonts w:hint="eastAsia" w:ascii="仿宋" w:hAnsi="仿宋" w:eastAsia="仿宋" w:cs="仿宋"/>
                <w:kern w:val="0"/>
                <w:sz w:val="18"/>
                <w:szCs w:val="18"/>
              </w:rPr>
              <w:t>工作温度： 0℃~40℃（32℉~104℉）  ；</w:t>
            </w:r>
          </w:p>
          <w:p w14:paraId="7232C9A3">
            <w:pPr>
              <w:jc w:val="left"/>
              <w:rPr>
                <w:rFonts w:ascii="仿宋" w:hAnsi="仿宋" w:eastAsia="仿宋" w:cs="仿宋"/>
                <w:kern w:val="0"/>
                <w:sz w:val="18"/>
                <w:szCs w:val="18"/>
              </w:rPr>
            </w:pPr>
            <w:r>
              <w:rPr>
                <w:rFonts w:hint="eastAsia" w:ascii="仿宋" w:hAnsi="仿宋" w:eastAsia="仿宋" w:cs="仿宋"/>
                <w:kern w:val="0"/>
                <w:sz w:val="18"/>
                <w:szCs w:val="18"/>
              </w:rPr>
              <w:t>存储温度： -40℃ ~ +70℃（-40℉~158℉）；</w:t>
            </w:r>
          </w:p>
          <w:p w14:paraId="216E6BC0">
            <w:pPr>
              <w:jc w:val="left"/>
              <w:rPr>
                <w:rFonts w:ascii="仿宋" w:hAnsi="仿宋" w:eastAsia="仿宋" w:cs="仿宋"/>
                <w:kern w:val="0"/>
                <w:sz w:val="18"/>
                <w:szCs w:val="18"/>
              </w:rPr>
            </w:pPr>
            <w:r>
              <w:rPr>
                <w:rFonts w:hint="eastAsia" w:ascii="仿宋" w:hAnsi="仿宋" w:eastAsia="仿宋" w:cs="仿宋"/>
                <w:kern w:val="0"/>
                <w:sz w:val="18"/>
                <w:szCs w:val="18"/>
              </w:rPr>
              <w:t>工作湿度： 5%～95%，非凝结；</w:t>
            </w:r>
          </w:p>
          <w:p w14:paraId="24287034">
            <w:pPr>
              <w:jc w:val="left"/>
              <w:rPr>
                <w:rFonts w:ascii="仿宋" w:hAnsi="仿宋" w:eastAsia="仿宋" w:cs="仿宋"/>
                <w:kern w:val="0"/>
                <w:sz w:val="18"/>
                <w:szCs w:val="18"/>
              </w:rPr>
            </w:pPr>
            <w:r>
              <w:rPr>
                <w:rFonts w:hint="eastAsia" w:ascii="仿宋" w:hAnsi="仿宋" w:eastAsia="仿宋" w:cs="仿宋"/>
                <w:kern w:val="0"/>
                <w:sz w:val="18"/>
                <w:szCs w:val="18"/>
              </w:rPr>
              <w:t>存储湿度： 5%～95%，非凝结；</w:t>
            </w:r>
          </w:p>
          <w:p w14:paraId="3E65515C">
            <w:pPr>
              <w:jc w:val="left"/>
              <w:rPr>
                <w:rFonts w:ascii="仿宋" w:hAnsi="仿宋" w:eastAsia="仿宋" w:cs="仿宋"/>
                <w:kern w:val="0"/>
                <w:sz w:val="18"/>
                <w:szCs w:val="18"/>
              </w:rPr>
            </w:pPr>
            <w:r>
              <w:rPr>
                <w:rFonts w:hint="eastAsia" w:ascii="仿宋" w:hAnsi="仿宋" w:eastAsia="仿宋" w:cs="仿宋"/>
                <w:kern w:val="0"/>
                <w:sz w:val="18"/>
                <w:szCs w:val="18"/>
              </w:rPr>
              <w:t>防火等级：不低于V0等级；</w:t>
            </w:r>
          </w:p>
          <w:p w14:paraId="4FEF016D">
            <w:pPr>
              <w:jc w:val="left"/>
              <w:rPr>
                <w:rFonts w:ascii="仿宋" w:hAnsi="仿宋" w:eastAsia="仿宋" w:cs="仿宋"/>
                <w:kern w:val="0"/>
                <w:sz w:val="18"/>
                <w:szCs w:val="18"/>
              </w:rPr>
            </w:pPr>
            <w:r>
              <w:rPr>
                <w:rFonts w:hint="eastAsia" w:ascii="仿宋" w:hAnsi="仿宋" w:eastAsia="仿宋" w:cs="仿宋"/>
                <w:kern w:val="0"/>
                <w:sz w:val="18"/>
                <w:szCs w:val="18"/>
              </w:rPr>
              <w:t>整机尺寸： 直径≤172mm，高度≤82mm</w:t>
            </w:r>
          </w:p>
          <w:p w14:paraId="1F16859F">
            <w:pPr>
              <w:jc w:val="left"/>
              <w:rPr>
                <w:rFonts w:ascii="仿宋" w:hAnsi="仿宋" w:eastAsia="仿宋" w:cs="仿宋"/>
                <w:kern w:val="0"/>
                <w:sz w:val="18"/>
                <w:szCs w:val="18"/>
              </w:rPr>
            </w:pPr>
            <w:r>
              <w:rPr>
                <w:rFonts w:hint="eastAsia" w:ascii="仿宋" w:hAnsi="仿宋" w:eastAsia="仿宋" w:cs="仿宋"/>
                <w:kern w:val="0"/>
                <w:sz w:val="18"/>
                <w:szCs w:val="18"/>
              </w:rPr>
              <w:t>防水防尘等级： 不低于IP55等级</w:t>
            </w:r>
          </w:p>
          <w:p w14:paraId="3E10E221">
            <w:pPr>
              <w:jc w:val="left"/>
              <w:rPr>
                <w:rFonts w:ascii="仿宋" w:hAnsi="仿宋" w:eastAsia="仿宋" w:cs="仿宋"/>
                <w:kern w:val="0"/>
                <w:sz w:val="18"/>
                <w:szCs w:val="18"/>
              </w:rPr>
            </w:pPr>
            <w:r>
              <w:rPr>
                <w:rFonts w:hint="eastAsia" w:ascii="仿宋" w:hAnsi="仿宋" w:eastAsia="仿宋" w:cs="仿宋"/>
                <w:kern w:val="0"/>
                <w:sz w:val="18"/>
                <w:szCs w:val="18"/>
              </w:rPr>
              <w:t>主机功耗： ≤5 W</w:t>
            </w:r>
          </w:p>
          <w:p w14:paraId="28BFDCC3">
            <w:pPr>
              <w:jc w:val="left"/>
              <w:rPr>
                <w:rFonts w:ascii="仿宋" w:hAnsi="仿宋" w:eastAsia="仿宋" w:cs="仿宋"/>
                <w:kern w:val="0"/>
                <w:sz w:val="18"/>
                <w:szCs w:val="18"/>
              </w:rPr>
            </w:pPr>
            <w:r>
              <w:rPr>
                <w:rFonts w:hint="eastAsia" w:ascii="仿宋" w:hAnsi="仿宋" w:eastAsia="仿宋" w:cs="仿宋"/>
                <w:kern w:val="0"/>
                <w:sz w:val="18"/>
                <w:szCs w:val="18"/>
              </w:rPr>
              <w:t>主机输入电压： ≤5VDC（常电）</w:t>
            </w:r>
          </w:p>
          <w:p w14:paraId="6384F756">
            <w:pPr>
              <w:jc w:val="left"/>
              <w:rPr>
                <w:rFonts w:ascii="仿宋" w:hAnsi="仿宋" w:eastAsia="仿宋" w:cs="仿宋"/>
                <w:kern w:val="0"/>
                <w:sz w:val="18"/>
                <w:szCs w:val="18"/>
              </w:rPr>
            </w:pPr>
            <w:r>
              <w:rPr>
                <w:rFonts w:hint="eastAsia" w:ascii="仿宋" w:hAnsi="仿宋" w:eastAsia="仿宋" w:cs="仿宋"/>
                <w:kern w:val="0"/>
                <w:sz w:val="18"/>
                <w:szCs w:val="18"/>
              </w:rPr>
              <w:t>无线范围：≥30米（无遮挡）</w:t>
            </w:r>
          </w:p>
          <w:p w14:paraId="7F11778E">
            <w:pPr>
              <w:jc w:val="left"/>
              <w:rPr>
                <w:rFonts w:ascii="仿宋" w:hAnsi="仿宋" w:eastAsia="仿宋" w:cs="仿宋"/>
                <w:kern w:val="0"/>
                <w:sz w:val="18"/>
                <w:szCs w:val="18"/>
              </w:rPr>
            </w:pPr>
            <w:r>
              <w:rPr>
                <w:rFonts w:hint="eastAsia" w:ascii="仿宋" w:hAnsi="仿宋" w:eastAsia="仿宋" w:cs="仿宋"/>
                <w:kern w:val="0"/>
                <w:sz w:val="18"/>
                <w:szCs w:val="18"/>
              </w:rPr>
              <w:t>识声距离：≤70dB 5米</w:t>
            </w:r>
          </w:p>
          <w:p w14:paraId="5C247034">
            <w:pPr>
              <w:jc w:val="left"/>
              <w:rPr>
                <w:rFonts w:ascii="仿宋" w:hAnsi="仿宋" w:eastAsia="仿宋" w:cs="仿宋"/>
                <w:kern w:val="0"/>
                <w:sz w:val="18"/>
                <w:szCs w:val="18"/>
              </w:rPr>
            </w:pPr>
            <w:r>
              <w:rPr>
                <w:rFonts w:hint="eastAsia" w:ascii="仿宋" w:hAnsi="仿宋" w:eastAsia="仿宋" w:cs="仿宋"/>
                <w:kern w:val="0"/>
                <w:sz w:val="18"/>
                <w:szCs w:val="18"/>
              </w:rPr>
              <w:t>子机单次充满电后待机时长：≥9个月</w:t>
            </w:r>
          </w:p>
          <w:p w14:paraId="7CF17133">
            <w:pPr>
              <w:jc w:val="left"/>
              <w:rPr>
                <w:rFonts w:ascii="仿宋" w:hAnsi="仿宋" w:eastAsia="仿宋" w:cs="仿宋"/>
                <w:kern w:val="0"/>
                <w:sz w:val="18"/>
                <w:szCs w:val="18"/>
              </w:rPr>
            </w:pPr>
            <w:r>
              <w:rPr>
                <w:rFonts w:hint="eastAsia" w:ascii="仿宋" w:hAnsi="仿宋" w:eastAsia="仿宋" w:cs="仿宋"/>
                <w:kern w:val="0"/>
                <w:sz w:val="18"/>
                <w:szCs w:val="18"/>
              </w:rPr>
              <w:t>主机电池容量：≥600mAh锂电池</w:t>
            </w:r>
          </w:p>
          <w:p w14:paraId="1824A56B">
            <w:pPr>
              <w:widowControl/>
              <w:rPr>
                <w:rFonts w:ascii="仿宋" w:hAnsi="仿宋" w:eastAsia="仿宋" w:cs="仿宋"/>
                <w:kern w:val="0"/>
                <w:sz w:val="18"/>
                <w:szCs w:val="18"/>
              </w:rPr>
            </w:pPr>
            <w:r>
              <w:rPr>
                <w:rFonts w:hint="eastAsia" w:ascii="仿宋" w:hAnsi="仿宋" w:eastAsia="仿宋" w:cs="仿宋"/>
                <w:kern w:val="0"/>
                <w:sz w:val="18"/>
                <w:szCs w:val="18"/>
              </w:rPr>
              <w:t>子机电池容量：≥520mAh锂电池</w:t>
            </w:r>
          </w:p>
        </w:tc>
      </w:tr>
      <w:tr w14:paraId="309CE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3B4A5345">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D6941F4">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3A13F6D9">
            <w:pPr>
              <w:widowControl/>
              <w:jc w:val="center"/>
              <w:textAlignment w:val="center"/>
              <w:rPr>
                <w:rFonts w:ascii="仿宋" w:hAnsi="仿宋" w:eastAsia="仿宋" w:cs="仿宋"/>
                <w:color w:val="000000"/>
                <w:kern w:val="0"/>
                <w:sz w:val="18"/>
                <w:szCs w:val="18"/>
                <w:lang w:bidi="ar"/>
              </w:rPr>
            </w:pPr>
          </w:p>
        </w:tc>
        <w:tc>
          <w:tcPr>
            <w:tcW w:w="621" w:type="pct"/>
            <w:tcBorders>
              <w:top w:val="single" w:color="auto" w:sz="4" w:space="0"/>
              <w:bottom w:val="single" w:color="auto" w:sz="4" w:space="0"/>
              <w:tl2br w:val="nil"/>
              <w:tr2bl w:val="nil"/>
            </w:tcBorders>
            <w:shd w:val="clear" w:color="auto" w:fill="auto"/>
            <w:vAlign w:val="center"/>
          </w:tcPr>
          <w:p w14:paraId="15CAFA5A">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4G通信</w:t>
            </w:r>
          </w:p>
          <w:p w14:paraId="2AF1A811">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服务</w:t>
            </w:r>
          </w:p>
        </w:tc>
        <w:tc>
          <w:tcPr>
            <w:tcW w:w="2465" w:type="pct"/>
            <w:tcBorders>
              <w:top w:val="single" w:color="auto" w:sz="4" w:space="0"/>
              <w:bottom w:val="single" w:color="auto" w:sz="4" w:space="0"/>
              <w:tl2br w:val="nil"/>
              <w:tr2bl w:val="nil"/>
            </w:tcBorders>
            <w:shd w:val="clear" w:color="auto" w:fill="auto"/>
          </w:tcPr>
          <w:p w14:paraId="13C967B9">
            <w:pPr>
              <w:widowControl/>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为健康监测设备提供</w:t>
            </w:r>
            <w:r>
              <w:rPr>
                <w:rFonts w:hint="eastAsia" w:ascii="仿宋" w:hAnsi="仿宋" w:eastAsia="仿宋" w:cs="仿宋"/>
                <w:kern w:val="0"/>
                <w:sz w:val="18"/>
                <w:szCs w:val="18"/>
              </w:rPr>
              <w:t>≥4</w:t>
            </w:r>
            <w:r>
              <w:rPr>
                <w:rFonts w:ascii="仿宋" w:hAnsi="仿宋" w:eastAsia="仿宋" w:cs="仿宋"/>
                <w:kern w:val="0"/>
                <w:sz w:val="18"/>
                <w:szCs w:val="18"/>
              </w:rPr>
              <w:t>5</w:t>
            </w:r>
            <w:r>
              <w:rPr>
                <w:rFonts w:hint="eastAsia" w:ascii="仿宋" w:hAnsi="仿宋" w:eastAsia="仿宋" w:cs="仿宋"/>
                <w:kern w:val="0"/>
                <w:sz w:val="18"/>
                <w:szCs w:val="18"/>
              </w:rPr>
              <w:t>张4G通信卡通信服务，</w:t>
            </w:r>
            <w:r>
              <w:rPr>
                <w:rFonts w:hint="eastAsia" w:ascii="仿宋" w:hAnsi="仿宋" w:eastAsia="仿宋" w:cs="仿宋"/>
                <w:kern w:val="0"/>
                <w:sz w:val="18"/>
                <w:szCs w:val="18"/>
                <w:lang w:val="en-US" w:eastAsia="zh-CN"/>
              </w:rPr>
              <w:t>每张4G通信卡</w:t>
            </w:r>
            <w:r>
              <w:rPr>
                <w:rFonts w:hint="eastAsia" w:ascii="仿宋" w:hAnsi="仿宋" w:eastAsia="仿宋" w:cs="仿宋"/>
                <w:kern w:val="0"/>
                <w:sz w:val="18"/>
                <w:szCs w:val="18"/>
              </w:rPr>
              <w:t>包含≥1年通话和流量的套餐：每月≥100分钟通话、≥2G流量。</w:t>
            </w:r>
          </w:p>
        </w:tc>
      </w:tr>
      <w:tr w14:paraId="6065E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6" w:type="pct"/>
            <w:vMerge w:val="continue"/>
            <w:tcBorders>
              <w:tl2br w:val="nil"/>
              <w:tr2bl w:val="nil"/>
            </w:tcBorders>
          </w:tcPr>
          <w:p w14:paraId="0AA8107B">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3DA05817">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4A26BDB9">
            <w:pPr>
              <w:widowControl/>
              <w:jc w:val="center"/>
              <w:textAlignment w:val="center"/>
              <w:rPr>
                <w:rFonts w:ascii="仿宋" w:hAnsi="仿宋" w:eastAsia="仿宋" w:cs="仿宋"/>
                <w:color w:val="000000"/>
                <w:kern w:val="0"/>
                <w:sz w:val="18"/>
                <w:szCs w:val="18"/>
                <w:lang w:bidi="ar"/>
              </w:rPr>
            </w:pPr>
          </w:p>
        </w:tc>
        <w:tc>
          <w:tcPr>
            <w:tcW w:w="621" w:type="pct"/>
            <w:tcBorders>
              <w:top w:val="single" w:color="auto" w:sz="4" w:space="0"/>
              <w:bottom w:val="single" w:color="auto" w:sz="4" w:space="0"/>
              <w:tl2br w:val="nil"/>
              <w:tr2bl w:val="nil"/>
            </w:tcBorders>
            <w:shd w:val="clear" w:color="auto" w:fill="auto"/>
            <w:vAlign w:val="center"/>
          </w:tcPr>
          <w:p w14:paraId="39944A87">
            <w:pPr>
              <w:widowControl/>
              <w:jc w:val="center"/>
              <w:rPr>
                <w:rFonts w:ascii="仿宋" w:hAnsi="仿宋" w:eastAsia="仿宋" w:cs="仿宋"/>
                <w:kern w:val="0"/>
                <w:sz w:val="18"/>
                <w:szCs w:val="18"/>
              </w:rPr>
            </w:pPr>
            <w:r>
              <w:rPr>
                <w:rFonts w:hint="eastAsia" w:ascii="仿宋" w:hAnsi="仿宋" w:eastAsia="仿宋" w:cs="仿宋"/>
                <w:kern w:val="0"/>
                <w:sz w:val="18"/>
                <w:szCs w:val="18"/>
              </w:rPr>
              <w:t>与中南大学4款设备对接</w:t>
            </w:r>
          </w:p>
        </w:tc>
        <w:tc>
          <w:tcPr>
            <w:tcW w:w="2465" w:type="pct"/>
            <w:tcBorders>
              <w:top w:val="single" w:color="auto" w:sz="4" w:space="0"/>
              <w:bottom w:val="single" w:color="auto" w:sz="4" w:space="0"/>
              <w:tl2br w:val="nil"/>
              <w:tr2bl w:val="nil"/>
            </w:tcBorders>
            <w:shd w:val="clear" w:color="auto" w:fill="auto"/>
          </w:tcPr>
          <w:p w14:paraId="5A88B76F">
            <w:pPr>
              <w:widowControl/>
              <w:rPr>
                <w:rFonts w:ascii="仿宋" w:hAnsi="仿宋" w:eastAsia="仿宋" w:cs="仿宋"/>
                <w:kern w:val="0"/>
                <w:sz w:val="18"/>
                <w:szCs w:val="18"/>
              </w:rPr>
            </w:pPr>
            <w:r>
              <w:rPr>
                <w:rFonts w:hint="eastAsia" w:ascii="仿宋" w:hAnsi="仿宋" w:eastAsia="仿宋" w:cs="仿宋"/>
                <w:kern w:val="0"/>
                <w:sz w:val="18"/>
                <w:szCs w:val="18"/>
              </w:rPr>
              <w:t>与医养康项目组参与单位中南大学护理学院牵头研发的睡眠监测毫米波雷达、跌倒检测毫米波雷达、室内空气质量监测仪和人体智能行为识别传感器等设备进行对接、联调。在系统后台能实时查看使用该设备的老年人健康监测数据，并能接收求助告警信息。</w:t>
            </w:r>
          </w:p>
        </w:tc>
      </w:tr>
      <w:tr w14:paraId="0CC47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626" w:type="pct"/>
            <w:vMerge w:val="continue"/>
            <w:tcBorders>
              <w:tl2br w:val="nil"/>
              <w:tr2bl w:val="nil"/>
            </w:tcBorders>
          </w:tcPr>
          <w:p w14:paraId="6BD3B8E0">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0B82AF99">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25A2219B">
            <w:pPr>
              <w:widowControl/>
              <w:jc w:val="center"/>
              <w:textAlignment w:val="center"/>
              <w:rPr>
                <w:rFonts w:ascii="仿宋" w:hAnsi="仿宋" w:eastAsia="仿宋" w:cs="仿宋"/>
                <w:color w:val="000000"/>
                <w:kern w:val="0"/>
                <w:sz w:val="18"/>
                <w:szCs w:val="18"/>
                <w:lang w:bidi="ar"/>
              </w:rPr>
            </w:pPr>
          </w:p>
        </w:tc>
        <w:tc>
          <w:tcPr>
            <w:tcW w:w="621" w:type="pct"/>
            <w:tcBorders>
              <w:top w:val="single" w:color="auto" w:sz="4" w:space="0"/>
              <w:tl2br w:val="nil"/>
              <w:tr2bl w:val="nil"/>
            </w:tcBorders>
            <w:shd w:val="clear" w:color="auto" w:fill="auto"/>
            <w:vAlign w:val="center"/>
          </w:tcPr>
          <w:p w14:paraId="0E968E90">
            <w:pPr>
              <w:widowControl/>
              <w:jc w:val="center"/>
              <w:rPr>
                <w:rFonts w:ascii="仿宋" w:hAnsi="仿宋" w:eastAsia="仿宋" w:cs="仿宋"/>
                <w:kern w:val="0"/>
                <w:sz w:val="18"/>
                <w:szCs w:val="18"/>
              </w:rPr>
            </w:pPr>
            <w:r>
              <w:rPr>
                <w:rFonts w:hint="eastAsia" w:ascii="仿宋" w:hAnsi="仿宋" w:eastAsia="仿宋" w:cs="仿宋"/>
                <w:kern w:val="0"/>
                <w:sz w:val="18"/>
                <w:szCs w:val="18"/>
              </w:rPr>
              <w:t>与中山大学2款设备对接</w:t>
            </w:r>
          </w:p>
        </w:tc>
        <w:tc>
          <w:tcPr>
            <w:tcW w:w="2465" w:type="pct"/>
            <w:tcBorders>
              <w:top w:val="single" w:color="auto" w:sz="4" w:space="0"/>
              <w:tl2br w:val="nil"/>
              <w:tr2bl w:val="nil"/>
            </w:tcBorders>
            <w:shd w:val="clear" w:color="auto" w:fill="auto"/>
          </w:tcPr>
          <w:p w14:paraId="07BA5A1B">
            <w:pPr>
              <w:widowControl/>
              <w:rPr>
                <w:rFonts w:ascii="仿宋" w:hAnsi="仿宋" w:eastAsia="仿宋" w:cs="仿宋"/>
                <w:kern w:val="0"/>
                <w:sz w:val="18"/>
                <w:szCs w:val="18"/>
              </w:rPr>
            </w:pPr>
            <w:r>
              <w:rPr>
                <w:rFonts w:hint="eastAsia" w:ascii="仿宋" w:hAnsi="仿宋" w:eastAsia="仿宋" w:cs="仿宋"/>
                <w:kern w:val="0"/>
                <w:sz w:val="18"/>
                <w:szCs w:val="18"/>
              </w:rPr>
              <w:t>与医养康项目组参与单位中山大学国家数字家庭工程技术研究中心的室内空气质量监测仪、AI辅助康养传感器进行对接、联调。在医养康系统后台能实时查看社区居家或病房等监测环境的空气质量监测数据，以及能接收老年人所在该监测环境的求助告警信息。</w:t>
            </w:r>
          </w:p>
        </w:tc>
      </w:tr>
      <w:tr w14:paraId="67DF6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626" w:type="pct"/>
            <w:vMerge w:val="continue"/>
            <w:tcBorders>
              <w:tl2br w:val="nil"/>
              <w:tr2bl w:val="nil"/>
            </w:tcBorders>
          </w:tcPr>
          <w:p w14:paraId="4D020059">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24680ED5">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4963878F">
            <w:pPr>
              <w:widowControl/>
              <w:jc w:val="center"/>
              <w:textAlignment w:val="center"/>
              <w:rPr>
                <w:rFonts w:ascii="仿宋" w:hAnsi="仿宋" w:eastAsia="仿宋" w:cs="仿宋"/>
                <w:color w:val="000000"/>
                <w:kern w:val="0"/>
                <w:sz w:val="18"/>
                <w:szCs w:val="18"/>
                <w:lang w:bidi="ar"/>
              </w:rPr>
            </w:pPr>
          </w:p>
        </w:tc>
        <w:tc>
          <w:tcPr>
            <w:tcW w:w="621" w:type="pct"/>
            <w:tcBorders>
              <w:top w:val="single" w:color="auto" w:sz="4" w:space="0"/>
              <w:tl2br w:val="nil"/>
              <w:tr2bl w:val="nil"/>
            </w:tcBorders>
            <w:shd w:val="clear" w:color="auto" w:fill="auto"/>
            <w:vAlign w:val="center"/>
          </w:tcPr>
          <w:p w14:paraId="3BF78334">
            <w:pPr>
              <w:widowControl/>
              <w:jc w:val="center"/>
              <w:rPr>
                <w:rFonts w:ascii="仿宋" w:hAnsi="仿宋" w:eastAsia="仿宋" w:cs="仿宋"/>
                <w:kern w:val="0"/>
                <w:sz w:val="18"/>
                <w:szCs w:val="18"/>
              </w:rPr>
            </w:pPr>
            <w:r>
              <w:rPr>
                <w:rFonts w:hint="eastAsia" w:ascii="仿宋" w:hAnsi="仿宋" w:eastAsia="仿宋" w:cs="仿宋"/>
                <w:kern w:val="0"/>
                <w:sz w:val="18"/>
                <w:szCs w:val="18"/>
              </w:rPr>
              <w:t>与小新智能健康机器人设备对接</w:t>
            </w:r>
          </w:p>
        </w:tc>
        <w:tc>
          <w:tcPr>
            <w:tcW w:w="2465" w:type="pct"/>
            <w:tcBorders>
              <w:top w:val="single" w:color="auto" w:sz="4" w:space="0"/>
              <w:tl2br w:val="nil"/>
              <w:tr2bl w:val="nil"/>
            </w:tcBorders>
            <w:shd w:val="clear" w:color="auto" w:fill="auto"/>
          </w:tcPr>
          <w:p w14:paraId="1B8D2A7D">
            <w:pPr>
              <w:widowControl/>
              <w:rPr>
                <w:rFonts w:ascii="仿宋" w:hAnsi="仿宋" w:eastAsia="仿宋" w:cs="仿宋"/>
                <w:kern w:val="0"/>
                <w:sz w:val="18"/>
                <w:szCs w:val="18"/>
              </w:rPr>
            </w:pPr>
            <w:r>
              <w:rPr>
                <w:rFonts w:hint="eastAsia" w:ascii="仿宋" w:hAnsi="仿宋" w:eastAsia="仿宋" w:cs="仿宋"/>
                <w:kern w:val="0"/>
                <w:sz w:val="18"/>
                <w:szCs w:val="18"/>
              </w:rPr>
              <w:t>与由爱吉特（深圳）机器人制造有限公司研发的小新智能健康机器人进行对接、联调，在医养康系统后台实现查看使用该设备的老年人健康监测数据和体检报告。</w:t>
            </w:r>
          </w:p>
        </w:tc>
      </w:tr>
      <w:tr w14:paraId="3B653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2" w:hRule="atLeast"/>
        </w:trPr>
        <w:tc>
          <w:tcPr>
            <w:tcW w:w="626" w:type="pct"/>
            <w:vMerge w:val="restart"/>
            <w:tcBorders>
              <w:tl2br w:val="nil"/>
              <w:tr2bl w:val="nil"/>
            </w:tcBorders>
            <w:vAlign w:val="center"/>
          </w:tcPr>
          <w:p w14:paraId="30F1A850">
            <w:pPr>
              <w:widowControl/>
              <w:jc w:val="center"/>
              <w:rPr>
                <w:rFonts w:ascii="仿宋" w:hAnsi="仿宋" w:eastAsia="仿宋" w:cs="仿宋"/>
                <w:kern w:val="0"/>
                <w:sz w:val="18"/>
                <w:szCs w:val="18"/>
              </w:rPr>
            </w:pPr>
            <w:r>
              <w:rPr>
                <w:rFonts w:hint="eastAsia" w:ascii="仿宋" w:hAnsi="仿宋" w:eastAsia="仿宋" w:cs="仿宋"/>
                <w:kern w:val="0"/>
                <w:sz w:val="18"/>
                <w:szCs w:val="18"/>
              </w:rPr>
              <w:t>系统对接</w:t>
            </w:r>
          </w:p>
        </w:tc>
        <w:tc>
          <w:tcPr>
            <w:tcW w:w="659" w:type="pct"/>
            <w:vMerge w:val="restart"/>
            <w:tcBorders>
              <w:tl2br w:val="nil"/>
              <w:tr2bl w:val="nil"/>
            </w:tcBorders>
            <w:vAlign w:val="center"/>
          </w:tcPr>
          <w:p w14:paraId="112A1F7D">
            <w:pPr>
              <w:jc w:val="center"/>
              <w:rPr>
                <w:rFonts w:ascii="仿宋" w:hAnsi="仿宋" w:eastAsia="仿宋" w:cs="仿宋"/>
                <w:kern w:val="0"/>
                <w:sz w:val="18"/>
                <w:szCs w:val="18"/>
              </w:rPr>
            </w:pPr>
            <w:r>
              <w:rPr>
                <w:rFonts w:hint="eastAsia" w:ascii="仿宋" w:hAnsi="仿宋" w:eastAsia="仿宋" w:cs="仿宋"/>
                <w:kern w:val="0"/>
                <w:sz w:val="18"/>
                <w:szCs w:val="18"/>
              </w:rPr>
              <w:t>医养康</w:t>
            </w:r>
          </w:p>
          <w:p w14:paraId="116C1043">
            <w:pPr>
              <w:jc w:val="center"/>
              <w:rPr>
                <w:rFonts w:ascii="仿宋" w:hAnsi="仿宋" w:eastAsia="仿宋" w:cs="仿宋"/>
                <w:kern w:val="0"/>
                <w:sz w:val="18"/>
                <w:szCs w:val="18"/>
              </w:rPr>
            </w:pPr>
            <w:r>
              <w:rPr>
                <w:rFonts w:hint="eastAsia" w:ascii="仿宋" w:hAnsi="仿宋" w:eastAsia="仿宋" w:cs="仿宋"/>
                <w:kern w:val="0"/>
                <w:sz w:val="18"/>
                <w:szCs w:val="18"/>
              </w:rPr>
              <w:t>数据湖</w:t>
            </w:r>
          </w:p>
        </w:tc>
        <w:tc>
          <w:tcPr>
            <w:tcW w:w="626" w:type="pct"/>
            <w:tcBorders>
              <w:tl2br w:val="nil"/>
              <w:tr2bl w:val="nil"/>
            </w:tcBorders>
            <w:shd w:val="clear" w:color="auto" w:fill="auto"/>
            <w:vAlign w:val="center"/>
          </w:tcPr>
          <w:p w14:paraId="4FA4024E">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多边资源整合</w:t>
            </w:r>
          </w:p>
        </w:tc>
        <w:tc>
          <w:tcPr>
            <w:tcW w:w="621" w:type="pct"/>
            <w:tcBorders>
              <w:tl2br w:val="nil"/>
              <w:tr2bl w:val="nil"/>
            </w:tcBorders>
            <w:shd w:val="clear" w:color="auto" w:fill="auto"/>
            <w:vAlign w:val="center"/>
          </w:tcPr>
          <w:p w14:paraId="28D3DF2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老年人</w:t>
            </w:r>
          </w:p>
          <w:p w14:paraId="41DA79AC">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医养康</w:t>
            </w:r>
          </w:p>
          <w:p w14:paraId="0F89B55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数据</w:t>
            </w:r>
          </w:p>
        </w:tc>
        <w:tc>
          <w:tcPr>
            <w:tcW w:w="2465" w:type="pct"/>
            <w:tcBorders>
              <w:tl2br w:val="nil"/>
              <w:tr2bl w:val="nil"/>
            </w:tcBorders>
            <w:shd w:val="clear" w:color="auto" w:fill="auto"/>
            <w:vAlign w:val="center"/>
          </w:tcPr>
          <w:p w14:paraId="206FE82D">
            <w:pPr>
              <w:widowControl/>
              <w:rPr>
                <w:rFonts w:ascii="仿宋" w:hAnsi="仿宋" w:eastAsia="仿宋" w:cs="仿宋"/>
                <w:kern w:val="0"/>
                <w:sz w:val="18"/>
                <w:szCs w:val="18"/>
              </w:rPr>
            </w:pPr>
            <w:r>
              <w:rPr>
                <w:rFonts w:hint="eastAsia" w:ascii="仿宋" w:hAnsi="仿宋" w:eastAsia="仿宋" w:cs="仿宋"/>
                <w:kern w:val="0"/>
                <w:sz w:val="18"/>
                <w:szCs w:val="18"/>
              </w:rPr>
              <w:t>面向老年人服务的多边资源支持配置不同数据类型的同步频率同步到医养康数据湖实现汇聚，包括但不限于以下数据：</w:t>
            </w:r>
          </w:p>
          <w:p w14:paraId="5A1D74A8">
            <w:pPr>
              <w:widowControl/>
              <w:numPr>
                <w:ilvl w:val="0"/>
                <w:numId w:val="4"/>
              </w:numPr>
              <w:rPr>
                <w:rFonts w:ascii="仿宋" w:hAnsi="仿宋" w:eastAsia="仿宋" w:cs="仿宋"/>
                <w:kern w:val="0"/>
                <w:sz w:val="18"/>
                <w:szCs w:val="18"/>
              </w:rPr>
            </w:pPr>
            <w:r>
              <w:rPr>
                <w:rFonts w:hint="eastAsia" w:ascii="仿宋" w:hAnsi="仿宋" w:eastAsia="仿宋" w:cs="仿宋"/>
                <w:kern w:val="0"/>
                <w:sz w:val="18"/>
                <w:szCs w:val="18"/>
              </w:rPr>
              <w:t>老年人数据：基础信息、健康信息、老年评估数据；</w:t>
            </w:r>
          </w:p>
          <w:p w14:paraId="3CB925DB">
            <w:pPr>
              <w:widowControl/>
              <w:numPr>
                <w:ilvl w:val="0"/>
                <w:numId w:val="4"/>
              </w:numPr>
              <w:rPr>
                <w:rFonts w:ascii="仿宋" w:hAnsi="仿宋" w:eastAsia="仿宋" w:cs="仿宋"/>
                <w:kern w:val="0"/>
                <w:sz w:val="18"/>
                <w:szCs w:val="18"/>
              </w:rPr>
            </w:pPr>
            <w:r>
              <w:rPr>
                <w:rFonts w:hint="eastAsia" w:ascii="仿宋" w:hAnsi="仿宋" w:eastAsia="仿宋" w:cs="仿宋"/>
                <w:kern w:val="0"/>
                <w:sz w:val="18"/>
                <w:szCs w:val="18"/>
              </w:rPr>
              <w:t>服务机构数据：机构信息、入驻评估信息、财务信息、服务/产品（商品）关联信息、员工基础信息、权限配置等机构数据，以及机构提供的服务/产品（商品）详情等商品数据；</w:t>
            </w:r>
          </w:p>
          <w:p w14:paraId="26E98480">
            <w:pPr>
              <w:widowControl/>
              <w:numPr>
                <w:ilvl w:val="0"/>
                <w:numId w:val="4"/>
              </w:numPr>
              <w:rPr>
                <w:rFonts w:ascii="仿宋" w:hAnsi="仿宋" w:eastAsia="仿宋" w:cs="仿宋"/>
                <w:kern w:val="0"/>
                <w:sz w:val="18"/>
                <w:szCs w:val="18"/>
              </w:rPr>
            </w:pPr>
            <w:r>
              <w:rPr>
                <w:rFonts w:hint="eastAsia" w:ascii="仿宋" w:hAnsi="仿宋" w:eastAsia="仿宋" w:cs="仿宋"/>
                <w:kern w:val="0"/>
                <w:sz w:val="18"/>
                <w:szCs w:val="18"/>
              </w:rPr>
              <w:t>设备管理数据：智能设备详情、生命体征监测、告警记录等设备数据到医养康数据湖；</w:t>
            </w:r>
          </w:p>
          <w:p w14:paraId="3D631F15">
            <w:pPr>
              <w:widowControl/>
              <w:numPr>
                <w:ilvl w:val="0"/>
                <w:numId w:val="4"/>
              </w:numPr>
              <w:rPr>
                <w:rFonts w:ascii="仿宋" w:hAnsi="仿宋" w:eastAsia="仿宋" w:cs="仿宋"/>
                <w:kern w:val="0"/>
                <w:sz w:val="18"/>
                <w:szCs w:val="18"/>
              </w:rPr>
            </w:pPr>
            <w:r>
              <w:rPr>
                <w:rFonts w:hint="eastAsia" w:ascii="仿宋" w:hAnsi="仿宋" w:eastAsia="仿宋" w:cs="仿宋"/>
                <w:kern w:val="0"/>
                <w:sz w:val="18"/>
                <w:szCs w:val="18"/>
              </w:rPr>
              <w:t>服务/商品订单数据：老年人与机构相关的服务/产品（商品）订单信息、回访记录、售后信息等消费数据。</w:t>
            </w:r>
          </w:p>
        </w:tc>
      </w:tr>
      <w:tr w14:paraId="593C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626" w:type="pct"/>
            <w:vMerge w:val="continue"/>
            <w:tcBorders>
              <w:tl2br w:val="nil"/>
              <w:tr2bl w:val="nil"/>
            </w:tcBorders>
          </w:tcPr>
          <w:p w14:paraId="2DE481A5">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41D4F409">
            <w:pPr>
              <w:jc w:val="center"/>
              <w:rPr>
                <w:rFonts w:ascii="仿宋" w:hAnsi="仿宋" w:eastAsia="仿宋" w:cs="仿宋"/>
                <w:kern w:val="0"/>
                <w:sz w:val="18"/>
                <w:szCs w:val="18"/>
              </w:rPr>
            </w:pPr>
          </w:p>
        </w:tc>
        <w:tc>
          <w:tcPr>
            <w:tcW w:w="626" w:type="pct"/>
            <w:tcBorders>
              <w:tl2br w:val="nil"/>
              <w:tr2bl w:val="nil"/>
            </w:tcBorders>
            <w:shd w:val="clear" w:color="auto" w:fill="auto"/>
            <w:vAlign w:val="center"/>
          </w:tcPr>
          <w:p w14:paraId="0B0A8BE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老年人</w:t>
            </w:r>
          </w:p>
          <w:p w14:paraId="6AD5693A">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健康档案</w:t>
            </w:r>
          </w:p>
        </w:tc>
        <w:tc>
          <w:tcPr>
            <w:tcW w:w="621" w:type="pct"/>
            <w:tcBorders>
              <w:tl2br w:val="nil"/>
              <w:tr2bl w:val="nil"/>
            </w:tcBorders>
            <w:shd w:val="clear" w:color="auto" w:fill="auto"/>
            <w:vAlign w:val="center"/>
          </w:tcPr>
          <w:p w14:paraId="788C5829">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老年人</w:t>
            </w:r>
          </w:p>
          <w:p w14:paraId="20BFB290">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健康档案</w:t>
            </w:r>
          </w:p>
        </w:tc>
        <w:tc>
          <w:tcPr>
            <w:tcW w:w="2465" w:type="pct"/>
            <w:tcBorders>
              <w:tl2br w:val="nil"/>
              <w:tr2bl w:val="nil"/>
            </w:tcBorders>
            <w:shd w:val="clear" w:color="auto" w:fill="auto"/>
            <w:vAlign w:val="center"/>
          </w:tcPr>
          <w:p w14:paraId="2DB2EBE3">
            <w:pPr>
              <w:widowControl/>
              <w:rPr>
                <w:rFonts w:ascii="仿宋" w:hAnsi="仿宋" w:eastAsia="仿宋" w:cs="仿宋"/>
                <w:kern w:val="0"/>
                <w:sz w:val="18"/>
                <w:szCs w:val="18"/>
              </w:rPr>
            </w:pPr>
            <w:r>
              <w:rPr>
                <w:rFonts w:hint="eastAsia" w:ascii="仿宋" w:hAnsi="仿宋" w:eastAsia="仿宋" w:cs="仿宋"/>
                <w:kern w:val="0"/>
                <w:sz w:val="18"/>
                <w:szCs w:val="18"/>
              </w:rPr>
              <w:t>医养康管理后台从数据湖同步已数据对齐、标准化后的老年人基础信息、健康信息、综合评估、康养服务、健康监测、流转记录、机构养老等老年人医养康全数据，并用于老年人健康档案的展示。</w:t>
            </w:r>
          </w:p>
        </w:tc>
      </w:tr>
      <w:tr w14:paraId="5DAFC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626" w:type="pct"/>
            <w:vMerge w:val="continue"/>
            <w:tcBorders>
              <w:tl2br w:val="nil"/>
              <w:tr2bl w:val="nil"/>
            </w:tcBorders>
          </w:tcPr>
          <w:p w14:paraId="6DE2863F">
            <w:pPr>
              <w:widowControl/>
              <w:jc w:val="left"/>
              <w:rPr>
                <w:rFonts w:ascii="仿宋" w:hAnsi="仿宋" w:eastAsia="仿宋" w:cs="仿宋"/>
                <w:kern w:val="0"/>
                <w:sz w:val="18"/>
                <w:szCs w:val="18"/>
              </w:rPr>
            </w:pPr>
          </w:p>
        </w:tc>
        <w:tc>
          <w:tcPr>
            <w:tcW w:w="659" w:type="pct"/>
            <w:vMerge w:val="restart"/>
            <w:tcBorders>
              <w:tl2br w:val="nil"/>
              <w:tr2bl w:val="nil"/>
            </w:tcBorders>
            <w:vAlign w:val="center"/>
          </w:tcPr>
          <w:p w14:paraId="132DF302">
            <w:pPr>
              <w:jc w:val="center"/>
              <w:rPr>
                <w:rFonts w:ascii="仿宋" w:hAnsi="仿宋" w:eastAsia="仿宋" w:cs="仿宋"/>
                <w:kern w:val="0"/>
                <w:sz w:val="18"/>
                <w:szCs w:val="18"/>
              </w:rPr>
            </w:pPr>
            <w:r>
              <w:rPr>
                <w:rFonts w:hint="eastAsia" w:ascii="仿宋" w:hAnsi="仿宋" w:eastAsia="仿宋" w:cs="仿宋"/>
                <w:kern w:val="0"/>
                <w:sz w:val="18"/>
                <w:szCs w:val="18"/>
              </w:rPr>
              <w:t>多场景应用服务中台</w:t>
            </w:r>
          </w:p>
        </w:tc>
        <w:tc>
          <w:tcPr>
            <w:tcW w:w="626" w:type="pct"/>
            <w:vMerge w:val="restart"/>
            <w:tcBorders>
              <w:tl2br w:val="nil"/>
              <w:tr2bl w:val="nil"/>
            </w:tcBorders>
            <w:shd w:val="clear" w:color="auto" w:fill="auto"/>
            <w:vAlign w:val="center"/>
          </w:tcPr>
          <w:p w14:paraId="408D32F1">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服务链</w:t>
            </w:r>
          </w:p>
        </w:tc>
        <w:tc>
          <w:tcPr>
            <w:tcW w:w="621" w:type="pct"/>
            <w:vMerge w:val="restart"/>
            <w:tcBorders>
              <w:tl2br w:val="nil"/>
              <w:tr2bl w:val="nil"/>
            </w:tcBorders>
            <w:shd w:val="clear" w:color="auto" w:fill="auto"/>
            <w:vAlign w:val="center"/>
          </w:tcPr>
          <w:p w14:paraId="6F7E2093">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服务链</w:t>
            </w:r>
          </w:p>
          <w:p w14:paraId="52E4547D">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定制</w:t>
            </w:r>
          </w:p>
        </w:tc>
        <w:tc>
          <w:tcPr>
            <w:tcW w:w="2465" w:type="pct"/>
            <w:tcBorders>
              <w:bottom w:val="single" w:color="auto" w:sz="4" w:space="0"/>
              <w:tl2br w:val="nil"/>
              <w:tr2bl w:val="nil"/>
            </w:tcBorders>
            <w:shd w:val="clear" w:color="auto" w:fill="auto"/>
            <w:vAlign w:val="center"/>
          </w:tcPr>
          <w:p w14:paraId="5BC875D6">
            <w:pPr>
              <w:jc w:val="left"/>
              <w:rPr>
                <w:rFonts w:ascii="仿宋" w:hAnsi="仿宋" w:eastAsia="仿宋" w:cs="仿宋"/>
                <w:kern w:val="0"/>
                <w:sz w:val="18"/>
                <w:szCs w:val="18"/>
              </w:rPr>
            </w:pPr>
            <w:r>
              <w:rPr>
                <w:rFonts w:ascii="仿宋" w:hAnsi="仿宋" w:eastAsia="仿宋" w:cs="仿宋"/>
                <w:kern w:val="0"/>
                <w:sz w:val="18"/>
                <w:szCs w:val="18"/>
              </w:rPr>
              <w:t>与服务中台对接，接收服务中台服务链的推荐消息</w:t>
            </w:r>
            <w:r>
              <w:rPr>
                <w:rFonts w:hint="eastAsia" w:ascii="仿宋" w:hAnsi="仿宋" w:eastAsia="仿宋" w:cs="仿宋"/>
                <w:kern w:val="0"/>
                <w:sz w:val="18"/>
                <w:szCs w:val="18"/>
              </w:rPr>
              <w:t>。</w:t>
            </w:r>
          </w:p>
        </w:tc>
      </w:tr>
      <w:tr w14:paraId="29635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626" w:type="pct"/>
            <w:vMerge w:val="continue"/>
            <w:tcBorders>
              <w:tl2br w:val="nil"/>
              <w:tr2bl w:val="nil"/>
            </w:tcBorders>
          </w:tcPr>
          <w:p w14:paraId="022F1F15">
            <w:pPr>
              <w:widowControl/>
              <w:jc w:val="left"/>
              <w:rPr>
                <w:rFonts w:ascii="仿宋" w:hAnsi="仿宋" w:eastAsia="仿宋" w:cs="仿宋"/>
                <w:kern w:val="0"/>
                <w:sz w:val="18"/>
                <w:szCs w:val="18"/>
              </w:rPr>
            </w:pPr>
          </w:p>
        </w:tc>
        <w:tc>
          <w:tcPr>
            <w:tcW w:w="659" w:type="pct"/>
            <w:vMerge w:val="continue"/>
            <w:tcBorders>
              <w:tl2br w:val="nil"/>
              <w:tr2bl w:val="nil"/>
            </w:tcBorders>
            <w:vAlign w:val="center"/>
          </w:tcPr>
          <w:p w14:paraId="6CD006C1">
            <w:pPr>
              <w:jc w:val="center"/>
              <w:rPr>
                <w:rFonts w:ascii="仿宋" w:hAnsi="仿宋" w:eastAsia="仿宋" w:cs="仿宋"/>
                <w:kern w:val="0"/>
                <w:sz w:val="18"/>
                <w:szCs w:val="18"/>
              </w:rPr>
            </w:pPr>
          </w:p>
        </w:tc>
        <w:tc>
          <w:tcPr>
            <w:tcW w:w="626" w:type="pct"/>
            <w:vMerge w:val="continue"/>
            <w:tcBorders>
              <w:tl2br w:val="nil"/>
              <w:tr2bl w:val="nil"/>
            </w:tcBorders>
            <w:shd w:val="clear" w:color="auto" w:fill="auto"/>
            <w:vAlign w:val="center"/>
          </w:tcPr>
          <w:p w14:paraId="6B80C491">
            <w:pPr>
              <w:widowControl/>
              <w:jc w:val="center"/>
              <w:textAlignment w:val="center"/>
              <w:rPr>
                <w:rFonts w:ascii="仿宋" w:hAnsi="仿宋" w:eastAsia="仿宋" w:cs="仿宋"/>
                <w:color w:val="000000"/>
                <w:kern w:val="0"/>
                <w:sz w:val="18"/>
                <w:szCs w:val="18"/>
                <w:lang w:bidi="ar"/>
              </w:rPr>
            </w:pPr>
          </w:p>
        </w:tc>
        <w:tc>
          <w:tcPr>
            <w:tcW w:w="621" w:type="pct"/>
            <w:vMerge w:val="continue"/>
            <w:tcBorders>
              <w:tl2br w:val="nil"/>
              <w:tr2bl w:val="nil"/>
            </w:tcBorders>
            <w:shd w:val="clear" w:color="auto" w:fill="auto"/>
            <w:vAlign w:val="center"/>
          </w:tcPr>
          <w:p w14:paraId="14EBDCFB">
            <w:pPr>
              <w:widowControl/>
              <w:jc w:val="center"/>
              <w:textAlignment w:val="center"/>
              <w:rPr>
                <w:rFonts w:ascii="仿宋" w:hAnsi="仿宋" w:eastAsia="仿宋" w:cs="仿宋"/>
                <w:color w:val="000000"/>
                <w:kern w:val="0"/>
                <w:sz w:val="18"/>
                <w:szCs w:val="18"/>
                <w:lang w:bidi="ar"/>
              </w:rPr>
            </w:pPr>
          </w:p>
        </w:tc>
        <w:tc>
          <w:tcPr>
            <w:tcW w:w="2465" w:type="pct"/>
            <w:tcBorders>
              <w:top w:val="single" w:color="auto" w:sz="4" w:space="0"/>
              <w:tl2br w:val="nil"/>
              <w:tr2bl w:val="nil"/>
            </w:tcBorders>
            <w:shd w:val="clear" w:color="auto" w:fill="auto"/>
            <w:vAlign w:val="center"/>
          </w:tcPr>
          <w:p w14:paraId="1C1F1E3A">
            <w:pPr>
              <w:jc w:val="left"/>
              <w:rPr>
                <w:rFonts w:ascii="仿宋" w:hAnsi="仿宋" w:eastAsia="仿宋" w:cs="仿宋"/>
                <w:kern w:val="0"/>
                <w:sz w:val="18"/>
                <w:szCs w:val="18"/>
              </w:rPr>
            </w:pPr>
            <w:r>
              <w:rPr>
                <w:rFonts w:ascii="仿宋" w:hAnsi="仿宋" w:eastAsia="仿宋" w:cs="仿宋"/>
                <w:kern w:val="0"/>
                <w:sz w:val="18"/>
                <w:szCs w:val="18"/>
              </w:rPr>
              <w:t>服务推荐展示（根据服务中台推送的推荐消息，为</w:t>
            </w:r>
            <w:r>
              <w:rPr>
                <w:rFonts w:hint="eastAsia" w:ascii="仿宋" w:hAnsi="仿宋" w:eastAsia="仿宋" w:cs="仿宋"/>
                <w:kern w:val="0"/>
                <w:sz w:val="18"/>
                <w:szCs w:val="18"/>
              </w:rPr>
              <w:t>老年人</w:t>
            </w:r>
            <w:r>
              <w:rPr>
                <w:rFonts w:ascii="仿宋" w:hAnsi="仿宋" w:eastAsia="仿宋" w:cs="仿宋"/>
                <w:kern w:val="0"/>
                <w:sz w:val="18"/>
                <w:szCs w:val="18"/>
              </w:rPr>
              <w:t>展示推荐语和推荐商品）</w:t>
            </w:r>
            <w:r>
              <w:rPr>
                <w:rFonts w:hint="eastAsia" w:ascii="仿宋" w:hAnsi="仿宋" w:eastAsia="仿宋" w:cs="仿宋"/>
                <w:kern w:val="0"/>
                <w:sz w:val="18"/>
                <w:szCs w:val="18"/>
              </w:rPr>
              <w:t>。</w:t>
            </w:r>
          </w:p>
        </w:tc>
      </w:tr>
      <w:tr w14:paraId="0D931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626" w:type="pct"/>
            <w:vMerge w:val="continue"/>
            <w:tcBorders>
              <w:tl2br w:val="nil"/>
              <w:tr2bl w:val="nil"/>
            </w:tcBorders>
          </w:tcPr>
          <w:p w14:paraId="65C81912">
            <w:pPr>
              <w:widowControl/>
              <w:jc w:val="left"/>
              <w:rPr>
                <w:rFonts w:ascii="仿宋" w:hAnsi="仿宋" w:eastAsia="仿宋" w:cs="仿宋"/>
                <w:kern w:val="0"/>
                <w:sz w:val="18"/>
                <w:szCs w:val="18"/>
              </w:rPr>
            </w:pPr>
          </w:p>
        </w:tc>
        <w:tc>
          <w:tcPr>
            <w:tcW w:w="659" w:type="pct"/>
            <w:tcBorders>
              <w:tl2br w:val="nil"/>
              <w:tr2bl w:val="nil"/>
            </w:tcBorders>
            <w:vAlign w:val="center"/>
          </w:tcPr>
          <w:p w14:paraId="32B1C5DA">
            <w:pPr>
              <w:jc w:val="center"/>
              <w:rPr>
                <w:rFonts w:ascii="仿宋" w:hAnsi="仿宋" w:eastAsia="仿宋" w:cs="仿宋"/>
                <w:kern w:val="0"/>
                <w:sz w:val="18"/>
                <w:szCs w:val="18"/>
              </w:rPr>
            </w:pPr>
            <w:r>
              <w:rPr>
                <w:rFonts w:hint="eastAsia" w:ascii="仿宋" w:hAnsi="仿宋" w:eastAsia="仿宋" w:cs="仿宋"/>
                <w:kern w:val="0"/>
                <w:sz w:val="18"/>
                <w:szCs w:val="18"/>
              </w:rPr>
              <w:t>对外运营</w:t>
            </w:r>
          </w:p>
          <w:p w14:paraId="6B6734CC">
            <w:pPr>
              <w:jc w:val="center"/>
              <w:rPr>
                <w:rFonts w:ascii="仿宋" w:hAnsi="仿宋" w:eastAsia="仿宋" w:cs="仿宋"/>
                <w:kern w:val="0"/>
                <w:sz w:val="18"/>
                <w:szCs w:val="18"/>
              </w:rPr>
            </w:pPr>
            <w:r>
              <w:rPr>
                <w:rFonts w:hint="eastAsia" w:ascii="仿宋" w:hAnsi="仿宋" w:eastAsia="仿宋" w:cs="仿宋"/>
                <w:kern w:val="0"/>
                <w:sz w:val="18"/>
                <w:szCs w:val="18"/>
              </w:rPr>
              <w:t>业务接口</w:t>
            </w:r>
          </w:p>
        </w:tc>
        <w:tc>
          <w:tcPr>
            <w:tcW w:w="626" w:type="pct"/>
            <w:tcBorders>
              <w:tl2br w:val="nil"/>
              <w:tr2bl w:val="nil"/>
            </w:tcBorders>
            <w:shd w:val="clear" w:color="auto" w:fill="auto"/>
            <w:vAlign w:val="center"/>
          </w:tcPr>
          <w:p w14:paraId="2B274BC7">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标准化</w:t>
            </w:r>
          </w:p>
          <w:p w14:paraId="6F568ECB">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kern w:val="0"/>
                <w:sz w:val="18"/>
                <w:szCs w:val="18"/>
              </w:rPr>
              <w:t>接口</w:t>
            </w:r>
          </w:p>
        </w:tc>
        <w:tc>
          <w:tcPr>
            <w:tcW w:w="621" w:type="pct"/>
            <w:tcBorders>
              <w:tl2br w:val="nil"/>
              <w:tr2bl w:val="nil"/>
            </w:tcBorders>
            <w:shd w:val="clear" w:color="auto" w:fill="auto"/>
            <w:vAlign w:val="center"/>
          </w:tcPr>
          <w:p w14:paraId="2DC3DF04">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kern w:val="0"/>
                <w:sz w:val="18"/>
                <w:szCs w:val="18"/>
              </w:rPr>
              <w:t>/</w:t>
            </w:r>
          </w:p>
        </w:tc>
        <w:tc>
          <w:tcPr>
            <w:tcW w:w="2465" w:type="pct"/>
            <w:tcBorders>
              <w:bottom w:val="single" w:color="auto" w:sz="4" w:space="0"/>
              <w:tl2br w:val="nil"/>
              <w:tr2bl w:val="nil"/>
            </w:tcBorders>
            <w:shd w:val="clear" w:color="auto" w:fill="auto"/>
            <w:vAlign w:val="center"/>
          </w:tcPr>
          <w:p w14:paraId="4AEEACCA">
            <w:pPr>
              <w:jc w:val="left"/>
              <w:rPr>
                <w:rFonts w:ascii="仿宋" w:hAnsi="仿宋" w:eastAsia="仿宋" w:cs="仿宋"/>
                <w:kern w:val="0"/>
                <w:sz w:val="18"/>
                <w:szCs w:val="18"/>
              </w:rPr>
            </w:pPr>
            <w:r>
              <w:rPr>
                <w:rFonts w:hint="eastAsia" w:ascii="仿宋" w:hAnsi="仿宋" w:eastAsia="仿宋" w:cs="仿宋"/>
                <w:kern w:val="0"/>
                <w:sz w:val="18"/>
                <w:szCs w:val="18"/>
              </w:rPr>
              <w:t>面向加入医养康服务体系的服务机构，提供下单订单接口、订单完成接口、退款接口、设备告警标准接口开发、商品/服务跳转配置开发等标准接入接口。标准化接口必须能面向以下系统实现业务对接：</w:t>
            </w:r>
          </w:p>
          <w:p w14:paraId="4A266552">
            <w:pPr>
              <w:numPr>
                <w:ilvl w:val="0"/>
                <w:numId w:val="5"/>
              </w:numPr>
              <w:jc w:val="left"/>
              <w:rPr>
                <w:rFonts w:ascii="仿宋" w:hAnsi="仿宋" w:eastAsia="仿宋" w:cs="仿宋"/>
                <w:kern w:val="0"/>
                <w:sz w:val="18"/>
                <w:szCs w:val="18"/>
              </w:rPr>
            </w:pPr>
            <w:r>
              <w:rPr>
                <w:rFonts w:hint="eastAsia" w:ascii="仿宋" w:hAnsi="仿宋" w:eastAsia="仿宋" w:cs="仿宋"/>
                <w:kern w:val="0"/>
                <w:sz w:val="18"/>
                <w:szCs w:val="18"/>
              </w:rPr>
              <w:t>与医院互联网医院系统相关医疗/护理服务对接、联调；</w:t>
            </w:r>
          </w:p>
          <w:p w14:paraId="2941C66D">
            <w:pPr>
              <w:numPr>
                <w:ilvl w:val="0"/>
                <w:numId w:val="5"/>
              </w:numPr>
              <w:jc w:val="left"/>
              <w:rPr>
                <w:rFonts w:ascii="仿宋" w:hAnsi="仿宋" w:eastAsia="仿宋" w:cs="仿宋"/>
                <w:kern w:val="0"/>
                <w:sz w:val="18"/>
                <w:szCs w:val="18"/>
              </w:rPr>
            </w:pPr>
            <w:r>
              <w:rPr>
                <w:rFonts w:hint="eastAsia" w:ascii="仿宋" w:hAnsi="仿宋" w:eastAsia="仿宋" w:cs="仿宋"/>
                <w:kern w:val="0"/>
                <w:sz w:val="18"/>
                <w:szCs w:val="18"/>
              </w:rPr>
              <w:t>与项目合作示范机构广东颐年养老服务有限公司陪诊、陪护服务、助餐配餐系统、居家适老化等系统对接、联调。</w:t>
            </w:r>
          </w:p>
          <w:p w14:paraId="29CCC5C0">
            <w:pPr>
              <w:numPr>
                <w:ilvl w:val="0"/>
                <w:numId w:val="5"/>
              </w:numPr>
              <w:jc w:val="left"/>
              <w:rPr>
                <w:rFonts w:ascii="仿宋" w:hAnsi="仿宋" w:eastAsia="仿宋" w:cs="仿宋"/>
                <w:kern w:val="0"/>
                <w:sz w:val="18"/>
                <w:szCs w:val="18"/>
              </w:rPr>
            </w:pPr>
            <w:r>
              <w:rPr>
                <w:rFonts w:hint="eastAsia" w:ascii="仿宋" w:hAnsi="仿宋" w:eastAsia="仿宋" w:cs="仿宋"/>
                <w:kern w:val="0"/>
                <w:sz w:val="18"/>
                <w:szCs w:val="18"/>
              </w:rPr>
              <w:t>与项目合作示范机构和熙（广州）信息科技有限公司熙康复服务系统对接、联调。</w:t>
            </w:r>
          </w:p>
        </w:tc>
      </w:tr>
      <w:tr w14:paraId="3EC62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2" w:hRule="atLeast"/>
        </w:trPr>
        <w:tc>
          <w:tcPr>
            <w:tcW w:w="626" w:type="pct"/>
            <w:tcBorders>
              <w:tl2br w:val="nil"/>
              <w:tr2bl w:val="nil"/>
            </w:tcBorders>
            <w:vAlign w:val="center"/>
          </w:tcPr>
          <w:p w14:paraId="5841E32E">
            <w:pPr>
              <w:widowControl/>
              <w:jc w:val="center"/>
              <w:rPr>
                <w:rFonts w:ascii="仿宋" w:hAnsi="仿宋" w:eastAsia="仿宋" w:cs="仿宋"/>
                <w:kern w:val="0"/>
                <w:sz w:val="18"/>
                <w:szCs w:val="18"/>
              </w:rPr>
            </w:pPr>
            <w:r>
              <w:rPr>
                <w:rFonts w:hint="eastAsia" w:ascii="仿宋" w:hAnsi="仿宋" w:eastAsia="仿宋" w:cs="仿宋"/>
                <w:kern w:val="0"/>
                <w:sz w:val="18"/>
                <w:szCs w:val="18"/>
              </w:rPr>
              <w:t>项目视频</w:t>
            </w:r>
          </w:p>
        </w:tc>
        <w:tc>
          <w:tcPr>
            <w:tcW w:w="659" w:type="pct"/>
            <w:tcBorders>
              <w:tl2br w:val="nil"/>
              <w:tr2bl w:val="nil"/>
            </w:tcBorders>
            <w:vAlign w:val="center"/>
          </w:tcPr>
          <w:p w14:paraId="7E587640">
            <w:pPr>
              <w:jc w:val="center"/>
              <w:rPr>
                <w:rFonts w:ascii="仿宋" w:hAnsi="仿宋" w:eastAsia="仿宋" w:cs="仿宋"/>
                <w:kern w:val="0"/>
                <w:sz w:val="18"/>
                <w:szCs w:val="18"/>
              </w:rPr>
            </w:pPr>
            <w:r>
              <w:rPr>
                <w:rFonts w:hint="eastAsia" w:ascii="仿宋" w:hAnsi="仿宋" w:eastAsia="仿宋" w:cs="仿宋"/>
                <w:kern w:val="0"/>
                <w:sz w:val="18"/>
                <w:szCs w:val="18"/>
                <w:lang w:val="en-US" w:eastAsia="zh-CN"/>
              </w:rPr>
              <w:t>结题</w:t>
            </w:r>
            <w:r>
              <w:rPr>
                <w:rFonts w:hint="eastAsia" w:ascii="仿宋" w:hAnsi="仿宋" w:eastAsia="仿宋" w:cs="仿宋"/>
                <w:kern w:val="0"/>
                <w:sz w:val="18"/>
                <w:szCs w:val="18"/>
              </w:rPr>
              <w:t>视频</w:t>
            </w:r>
          </w:p>
        </w:tc>
        <w:tc>
          <w:tcPr>
            <w:tcW w:w="626" w:type="pct"/>
            <w:tcBorders>
              <w:tl2br w:val="nil"/>
              <w:tr2bl w:val="nil"/>
            </w:tcBorders>
            <w:shd w:val="clear" w:color="auto" w:fill="auto"/>
            <w:vAlign w:val="center"/>
          </w:tcPr>
          <w:p w14:paraId="04C94493">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成果展示</w:t>
            </w:r>
          </w:p>
        </w:tc>
        <w:tc>
          <w:tcPr>
            <w:tcW w:w="621" w:type="pct"/>
            <w:tcBorders>
              <w:tl2br w:val="nil"/>
              <w:tr2bl w:val="nil"/>
            </w:tcBorders>
            <w:shd w:val="clear" w:color="auto" w:fill="auto"/>
            <w:vAlign w:val="center"/>
          </w:tcPr>
          <w:p w14:paraId="416BC1ED">
            <w:pPr>
              <w:widowControl/>
              <w:jc w:val="center"/>
              <w:textAlignment w:val="center"/>
              <w:rPr>
                <w:rFonts w:ascii="仿宋" w:hAnsi="仿宋" w:eastAsia="仿宋" w:cs="仿宋"/>
                <w:kern w:val="0"/>
                <w:sz w:val="18"/>
                <w:szCs w:val="18"/>
              </w:rPr>
            </w:pPr>
            <w:r>
              <w:rPr>
                <w:rFonts w:hint="eastAsia" w:ascii="仿宋" w:hAnsi="仿宋" w:eastAsia="仿宋" w:cs="仿宋"/>
                <w:kern w:val="0"/>
                <w:sz w:val="18"/>
                <w:szCs w:val="18"/>
              </w:rPr>
              <w:t>/</w:t>
            </w:r>
          </w:p>
        </w:tc>
        <w:tc>
          <w:tcPr>
            <w:tcW w:w="2465" w:type="pct"/>
            <w:tcBorders>
              <w:tl2br w:val="nil"/>
              <w:tr2bl w:val="nil"/>
            </w:tcBorders>
            <w:shd w:val="clear" w:color="auto" w:fill="auto"/>
            <w:vAlign w:val="center"/>
          </w:tcPr>
          <w:p w14:paraId="7C9A6CA6">
            <w:pPr>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结合项目</w:t>
            </w:r>
            <w:r>
              <w:rPr>
                <w:rFonts w:hint="eastAsia" w:ascii="仿宋" w:hAnsi="仿宋" w:eastAsia="仿宋" w:cs="仿宋"/>
                <w:kern w:val="0"/>
                <w:sz w:val="18"/>
                <w:szCs w:val="18"/>
                <w:lang w:val="en-US" w:eastAsia="zh-CN"/>
              </w:rPr>
              <w:t>指南和任务书、</w:t>
            </w:r>
            <w:r>
              <w:rPr>
                <w:rFonts w:hint="eastAsia" w:ascii="仿宋" w:hAnsi="仿宋" w:eastAsia="仿宋" w:cs="仿宋"/>
                <w:kern w:val="0"/>
                <w:sz w:val="18"/>
                <w:szCs w:val="18"/>
              </w:rPr>
              <w:t>各课题</w:t>
            </w:r>
            <w:r>
              <w:rPr>
                <w:rFonts w:hint="eastAsia" w:ascii="仿宋" w:hAnsi="仿宋" w:eastAsia="仿宋" w:cs="仿宋"/>
                <w:kern w:val="0"/>
                <w:sz w:val="18"/>
                <w:szCs w:val="18"/>
                <w:lang w:val="en-US" w:eastAsia="zh-CN"/>
              </w:rPr>
              <w:t>任务书对应</w:t>
            </w:r>
            <w:r>
              <w:rPr>
                <w:rFonts w:hint="eastAsia" w:ascii="仿宋" w:hAnsi="仿宋" w:eastAsia="仿宋" w:cs="仿宋"/>
                <w:kern w:val="0"/>
                <w:sz w:val="18"/>
                <w:szCs w:val="18"/>
              </w:rPr>
              <w:t>的</w:t>
            </w:r>
            <w:r>
              <w:rPr>
                <w:rFonts w:hint="eastAsia" w:ascii="仿宋" w:hAnsi="仿宋" w:eastAsia="仿宋" w:cs="仿宋"/>
                <w:kern w:val="0"/>
                <w:sz w:val="18"/>
                <w:szCs w:val="18"/>
                <w:lang w:val="en-US" w:eastAsia="zh-CN"/>
              </w:rPr>
              <w:t>核心研究</w:t>
            </w:r>
            <w:r>
              <w:rPr>
                <w:rFonts w:hint="eastAsia" w:ascii="仿宋" w:hAnsi="仿宋" w:eastAsia="仿宋" w:cs="仿宋"/>
                <w:kern w:val="0"/>
                <w:sz w:val="18"/>
                <w:szCs w:val="18"/>
              </w:rPr>
              <w:t>成果拍摄不少于5分钟的项目结题/结项视频，视频内容主要围绕以下内容</w:t>
            </w:r>
            <w:r>
              <w:rPr>
                <w:rFonts w:hint="eastAsia" w:ascii="仿宋" w:hAnsi="仿宋" w:eastAsia="仿宋" w:cs="仿宋"/>
                <w:kern w:val="0"/>
                <w:sz w:val="18"/>
                <w:szCs w:val="18"/>
                <w:lang w:eastAsia="zh-CN"/>
              </w:rPr>
              <w:t>：</w:t>
            </w:r>
          </w:p>
          <w:p w14:paraId="4889CD4A">
            <w:pPr>
              <w:numPr>
                <w:ilvl w:val="0"/>
                <w:numId w:val="0"/>
              </w:numPr>
              <w:jc w:val="left"/>
              <w:rPr>
                <w:rFonts w:hint="default" w:ascii="仿宋" w:hAnsi="仿宋" w:eastAsia="仿宋" w:cs="仿宋"/>
                <w:kern w:val="0"/>
                <w:sz w:val="18"/>
                <w:szCs w:val="18"/>
                <w:lang w:val="en-US" w:eastAsia="zh-CN"/>
              </w:rPr>
            </w:pPr>
            <w:r>
              <w:rPr>
                <w:rFonts w:hint="default" w:ascii="仿宋" w:hAnsi="仿宋" w:eastAsia="仿宋" w:cs="仿宋"/>
                <w:kern w:val="0"/>
                <w:sz w:val="18"/>
                <w:szCs w:val="18"/>
                <w:lang w:val="en-US" w:eastAsia="zh-CN" w:bidi="ar-SA"/>
              </w:rPr>
              <w:t>1）</w:t>
            </w:r>
            <w:r>
              <w:rPr>
                <w:rFonts w:hint="default" w:ascii="仿宋" w:hAnsi="仿宋" w:eastAsia="仿宋" w:cs="仿宋"/>
                <w:kern w:val="0"/>
                <w:sz w:val="18"/>
                <w:szCs w:val="18"/>
                <w:lang w:val="en-US" w:eastAsia="zh-CN"/>
              </w:rPr>
              <w:t>项目背景与立项意义</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以加速的人口老龄化趋势为切入点，结合老年人日益增长的医疗、康复与健康管理综合需求，指出当前“家庭养老功能逐步弱化、医养康服务体系割裂、资源配置效率低下”等痛点问题。进而引出本项目的研究立项背景与使命，即：“依托数字化驱动医养康服务协同一体化发展，打造智能高效的可持续性老年健康服务体系，保障老年群体在服务链条中的全流程无缝流转衔接”，切实回应国家战略需求和基层服务实际痛点。</w:t>
            </w:r>
          </w:p>
          <w:p w14:paraId="0D3D1889">
            <w:pPr>
              <w:numPr>
                <w:ilvl w:val="0"/>
                <w:numId w:val="0"/>
              </w:numPr>
              <w:jc w:val="left"/>
              <w:rPr>
                <w:rFonts w:hint="default" w:ascii="仿宋" w:hAnsi="仿宋" w:eastAsia="仿宋" w:cs="仿宋"/>
                <w:kern w:val="0"/>
                <w:sz w:val="18"/>
                <w:szCs w:val="18"/>
                <w:lang w:val="en-US" w:eastAsia="zh-CN"/>
              </w:rPr>
            </w:pPr>
            <w:r>
              <w:rPr>
                <w:rFonts w:hint="default" w:ascii="仿宋" w:hAnsi="仿宋" w:eastAsia="仿宋" w:cs="仿宋"/>
                <w:kern w:val="0"/>
                <w:sz w:val="18"/>
                <w:szCs w:val="18"/>
                <w:lang w:val="en-US" w:eastAsia="zh-CN" w:bidi="ar-SA"/>
              </w:rPr>
              <w:t>2）</w:t>
            </w:r>
            <w:r>
              <w:rPr>
                <w:rFonts w:hint="default" w:ascii="仿宋" w:hAnsi="仿宋" w:eastAsia="仿宋" w:cs="仿宋"/>
                <w:kern w:val="0"/>
                <w:sz w:val="18"/>
                <w:szCs w:val="18"/>
                <w:lang w:val="en-US" w:eastAsia="zh-CN"/>
              </w:rPr>
              <w:t>项目核心成果展示</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重点展示本项目研发的 “智慧医养康服务一体化平台”，涵盖以下三大系统：老年人</w:t>
            </w:r>
            <w:r>
              <w:rPr>
                <w:rFonts w:hint="eastAsia" w:ascii="仿宋" w:hAnsi="仿宋" w:eastAsia="仿宋" w:cs="仿宋"/>
                <w:kern w:val="0"/>
                <w:sz w:val="18"/>
                <w:szCs w:val="18"/>
                <w:lang w:val="en-US" w:eastAsia="zh-CN"/>
              </w:rPr>
              <w:t>用户</w:t>
            </w:r>
            <w:r>
              <w:rPr>
                <w:rFonts w:hint="default" w:ascii="仿宋" w:hAnsi="仿宋" w:eastAsia="仿宋" w:cs="仿宋"/>
                <w:kern w:val="0"/>
                <w:sz w:val="18"/>
                <w:szCs w:val="18"/>
                <w:lang w:val="en-US" w:eastAsia="zh-CN"/>
              </w:rPr>
              <w:t>端小程序</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医护服务端小程序</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医养康一体化“双中台”（业务中台+资源中台）与后台管理平台，穿插专家解读，讲解平台的关键技术亮点与实现路径，包括但不限于：基于数据湖的数据集成与治理能力；基于科学评价体系遴选的医养康数字化产品池；面向医养康业务融合的智能化技术栈；医养康一体化“双中台”架构设计；CIM（城市信息模型）+社区医养康融合服务模式。强调核心技术突破，建议组织专家“金句”或点评，突出项目的技术先进性与创新示范价值。</w:t>
            </w:r>
          </w:p>
          <w:p w14:paraId="12F89E4B">
            <w:pPr>
              <w:numPr>
                <w:ilvl w:val="0"/>
                <w:numId w:val="0"/>
              </w:numPr>
              <w:jc w:val="left"/>
              <w:rPr>
                <w:rFonts w:hint="default" w:ascii="仿宋" w:hAnsi="仿宋" w:eastAsia="仿宋" w:cs="仿宋"/>
                <w:kern w:val="0"/>
                <w:sz w:val="18"/>
                <w:szCs w:val="18"/>
                <w:lang w:val="en-US" w:eastAsia="zh-CN"/>
              </w:rPr>
            </w:pPr>
            <w:r>
              <w:rPr>
                <w:rFonts w:hint="default" w:ascii="仿宋" w:hAnsi="仿宋" w:eastAsia="仿宋" w:cs="仿宋"/>
                <w:kern w:val="0"/>
                <w:sz w:val="18"/>
                <w:szCs w:val="18"/>
                <w:lang w:val="en-US" w:eastAsia="zh-CN" w:bidi="ar-SA"/>
              </w:rPr>
              <w:t>3）</w:t>
            </w:r>
            <w:r>
              <w:rPr>
                <w:rFonts w:hint="default" w:ascii="仿宋" w:hAnsi="仿宋" w:eastAsia="仿宋" w:cs="仿宋"/>
                <w:kern w:val="0"/>
                <w:sz w:val="18"/>
                <w:szCs w:val="18"/>
                <w:lang w:val="en-US" w:eastAsia="zh-CN"/>
              </w:rPr>
              <w:t>典型应用场景演绎</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通过模拟演绎形式，展示平台在实际服务过程中的典型应用闭环，包括但不限于个人健康档案、健康检测、慢病管理、远程问诊、视频急救、家医签约、意外监测与求助、积分激励等功能：</w:t>
            </w:r>
          </w:p>
          <w:p w14:paraId="1181E7C6">
            <w:pPr>
              <w:numPr>
                <w:ilvl w:val="0"/>
                <w:numId w:val="0"/>
              </w:numPr>
              <w:jc w:val="left"/>
              <w:rPr>
                <w:rFonts w:hint="default" w:ascii="仿宋" w:hAnsi="仿宋" w:eastAsia="仿宋" w:cs="仿宋"/>
                <w:kern w:val="0"/>
                <w:sz w:val="18"/>
                <w:szCs w:val="18"/>
                <w:lang w:val="en-US" w:eastAsia="zh-CN"/>
              </w:rPr>
            </w:pPr>
            <w:r>
              <w:rPr>
                <w:rFonts w:hint="default" w:ascii="仿宋" w:hAnsi="仿宋" w:eastAsia="仿宋" w:cs="仿宋"/>
                <w:kern w:val="0"/>
                <w:sz w:val="18"/>
                <w:szCs w:val="18"/>
                <w:lang w:val="en-US" w:eastAsia="zh-CN"/>
              </w:rPr>
              <w:t>①“慢病老年人的一天”：展现老年人如何借助平台与数字化产品实现健康监测、远程问诊等服务的连续性体验；</w:t>
            </w:r>
          </w:p>
          <w:p w14:paraId="177360DD">
            <w:pPr>
              <w:numPr>
                <w:ilvl w:val="0"/>
                <w:numId w:val="0"/>
              </w:numPr>
              <w:jc w:val="left"/>
              <w:rPr>
                <w:rFonts w:hint="default" w:ascii="仿宋" w:hAnsi="仿宋" w:eastAsia="仿宋" w:cs="仿宋"/>
                <w:kern w:val="0"/>
                <w:sz w:val="18"/>
                <w:szCs w:val="18"/>
                <w:lang w:val="en-US" w:eastAsia="zh-CN"/>
              </w:rPr>
            </w:pPr>
            <w:r>
              <w:rPr>
                <w:rFonts w:hint="default" w:ascii="仿宋" w:hAnsi="仿宋" w:eastAsia="仿宋" w:cs="仿宋"/>
                <w:kern w:val="0"/>
                <w:sz w:val="18"/>
                <w:szCs w:val="18"/>
                <w:lang w:val="en-US" w:eastAsia="zh-CN"/>
              </w:rPr>
              <w:t>②“脑卒中等急性疾病发作后的平台响应机制”：展示平台在应急响应、资源调配、信息联动等方面的实战能力；</w:t>
            </w:r>
          </w:p>
          <w:p w14:paraId="0E89EAC2">
            <w:pPr>
              <w:numPr>
                <w:ilvl w:val="0"/>
                <w:numId w:val="0"/>
              </w:numPr>
              <w:jc w:val="left"/>
              <w:rPr>
                <w:rFonts w:hint="default" w:ascii="仿宋" w:hAnsi="仿宋" w:eastAsia="仿宋" w:cs="仿宋"/>
                <w:kern w:val="0"/>
                <w:sz w:val="18"/>
                <w:szCs w:val="18"/>
                <w:highlight w:val="yellow"/>
                <w:lang w:val="en-US" w:eastAsia="zh-CN"/>
              </w:rPr>
            </w:pPr>
            <w:r>
              <w:rPr>
                <w:rFonts w:hint="default" w:ascii="仿宋" w:hAnsi="仿宋" w:eastAsia="仿宋" w:cs="仿宋"/>
                <w:kern w:val="0"/>
                <w:sz w:val="18"/>
                <w:szCs w:val="18"/>
                <w:lang w:val="en-US" w:eastAsia="zh-CN"/>
              </w:rPr>
              <w:t>③华北（县域医共体）、华中（湖南省直中医医院）、华南（医联体）不同落地模式的展示：体现平台的灵活部署与广泛适配能力。</w:t>
            </w:r>
          </w:p>
          <w:p w14:paraId="058FCC47">
            <w:pPr>
              <w:numPr>
                <w:ilvl w:val="0"/>
                <w:numId w:val="0"/>
              </w:numPr>
              <w:jc w:val="left"/>
              <w:rPr>
                <w:rFonts w:hint="default" w:ascii="仿宋" w:hAnsi="仿宋" w:eastAsia="仿宋" w:cs="仿宋"/>
                <w:kern w:val="0"/>
                <w:sz w:val="18"/>
                <w:szCs w:val="18"/>
                <w:highlight w:val="yellow"/>
                <w:lang w:val="en-US" w:eastAsia="zh-CN"/>
              </w:rPr>
            </w:pPr>
            <w:r>
              <w:rPr>
                <w:rFonts w:hint="default" w:ascii="仿宋" w:hAnsi="仿宋" w:eastAsia="仿宋" w:cs="仿宋"/>
                <w:kern w:val="0"/>
                <w:sz w:val="18"/>
                <w:szCs w:val="18"/>
                <w:lang w:val="en-US" w:eastAsia="zh-CN" w:bidi="ar-SA"/>
              </w:rPr>
              <w:t>4）</w:t>
            </w:r>
            <w:r>
              <w:rPr>
                <w:rFonts w:hint="default" w:ascii="仿宋" w:hAnsi="仿宋" w:eastAsia="仿宋" w:cs="仿宋"/>
                <w:kern w:val="0"/>
                <w:sz w:val="18"/>
                <w:szCs w:val="18"/>
                <w:lang w:val="en-US" w:eastAsia="zh-CN"/>
              </w:rPr>
              <w:t>成果量化与未来展望</w:t>
            </w:r>
            <w:r>
              <w:rPr>
                <w:rFonts w:hint="eastAsia" w:ascii="仿宋" w:hAnsi="仿宋" w:eastAsia="仿宋" w:cs="仿宋"/>
                <w:kern w:val="0"/>
                <w:sz w:val="18"/>
                <w:szCs w:val="18"/>
                <w:lang w:val="en-US" w:eastAsia="zh-CN"/>
              </w:rPr>
              <w:t>：</w:t>
            </w:r>
            <w:r>
              <w:rPr>
                <w:rFonts w:hint="default" w:ascii="仿宋" w:hAnsi="仿宋" w:eastAsia="仿宋" w:cs="仿宋"/>
                <w:kern w:val="0"/>
                <w:sz w:val="18"/>
                <w:szCs w:val="18"/>
                <w:lang w:val="en-US" w:eastAsia="zh-CN"/>
              </w:rPr>
              <w:t>通过量化成果展示项目成效，如：专利/软著数量、服务人群覆盖范围、平台上线地区/机构数等；引入权威专家或合作单位对项目的评价与认可；展望未来平台在全国推广、普惠赋能基层、助力健康中国建设等方面的广阔前景与社会价值。</w:t>
            </w:r>
          </w:p>
        </w:tc>
      </w:tr>
    </w:tbl>
    <w:p w14:paraId="2961414D">
      <w:pPr>
        <w:rPr>
          <w:rFonts w:hint="eastAsia"/>
          <w:lang w:val="en-US" w:eastAsia="zh-CN"/>
        </w:rPr>
      </w:pPr>
    </w:p>
    <w:p w14:paraId="255BB3ED">
      <w:pPr>
        <w:rPr>
          <w:rFonts w:hint="eastAsia"/>
        </w:rPr>
      </w:pPr>
    </w:p>
    <w:p w14:paraId="39A28F93">
      <w:pPr>
        <w:pStyle w:val="2"/>
        <w:numPr>
          <w:ilvl w:val="0"/>
          <w:numId w:val="3"/>
        </w:numPr>
        <w:spacing w:before="0" w:after="0"/>
        <w:rPr>
          <w:rFonts w:ascii="宋体" w:hAnsi="宋体"/>
          <w:sz w:val="32"/>
          <w:szCs w:val="32"/>
        </w:rPr>
      </w:pPr>
      <w:r>
        <w:rPr>
          <w:rFonts w:hint="eastAsia" w:ascii="宋体" w:hAnsi="宋体"/>
          <w:sz w:val="32"/>
          <w:szCs w:val="32"/>
        </w:rPr>
        <w:t>项目工期</w:t>
      </w:r>
    </w:p>
    <w:p w14:paraId="6F274109">
      <w:pPr>
        <w:bidi w:val="0"/>
        <w:spacing w:line="360" w:lineRule="auto"/>
        <w:rPr>
          <w:rFonts w:hint="eastAsia" w:ascii="宋体" w:hAnsi="宋体" w:eastAsia="宋体"/>
          <w:sz w:val="24"/>
        </w:rPr>
      </w:pPr>
      <w:r>
        <w:rPr>
          <w:rFonts w:hint="eastAsia" w:ascii="宋体" w:hAnsi="宋体" w:eastAsia="宋体"/>
          <w:sz w:val="24"/>
          <w:lang w:val="en-US" w:eastAsia="zh-CN"/>
        </w:rPr>
        <w:tab/>
      </w:r>
      <w:r>
        <w:rPr>
          <w:rFonts w:hint="eastAsia" w:ascii="宋体" w:hAnsi="宋体" w:eastAsia="宋体"/>
          <w:sz w:val="24"/>
        </w:rPr>
        <w:t>合同签订日起</w:t>
      </w:r>
      <w:r>
        <w:rPr>
          <w:rFonts w:hint="eastAsia" w:ascii="宋体" w:hAnsi="宋体" w:eastAsia="宋体"/>
          <w:sz w:val="24"/>
          <w:lang w:val="en-US" w:eastAsia="zh-CN"/>
        </w:rPr>
        <w:t xml:space="preserve"> </w:t>
      </w:r>
      <w:r>
        <w:rPr>
          <w:rFonts w:hint="eastAsia" w:ascii="宋体" w:hAnsi="宋体"/>
          <w:sz w:val="24"/>
          <w:lang w:val="en-US" w:eastAsia="zh-CN"/>
        </w:rPr>
        <w:t>3</w:t>
      </w:r>
      <w:r>
        <w:rPr>
          <w:rFonts w:hint="eastAsia" w:ascii="宋体" w:hAnsi="宋体" w:eastAsia="宋体"/>
          <w:sz w:val="24"/>
          <w:lang w:val="en-US" w:eastAsia="zh-CN"/>
        </w:rPr>
        <w:t xml:space="preserve"> </w:t>
      </w:r>
      <w:r>
        <w:rPr>
          <w:rFonts w:hint="eastAsia" w:ascii="宋体" w:hAnsi="宋体" w:eastAsia="宋体"/>
          <w:sz w:val="24"/>
        </w:rPr>
        <w:t>个月</w:t>
      </w:r>
      <w:r>
        <w:rPr>
          <w:rFonts w:hint="eastAsia" w:ascii="宋体" w:hAnsi="宋体" w:eastAsia="宋体"/>
          <w:sz w:val="24"/>
          <w:lang w:val="en-US" w:eastAsia="zh-CN"/>
        </w:rPr>
        <w:t>内</w:t>
      </w:r>
      <w:r>
        <w:rPr>
          <w:rFonts w:hint="eastAsia" w:ascii="宋体" w:hAnsi="宋体" w:eastAsia="宋体"/>
          <w:sz w:val="24"/>
        </w:rPr>
        <w:t>。</w:t>
      </w:r>
    </w:p>
    <w:p w14:paraId="74EAB9E2">
      <w:pPr>
        <w:bidi w:val="0"/>
        <w:rPr>
          <w:rFonts w:hint="eastAsia"/>
        </w:rPr>
      </w:pPr>
    </w:p>
    <w:p w14:paraId="7EDDC7E4">
      <w:pPr>
        <w:pStyle w:val="2"/>
        <w:numPr>
          <w:ilvl w:val="0"/>
          <w:numId w:val="6"/>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3EE97826">
      <w:pPr>
        <w:bidi w:val="0"/>
        <w:spacing w:line="360" w:lineRule="auto"/>
        <w:ind w:firstLine="420" w:firstLineChars="0"/>
        <w:rPr>
          <w:rFonts w:ascii="宋体" w:hAnsi="宋体" w:eastAsia="宋体"/>
          <w:sz w:val="24"/>
        </w:rPr>
      </w:pPr>
      <w:r>
        <w:rPr>
          <w:rFonts w:hint="eastAsia" w:ascii="宋体" w:hAnsi="宋体" w:eastAsia="宋体"/>
          <w:sz w:val="24"/>
        </w:rPr>
        <w:t>项目实施</w:t>
      </w:r>
      <w:r>
        <w:rPr>
          <w:rFonts w:ascii="宋体" w:hAnsi="宋体" w:eastAsia="宋体"/>
          <w:sz w:val="24"/>
        </w:rPr>
        <w:t>期</w:t>
      </w:r>
      <w:r>
        <w:rPr>
          <w:rFonts w:hint="eastAsia" w:ascii="宋体" w:hAnsi="宋体" w:eastAsia="宋体"/>
          <w:sz w:val="24"/>
        </w:rPr>
        <w:t>内承建商提供专职工程师负责</w:t>
      </w:r>
      <w:r>
        <w:rPr>
          <w:rFonts w:ascii="宋体" w:hAnsi="宋体" w:eastAsia="宋体"/>
          <w:sz w:val="24"/>
        </w:rPr>
        <w:t>本项目实施</w:t>
      </w:r>
      <w:r>
        <w:rPr>
          <w:rFonts w:hint="eastAsia" w:ascii="宋体" w:hAnsi="宋体" w:eastAsia="宋体"/>
          <w:sz w:val="24"/>
        </w:rPr>
        <w:t>，工作时间与院方工作时间一致，并且提供7*24小时响应服务。</w:t>
      </w:r>
    </w:p>
    <w:p w14:paraId="224C8D6D">
      <w:pPr>
        <w:bidi w:val="0"/>
        <w:spacing w:line="360" w:lineRule="auto"/>
        <w:ind w:firstLine="420" w:firstLineChars="0"/>
        <w:rPr>
          <w:rFonts w:ascii="宋体" w:hAnsi="宋体" w:eastAsia="宋体"/>
          <w:sz w:val="24"/>
        </w:rPr>
      </w:pPr>
      <w:r>
        <w:rPr>
          <w:rFonts w:hint="eastAsia" w:ascii="宋体" w:hAnsi="宋体" w:eastAsia="宋体"/>
          <w:sz w:val="24"/>
        </w:rPr>
        <w:t>项目承建商需根据院方的详细需求，提交项目系统培训实施方案，方案得到院方确认后实施，保证系统按时、正常地投入运行。</w:t>
      </w:r>
    </w:p>
    <w:p w14:paraId="0DDB192A">
      <w:pPr>
        <w:bidi w:val="0"/>
        <w:spacing w:line="360" w:lineRule="auto"/>
        <w:ind w:firstLine="420" w:firstLineChars="0"/>
        <w:rPr>
          <w:rFonts w:ascii="宋体" w:hAnsi="宋体" w:eastAsia="宋体"/>
          <w:sz w:val="24"/>
        </w:rPr>
      </w:pPr>
      <w:r>
        <w:rPr>
          <w:rFonts w:hint="eastAsia" w:ascii="宋体" w:hAnsi="宋体" w:eastAsia="宋体"/>
          <w:sz w:val="24"/>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4DB8D6B4">
      <w:pPr>
        <w:bidi w:val="0"/>
        <w:spacing w:line="360" w:lineRule="auto"/>
        <w:ind w:firstLine="420" w:firstLineChars="0"/>
        <w:rPr>
          <w:rFonts w:hint="eastAsia" w:ascii="宋体" w:hAnsi="宋体" w:eastAsia="宋体"/>
          <w:sz w:val="24"/>
        </w:rPr>
      </w:pPr>
      <w:r>
        <w:rPr>
          <w:rFonts w:hint="eastAsia" w:ascii="宋体" w:hAnsi="宋体" w:eastAsia="宋体"/>
          <w:sz w:val="24"/>
        </w:rPr>
        <w:t>验收由承建商给出具体的验收计划、测试的内容和方法，经院方审核通过后，方可进行验收工作。</w:t>
      </w:r>
    </w:p>
    <w:p w14:paraId="4258C386">
      <w:pPr>
        <w:spacing w:line="360" w:lineRule="auto"/>
        <w:rPr>
          <w:rFonts w:hint="eastAsia"/>
          <w:color w:val="000000"/>
        </w:rPr>
      </w:pPr>
    </w:p>
    <w:p w14:paraId="0F28B60E">
      <w:pPr>
        <w:keepNext/>
        <w:keepLines/>
        <w:widowControl w:val="0"/>
        <w:numPr>
          <w:ilvl w:val="0"/>
          <w:numId w:val="6"/>
        </w:numPr>
        <w:spacing w:before="0" w:after="0" w:line="578" w:lineRule="auto"/>
        <w:ind w:left="720" w:hanging="720"/>
        <w:jc w:val="both"/>
        <w:outlineLvl w:val="0"/>
        <w:rPr>
          <w:rFonts w:ascii="宋体" w:hAnsi="宋体" w:eastAsia="宋体" w:cs="Times New Roman"/>
          <w:b/>
          <w:bCs/>
          <w:kern w:val="44"/>
          <w:sz w:val="32"/>
          <w:szCs w:val="32"/>
          <w:lang w:val="zh-CN" w:eastAsia="zh-CN" w:bidi="ar-SA"/>
        </w:rPr>
      </w:pPr>
      <w:bookmarkStart w:id="3" w:name="OLE_LINK4"/>
      <w:r>
        <w:rPr>
          <w:rFonts w:hint="eastAsia" w:ascii="宋体" w:hAnsi="宋体" w:eastAsia="宋体" w:cs="Times New Roman"/>
          <w:b/>
          <w:bCs/>
          <w:kern w:val="44"/>
          <w:sz w:val="32"/>
          <w:szCs w:val="32"/>
          <w:lang w:val="zh-CN" w:eastAsia="zh-CN" w:bidi="ar-SA"/>
        </w:rPr>
        <w:t>后续维护服务</w:t>
      </w:r>
      <w:bookmarkEnd w:id="3"/>
    </w:p>
    <w:p w14:paraId="10D991CB">
      <w:pPr>
        <w:bidi w:val="0"/>
        <w:spacing w:line="360" w:lineRule="auto"/>
        <w:ind w:firstLine="420" w:firstLineChars="0"/>
        <w:rPr>
          <w:rFonts w:ascii="宋体" w:hAnsi="宋体" w:eastAsia="宋体"/>
          <w:sz w:val="24"/>
        </w:rPr>
      </w:pPr>
      <w:r>
        <w:rPr>
          <w:rFonts w:hint="eastAsia" w:ascii="宋体" w:hAnsi="宋体" w:eastAsia="宋体"/>
          <w:sz w:val="24"/>
        </w:rPr>
        <w:t>本项目软件维护期从软件验收合格之日算起，期限为</w:t>
      </w:r>
      <w:r>
        <w:rPr>
          <w:rFonts w:hint="eastAsia" w:ascii="宋体" w:hAnsi="宋体" w:eastAsia="宋体"/>
          <w:sz w:val="24"/>
          <w:lang w:val="en-US" w:eastAsia="zh-CN"/>
        </w:rPr>
        <w:t>24</w:t>
      </w:r>
      <w:r>
        <w:rPr>
          <w:rFonts w:hint="eastAsia" w:ascii="宋体" w:hAnsi="宋体" w:eastAsia="宋体"/>
          <w:sz w:val="24"/>
        </w:rPr>
        <w:t>个月。在维护期内，承建商提供技术支持和指导，以及功能的局部改进完善、故障情况下的现场问题解决。</w:t>
      </w:r>
    </w:p>
    <w:p w14:paraId="0E2FE576">
      <w:pPr>
        <w:bidi w:val="0"/>
        <w:spacing w:line="360" w:lineRule="auto"/>
        <w:ind w:firstLine="420" w:firstLineChars="0"/>
        <w:rPr>
          <w:rFonts w:ascii="宋体" w:hAnsi="宋体" w:eastAsia="宋体"/>
          <w:sz w:val="24"/>
        </w:rPr>
      </w:pPr>
      <w:r>
        <w:rPr>
          <w:rFonts w:hint="eastAsia" w:ascii="宋体" w:hAnsi="宋体" w:eastAsia="宋体"/>
          <w:sz w:val="24"/>
        </w:rPr>
        <w:t>维保期内承建商为院方提供专职技术人员进行维护服务，工作时间与院方工作时间一致，并且提供7*24小时响应服务。</w:t>
      </w:r>
    </w:p>
    <w:p w14:paraId="788EFC20">
      <w:pPr>
        <w:bidi w:val="0"/>
        <w:spacing w:line="360" w:lineRule="auto"/>
        <w:ind w:firstLine="420" w:firstLineChars="0"/>
        <w:rPr>
          <w:rFonts w:ascii="宋体" w:hAnsi="宋体" w:eastAsia="宋体"/>
          <w:sz w:val="24"/>
        </w:rPr>
      </w:pPr>
      <w:r>
        <w:rPr>
          <w:rFonts w:hint="eastAsia" w:ascii="宋体" w:hAnsi="宋体" w:eastAsia="宋体"/>
          <w:sz w:val="24"/>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7574D975">
      <w:pPr>
        <w:bidi w:val="0"/>
        <w:spacing w:line="360" w:lineRule="auto"/>
        <w:ind w:firstLine="420" w:firstLineChars="0"/>
        <w:rPr>
          <w:rFonts w:hint="eastAsia" w:asciiTheme="minorEastAsia" w:hAnsiTheme="minorEastAsia" w:eastAsiaTheme="minorEastAsia" w:cstheme="minorEastAsia"/>
          <w:szCs w:val="21"/>
        </w:rPr>
      </w:pPr>
      <w:r>
        <w:rPr>
          <w:rFonts w:hint="eastAsia" w:ascii="宋体" w:hAnsi="宋体" w:eastAsia="宋体"/>
          <w:sz w:val="24"/>
        </w:rPr>
        <w:t>超过维护期的，双方另行协商签订维护合同，其中软件</w:t>
      </w:r>
      <w:r>
        <w:rPr>
          <w:rFonts w:ascii="宋体" w:hAnsi="宋体" w:eastAsia="宋体"/>
          <w:sz w:val="24"/>
        </w:rPr>
        <w:t>部分</w:t>
      </w:r>
      <w:r>
        <w:rPr>
          <w:rFonts w:hint="eastAsia" w:ascii="宋体" w:hAnsi="宋体" w:eastAsia="宋体"/>
          <w:sz w:val="24"/>
        </w:rPr>
        <w:t>年维护费不超过合同软件部分金额的8%</w:t>
      </w:r>
      <w:r>
        <w:rPr>
          <w:rFonts w:ascii="宋体" w:hAnsi="宋体" w:eastAsia="宋体"/>
          <w:sz w:val="24"/>
        </w:rPr>
        <w:t>。</w:t>
      </w:r>
    </w:p>
    <w:p w14:paraId="39EBE00E">
      <w:pPr>
        <w:spacing w:line="360" w:lineRule="auto"/>
        <w:rPr>
          <w:rFonts w:hint="eastAsia" w:asciiTheme="minorEastAsia" w:hAnsiTheme="minorEastAsia" w:eastAsiaTheme="minorEastAsia" w:cstheme="minorEastAsia"/>
          <w:szCs w:val="21"/>
        </w:rPr>
      </w:pPr>
    </w:p>
    <w:p w14:paraId="3F0B1D28">
      <w:pPr>
        <w:pStyle w:val="22"/>
        <w:jc w:val="left"/>
      </w:pPr>
      <w:r>
        <w:rPr>
          <w:rFonts w:hint="eastAsia"/>
          <w:lang w:val="en-US" w:eastAsia="zh-CN"/>
        </w:rPr>
        <w:t>七</w:t>
      </w:r>
      <w:r>
        <w:rPr>
          <w:rFonts w:hint="eastAsia"/>
        </w:rPr>
        <w:t>、培训要求</w:t>
      </w:r>
    </w:p>
    <w:p w14:paraId="6B9D2C3A">
      <w:pPr>
        <w:bidi w:val="0"/>
        <w:spacing w:line="360" w:lineRule="auto"/>
        <w:ind w:firstLine="420" w:firstLineChars="0"/>
        <w:rPr>
          <w:rFonts w:hint="eastAsia" w:ascii="宋体" w:hAnsi="宋体" w:eastAsia="宋体"/>
          <w:sz w:val="24"/>
        </w:rPr>
      </w:pPr>
      <w:r>
        <w:rPr>
          <w:rFonts w:hint="eastAsia" w:ascii="宋体" w:hAnsi="宋体" w:eastAsia="宋体"/>
          <w:sz w:val="24"/>
        </w:rPr>
        <w:t>项目培训应贯串于整个项目的实施过程中，包括在从项目准备、分析、设计到项目实施运行的全过程中。</w:t>
      </w:r>
    </w:p>
    <w:p w14:paraId="3A39BBF7">
      <w:pPr>
        <w:bidi w:val="0"/>
        <w:spacing w:line="360" w:lineRule="auto"/>
        <w:ind w:firstLine="420" w:firstLineChars="0"/>
        <w:rPr>
          <w:rFonts w:hint="eastAsia" w:ascii="宋体" w:hAnsi="宋体" w:eastAsia="宋体"/>
          <w:sz w:val="24"/>
        </w:rPr>
      </w:pPr>
      <w:r>
        <w:rPr>
          <w:rFonts w:hint="eastAsia" w:ascii="宋体" w:hAnsi="宋体" w:eastAsia="宋体"/>
          <w:sz w:val="24"/>
        </w:rPr>
        <w:t>(一)设计实施培训即是系统设计和各个阶段的培训，这些阶段包括：项目准备、用户需求分析、系统概要设计、系统详细设计、系统实施、系统运行建立、系统调试、系统维护管理。设计实施培训涉及的相关人员主要是技术人员，分阶段的被培训的人员包括：项目管理人员、需求分析人员、系统分析设计人员和系统管理人员。</w:t>
      </w:r>
    </w:p>
    <w:p w14:paraId="0E30F7A3">
      <w:pPr>
        <w:bidi w:val="0"/>
        <w:spacing w:line="360" w:lineRule="auto"/>
        <w:ind w:firstLine="420" w:firstLineChars="0"/>
        <w:rPr>
          <w:rFonts w:hint="eastAsia" w:ascii="宋体" w:hAnsi="宋体" w:eastAsia="宋体"/>
          <w:sz w:val="24"/>
        </w:rPr>
      </w:pPr>
      <w:r>
        <w:rPr>
          <w:rFonts w:hint="eastAsia" w:ascii="宋体" w:hAnsi="宋体" w:eastAsia="宋体"/>
          <w:sz w:val="24"/>
        </w:rPr>
        <w:t>(二)运行管理培训</w:t>
      </w:r>
      <w:r>
        <w:rPr>
          <w:rFonts w:hint="eastAsia" w:ascii="宋体" w:hAnsi="宋体" w:eastAsia="宋体"/>
          <w:sz w:val="24"/>
          <w:lang w:val="en-US" w:eastAsia="zh-CN"/>
        </w:rPr>
        <w:t>是</w:t>
      </w:r>
      <w:r>
        <w:rPr>
          <w:rFonts w:hint="eastAsia" w:ascii="宋体" w:hAnsi="宋体" w:eastAsia="宋体"/>
          <w:sz w:val="24"/>
        </w:rPr>
        <w:t>为了使广东省人民医院相关人员掌握有关应用系统的使用、维护和管理方法，达到能独立进行管理、故障处理、日常测试和维护等工作的目的，应进行系统的技术培训，以保证所使用的系统能够正常、安全、平稳地运行。</w:t>
      </w:r>
    </w:p>
    <w:p w14:paraId="64C303E8">
      <w:pPr>
        <w:spacing w:line="360" w:lineRule="auto"/>
        <w:rPr>
          <w:rFonts w:hint="eastAsia" w:ascii="宋体" w:hAnsi="宋体" w:cs="宋体"/>
          <w:szCs w:val="21"/>
        </w:rPr>
      </w:pPr>
    </w:p>
    <w:p w14:paraId="277F8563">
      <w:pPr>
        <w:pStyle w:val="22"/>
        <w:jc w:val="left"/>
      </w:pPr>
      <w:r>
        <w:rPr>
          <w:rFonts w:hint="eastAsia"/>
          <w:lang w:val="en-US" w:eastAsia="zh-CN"/>
        </w:rPr>
        <w:t>八</w:t>
      </w:r>
      <w:r>
        <w:rPr>
          <w:rFonts w:hint="eastAsia"/>
        </w:rPr>
        <w:t>、合同款支付方式</w:t>
      </w:r>
    </w:p>
    <w:p w14:paraId="41B97A5D">
      <w:pPr>
        <w:bidi w:val="0"/>
        <w:spacing w:line="360" w:lineRule="auto"/>
        <w:ind w:firstLine="420" w:firstLineChars="0"/>
        <w:rPr>
          <w:rFonts w:hint="default" w:ascii="宋体" w:hAnsi="宋体" w:eastAsia="宋体"/>
          <w:sz w:val="24"/>
        </w:rPr>
      </w:pPr>
      <w:r>
        <w:rPr>
          <w:rFonts w:hint="default" w:ascii="宋体" w:hAnsi="宋体" w:eastAsia="宋体"/>
          <w:sz w:val="24"/>
        </w:rPr>
        <w:t>（一）合同签订后，在收到承建商开具相应金额正式发票后，支付合同总金额的30%。</w:t>
      </w:r>
    </w:p>
    <w:p w14:paraId="0391E8D5">
      <w:pPr>
        <w:bidi w:val="0"/>
        <w:spacing w:line="360" w:lineRule="auto"/>
        <w:ind w:firstLine="420" w:firstLineChars="0"/>
        <w:rPr>
          <w:rFonts w:hint="default" w:ascii="宋体" w:hAnsi="宋体" w:eastAsia="宋体"/>
          <w:sz w:val="24"/>
        </w:rPr>
      </w:pPr>
      <w:r>
        <w:rPr>
          <w:rFonts w:hint="default" w:ascii="宋体" w:hAnsi="宋体" w:eastAsia="宋体"/>
          <w:sz w:val="24"/>
        </w:rPr>
        <w:t>（二）合同软件（产品）</w:t>
      </w:r>
      <w:r>
        <w:rPr>
          <w:rFonts w:hint="eastAsia" w:ascii="宋体" w:hAnsi="宋体" w:eastAsia="宋体"/>
          <w:sz w:val="24"/>
          <w:lang w:val="en-US" w:eastAsia="zh-CN"/>
        </w:rPr>
        <w:t>中</w:t>
      </w:r>
      <w:r>
        <w:rPr>
          <w:rFonts w:hint="default" w:ascii="宋体" w:hAnsi="宋体" w:eastAsia="宋体"/>
          <w:sz w:val="24"/>
        </w:rPr>
        <w:t>医养康老年人使用端小程序</w:t>
      </w:r>
      <w:r>
        <w:rPr>
          <w:rFonts w:hint="eastAsia" w:ascii="宋体" w:hAnsi="宋体" w:eastAsia="宋体"/>
          <w:sz w:val="24"/>
          <w:lang w:eastAsia="zh-CN"/>
        </w:rPr>
        <w:t>、</w:t>
      </w:r>
      <w:r>
        <w:rPr>
          <w:rFonts w:hint="eastAsia" w:ascii="宋体" w:hAnsi="宋体"/>
          <w:sz w:val="24"/>
          <w:lang w:val="en-US" w:eastAsia="zh-CN"/>
        </w:rPr>
        <w:t>医养康服务端小程序</w:t>
      </w:r>
      <w:r>
        <w:rPr>
          <w:rFonts w:hint="eastAsia" w:ascii="宋体" w:hAnsi="宋体"/>
          <w:sz w:val="24"/>
          <w:lang w:eastAsia="zh-CN"/>
        </w:rPr>
        <w:t>、</w:t>
      </w:r>
      <w:r>
        <w:rPr>
          <w:rFonts w:hint="eastAsia" w:ascii="宋体" w:hAnsi="宋体" w:eastAsia="宋体"/>
          <w:sz w:val="24"/>
          <w:lang w:eastAsia="zh-CN"/>
        </w:rPr>
        <w:t>医养康管理后台</w:t>
      </w:r>
      <w:r>
        <w:rPr>
          <w:rFonts w:hint="default" w:ascii="宋体" w:hAnsi="宋体" w:eastAsia="宋体"/>
          <w:sz w:val="24"/>
        </w:rPr>
        <w:t>至院方实施</w:t>
      </w:r>
      <w:r>
        <w:rPr>
          <w:rFonts w:hint="eastAsia" w:ascii="宋体" w:hAnsi="宋体"/>
          <w:sz w:val="24"/>
          <w:lang w:val="en-US" w:eastAsia="zh-CN"/>
        </w:rPr>
        <w:t>及系统</w:t>
      </w:r>
      <w:r>
        <w:rPr>
          <w:rFonts w:hint="default" w:ascii="宋体" w:hAnsi="宋体" w:eastAsia="宋体"/>
          <w:sz w:val="24"/>
        </w:rPr>
        <w:t>运转正常后，并经用户签字验收</w:t>
      </w:r>
      <w:r>
        <w:rPr>
          <w:rFonts w:hint="eastAsia" w:ascii="宋体" w:hAnsi="宋体" w:eastAsia="宋体"/>
          <w:sz w:val="24"/>
          <w:lang w:val="en-US" w:eastAsia="zh-CN"/>
        </w:rPr>
        <w:t>和</w:t>
      </w:r>
      <w:r>
        <w:rPr>
          <w:rFonts w:hint="default" w:ascii="宋体" w:hAnsi="宋体" w:eastAsia="宋体"/>
          <w:sz w:val="24"/>
        </w:rPr>
        <w:t>收到承建商开具相应金额正式发票后，支付合同总金额的</w:t>
      </w:r>
      <w:r>
        <w:rPr>
          <w:rFonts w:hint="eastAsia" w:ascii="宋体" w:hAnsi="宋体"/>
          <w:sz w:val="24"/>
          <w:lang w:val="en-US" w:eastAsia="zh-CN"/>
        </w:rPr>
        <w:t>4</w:t>
      </w:r>
      <w:r>
        <w:rPr>
          <w:rFonts w:hint="default" w:ascii="宋体" w:hAnsi="宋体" w:eastAsia="宋体"/>
          <w:sz w:val="24"/>
        </w:rPr>
        <w:t>0%。</w:t>
      </w:r>
    </w:p>
    <w:p w14:paraId="3C195E9F">
      <w:pPr>
        <w:bidi w:val="0"/>
        <w:spacing w:line="360" w:lineRule="auto"/>
        <w:ind w:firstLine="420" w:firstLineChars="0"/>
        <w:rPr>
          <w:rFonts w:hint="default" w:ascii="宋体" w:hAnsi="宋体" w:eastAsia="宋体"/>
          <w:sz w:val="24"/>
        </w:rPr>
      </w:pPr>
      <w:r>
        <w:rPr>
          <w:rFonts w:hint="default" w:ascii="宋体" w:hAnsi="宋体" w:eastAsia="宋体"/>
          <w:sz w:val="24"/>
        </w:rPr>
        <w:t>（三）项目软件（产品）</w:t>
      </w:r>
      <w:r>
        <w:rPr>
          <w:rFonts w:hint="eastAsia" w:ascii="宋体" w:hAnsi="宋体"/>
          <w:sz w:val="24"/>
          <w:lang w:val="en-US" w:eastAsia="zh-CN"/>
        </w:rPr>
        <w:t>中系统对接和项目视频实施完成</w:t>
      </w:r>
      <w:r>
        <w:rPr>
          <w:rFonts w:hint="default" w:ascii="宋体" w:hAnsi="宋体" w:eastAsia="宋体"/>
          <w:sz w:val="24"/>
        </w:rPr>
        <w:t>后，并经用户签字验收</w:t>
      </w:r>
      <w:r>
        <w:rPr>
          <w:rFonts w:hint="eastAsia" w:ascii="宋体" w:hAnsi="宋体"/>
          <w:sz w:val="24"/>
          <w:lang w:eastAsia="zh-CN"/>
        </w:rPr>
        <w:t>、</w:t>
      </w:r>
      <w:r>
        <w:rPr>
          <w:rFonts w:hint="default" w:ascii="宋体" w:hAnsi="宋体" w:eastAsia="宋体"/>
          <w:sz w:val="24"/>
        </w:rPr>
        <w:t>收到承建商开具相应金额正式发票以及《售后服务</w:t>
      </w:r>
      <w:bookmarkStart w:id="4" w:name="_GoBack"/>
      <w:bookmarkEnd w:id="4"/>
      <w:r>
        <w:rPr>
          <w:rFonts w:hint="default" w:ascii="宋体" w:hAnsi="宋体" w:eastAsia="宋体"/>
          <w:sz w:val="24"/>
        </w:rPr>
        <w:t>履约承诺函》后，支付合同总金额的</w:t>
      </w:r>
      <w:r>
        <w:rPr>
          <w:rFonts w:hint="eastAsia" w:ascii="宋体" w:hAnsi="宋体"/>
          <w:sz w:val="24"/>
          <w:lang w:val="en-US" w:eastAsia="zh-CN"/>
        </w:rPr>
        <w:t>3</w:t>
      </w:r>
      <w:r>
        <w:rPr>
          <w:rFonts w:hint="default" w:ascii="宋体" w:hAnsi="宋体" w:eastAsia="宋体"/>
          <w:sz w:val="24"/>
        </w:rPr>
        <w:t>0%。</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8EA6A">
    <w:pPr>
      <w:pStyle w:val="18"/>
      <w:ind w:left="1441"/>
      <w:jc w:val="center"/>
      <w:rPr>
        <w:caps/>
        <w:color w:val="auto"/>
      </w:rPr>
    </w:pPr>
    <w:r>
      <w:rPr>
        <w:caps/>
        <w:color w:val="auto"/>
      </w:rPr>
      <w:fldChar w:fldCharType="begin"/>
    </w:r>
    <w:r>
      <w:rPr>
        <w:caps/>
        <w:color w:val="auto"/>
      </w:rPr>
      <w:instrText xml:space="preserve">PAGE   \* MERGEFORMAT</w:instrText>
    </w:r>
    <w:r>
      <w:rPr>
        <w:caps/>
        <w:color w:val="auto"/>
      </w:rPr>
      <w:fldChar w:fldCharType="separate"/>
    </w:r>
    <w:r>
      <w:rPr>
        <w:caps/>
        <w:color w:val="auto"/>
      </w:rPr>
      <w:t>8</w:t>
    </w:r>
    <w:r>
      <w:rPr>
        <w:caps/>
        <w:color w:val="auto"/>
      </w:rPr>
      <w:fldChar w:fldCharType="end"/>
    </w:r>
  </w:p>
  <w:p w14:paraId="19BEDAA4">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43362"/>
    <w:multiLevelType w:val="singleLevel"/>
    <w:tmpl w:val="9CA43362"/>
    <w:lvl w:ilvl="0" w:tentative="0">
      <w:start w:val="1"/>
      <w:numFmt w:val="decimal"/>
      <w:suff w:val="nothing"/>
      <w:lvlText w:val="%1）"/>
      <w:lvlJc w:val="left"/>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64"/>
      <w:lvlText w:val="%1. "/>
      <w:lvlJc w:val="left"/>
      <w:pPr>
        <w:ind w:left="420" w:hanging="420"/>
      </w:pPr>
      <w:rPr>
        <w:rFonts w:hint="default" w:ascii="Times New Roman" w:hAnsi="Times New Roman" w:eastAsia="宋体"/>
        <w:b/>
        <w:i w:val="0"/>
      </w:rPr>
    </w:lvl>
    <w:lvl w:ilvl="1" w:tentative="0">
      <w:start w:val="1"/>
      <w:numFmt w:val="decimal"/>
      <w:pStyle w:val="57"/>
      <w:isLgl/>
      <w:suff w:val="space"/>
      <w:lvlText w:val="%1.%2 "/>
      <w:lvlJc w:val="left"/>
      <w:pPr>
        <w:ind w:left="3913" w:hanging="794"/>
      </w:pPr>
      <w:rPr>
        <w:rFonts w:hint="eastAsia"/>
      </w:rPr>
    </w:lvl>
    <w:lvl w:ilvl="2" w:tentative="0">
      <w:start w:val="1"/>
      <w:numFmt w:val="decimal"/>
      <w:pStyle w:val="63"/>
      <w:isLgl/>
      <w:suff w:val="space"/>
      <w:lvlText w:val="%1.%2.%3 "/>
      <w:lvlJc w:val="left"/>
      <w:pPr>
        <w:ind w:left="907" w:hanging="907"/>
      </w:pPr>
      <w:rPr>
        <w:rFonts w:hint="eastAsia"/>
      </w:rPr>
    </w:lvl>
    <w:lvl w:ilvl="3" w:tentative="0">
      <w:start w:val="1"/>
      <w:numFmt w:val="decimal"/>
      <w:pStyle w:val="62"/>
      <w:isLgl/>
      <w:suff w:val="space"/>
      <w:lvlText w:val="%1.%2.%3.%4 "/>
      <w:lvlJc w:val="left"/>
      <w:pPr>
        <w:ind w:left="1021" w:hanging="1021"/>
      </w:pPr>
      <w:rPr>
        <w:rFonts w:hint="eastAsia"/>
      </w:rPr>
    </w:lvl>
    <w:lvl w:ilvl="4" w:tentative="0">
      <w:start w:val="1"/>
      <w:numFmt w:val="decimal"/>
      <w:pStyle w:val="67"/>
      <w:isLgl/>
      <w:suff w:val="space"/>
      <w:lvlText w:val="%1.%2.%3.%4.%5 "/>
      <w:lvlJc w:val="left"/>
      <w:pPr>
        <w:ind w:left="1134" w:hanging="1134"/>
      </w:pPr>
      <w:rPr>
        <w:rFonts w:hint="eastAsia"/>
      </w:rPr>
    </w:lvl>
    <w:lvl w:ilvl="5" w:tentative="0">
      <w:start w:val="1"/>
      <w:numFmt w:val="decimal"/>
      <w:pStyle w:val="61"/>
      <w:isLgl/>
      <w:suff w:val="space"/>
      <w:lvlText w:val="%1.%2.%3.%4.%5.%6 "/>
      <w:lvlJc w:val="left"/>
      <w:pPr>
        <w:ind w:left="1247" w:hanging="1247"/>
      </w:pPr>
      <w:rPr>
        <w:rFonts w:hint="eastAsia"/>
      </w:rPr>
    </w:lvl>
    <w:lvl w:ilvl="6" w:tentative="0">
      <w:start w:val="1"/>
      <w:numFmt w:val="decimal"/>
      <w:lvlRestart w:val="1"/>
      <w:pStyle w:val="56"/>
      <w:isLgl/>
      <w:suff w:val="space"/>
      <w:lvlText w:val="图 %1.%7 "/>
      <w:lvlJc w:val="left"/>
      <w:pPr>
        <w:ind w:left="0" w:firstLine="0"/>
      </w:pPr>
      <w:rPr>
        <w:rFonts w:hint="eastAsia"/>
      </w:rPr>
    </w:lvl>
    <w:lvl w:ilvl="7" w:tentative="0">
      <w:start w:val="1"/>
      <w:numFmt w:val="decimal"/>
      <w:lvlRestart w:val="1"/>
      <w:pStyle w:val="6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4C00E7DC"/>
    <w:multiLevelType w:val="singleLevel"/>
    <w:tmpl w:val="4C00E7DC"/>
    <w:lvl w:ilvl="0" w:tentative="0">
      <w:start w:val="1"/>
      <w:numFmt w:val="decimal"/>
      <w:suff w:val="nothing"/>
      <w:lvlText w:val="%1）"/>
      <w:lvlJc w:val="left"/>
    </w:lvl>
  </w:abstractNum>
  <w:abstractNum w:abstractNumId="5">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WJlNzYxNmQ2NjM5YzE2NmFkYmM1NjY2YWViYjgifQ=="/>
  </w:docVars>
  <w:rsids>
    <w:rsidRoot w:val="00172A27"/>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1F3ABA"/>
    <w:rsid w:val="01A653AB"/>
    <w:rsid w:val="01B72D39"/>
    <w:rsid w:val="023A0DE1"/>
    <w:rsid w:val="02521019"/>
    <w:rsid w:val="03CA501F"/>
    <w:rsid w:val="041536A5"/>
    <w:rsid w:val="04276F58"/>
    <w:rsid w:val="048A698E"/>
    <w:rsid w:val="04A90256"/>
    <w:rsid w:val="051F0BAA"/>
    <w:rsid w:val="05AE12D1"/>
    <w:rsid w:val="06AB56C6"/>
    <w:rsid w:val="08807DC0"/>
    <w:rsid w:val="09972933"/>
    <w:rsid w:val="099D4DB8"/>
    <w:rsid w:val="09C03B07"/>
    <w:rsid w:val="09D52C60"/>
    <w:rsid w:val="0B2C354F"/>
    <w:rsid w:val="0B2E4DAA"/>
    <w:rsid w:val="0CD22E44"/>
    <w:rsid w:val="0D151398"/>
    <w:rsid w:val="0D617DE3"/>
    <w:rsid w:val="0DD0089A"/>
    <w:rsid w:val="0DD71DDF"/>
    <w:rsid w:val="0DE52D71"/>
    <w:rsid w:val="0E4D4EA6"/>
    <w:rsid w:val="0EB04718"/>
    <w:rsid w:val="0F41270C"/>
    <w:rsid w:val="0FD5682E"/>
    <w:rsid w:val="104C6824"/>
    <w:rsid w:val="10D97CD5"/>
    <w:rsid w:val="10ED1476"/>
    <w:rsid w:val="10FB3693"/>
    <w:rsid w:val="12135469"/>
    <w:rsid w:val="124315DA"/>
    <w:rsid w:val="134B2732"/>
    <w:rsid w:val="145E16ED"/>
    <w:rsid w:val="14E15863"/>
    <w:rsid w:val="161B3A51"/>
    <w:rsid w:val="162776F9"/>
    <w:rsid w:val="162858D7"/>
    <w:rsid w:val="19801636"/>
    <w:rsid w:val="1B1B2DCE"/>
    <w:rsid w:val="1BFD08D4"/>
    <w:rsid w:val="1D0165EA"/>
    <w:rsid w:val="1DFB0471"/>
    <w:rsid w:val="1E5365E3"/>
    <w:rsid w:val="1E543113"/>
    <w:rsid w:val="1EF23289"/>
    <w:rsid w:val="1F274302"/>
    <w:rsid w:val="1F5D746C"/>
    <w:rsid w:val="1FC94C0B"/>
    <w:rsid w:val="2079293B"/>
    <w:rsid w:val="20803CC9"/>
    <w:rsid w:val="20A50546"/>
    <w:rsid w:val="20F425EE"/>
    <w:rsid w:val="213F1567"/>
    <w:rsid w:val="21BF3B5D"/>
    <w:rsid w:val="21C92E9C"/>
    <w:rsid w:val="228965CC"/>
    <w:rsid w:val="2426228E"/>
    <w:rsid w:val="25CD5C03"/>
    <w:rsid w:val="25FA00A6"/>
    <w:rsid w:val="27471C24"/>
    <w:rsid w:val="275A4495"/>
    <w:rsid w:val="28887BBF"/>
    <w:rsid w:val="28C8725C"/>
    <w:rsid w:val="295D27DE"/>
    <w:rsid w:val="2BAF24A8"/>
    <w:rsid w:val="313A1A4C"/>
    <w:rsid w:val="313F6476"/>
    <w:rsid w:val="317908E2"/>
    <w:rsid w:val="32194889"/>
    <w:rsid w:val="322555EA"/>
    <w:rsid w:val="330469DC"/>
    <w:rsid w:val="340003BA"/>
    <w:rsid w:val="357E1440"/>
    <w:rsid w:val="370945C1"/>
    <w:rsid w:val="377657B0"/>
    <w:rsid w:val="3AA77129"/>
    <w:rsid w:val="3AD11A9D"/>
    <w:rsid w:val="3B1BEA99"/>
    <w:rsid w:val="3C1507B4"/>
    <w:rsid w:val="3C1D6069"/>
    <w:rsid w:val="3E2B7643"/>
    <w:rsid w:val="3ED23E32"/>
    <w:rsid w:val="40960D2E"/>
    <w:rsid w:val="40D5220D"/>
    <w:rsid w:val="42200080"/>
    <w:rsid w:val="430D73BE"/>
    <w:rsid w:val="439A6E35"/>
    <w:rsid w:val="446E63AB"/>
    <w:rsid w:val="461940F5"/>
    <w:rsid w:val="46406C9A"/>
    <w:rsid w:val="46A071B9"/>
    <w:rsid w:val="46B75D3F"/>
    <w:rsid w:val="48480CC1"/>
    <w:rsid w:val="488C513A"/>
    <w:rsid w:val="48965ED0"/>
    <w:rsid w:val="4948541D"/>
    <w:rsid w:val="49DF0FCF"/>
    <w:rsid w:val="4A201EF6"/>
    <w:rsid w:val="4A357967"/>
    <w:rsid w:val="4B4E19A3"/>
    <w:rsid w:val="4C1F2800"/>
    <w:rsid w:val="4CB30DFF"/>
    <w:rsid w:val="4D85268B"/>
    <w:rsid w:val="4E527A28"/>
    <w:rsid w:val="4E5974EC"/>
    <w:rsid w:val="51275918"/>
    <w:rsid w:val="51D774AB"/>
    <w:rsid w:val="521D79C2"/>
    <w:rsid w:val="526606C2"/>
    <w:rsid w:val="52A907F9"/>
    <w:rsid w:val="530D5254"/>
    <w:rsid w:val="54F00B42"/>
    <w:rsid w:val="551663CF"/>
    <w:rsid w:val="56533E33"/>
    <w:rsid w:val="56F32878"/>
    <w:rsid w:val="57096052"/>
    <w:rsid w:val="576553EC"/>
    <w:rsid w:val="58354DBE"/>
    <w:rsid w:val="589436CF"/>
    <w:rsid w:val="5ABE78FA"/>
    <w:rsid w:val="5AD72AAD"/>
    <w:rsid w:val="5B143FCD"/>
    <w:rsid w:val="5B4D1163"/>
    <w:rsid w:val="5C16336B"/>
    <w:rsid w:val="5C8E7193"/>
    <w:rsid w:val="5CC901CB"/>
    <w:rsid w:val="5E7E6D93"/>
    <w:rsid w:val="5E987E55"/>
    <w:rsid w:val="5F5513E2"/>
    <w:rsid w:val="5FCD662E"/>
    <w:rsid w:val="60822B6A"/>
    <w:rsid w:val="63DE4ECC"/>
    <w:rsid w:val="645C5585"/>
    <w:rsid w:val="647A167F"/>
    <w:rsid w:val="648B3FB8"/>
    <w:rsid w:val="64A86918"/>
    <w:rsid w:val="6523039D"/>
    <w:rsid w:val="65554CF2"/>
    <w:rsid w:val="659613AB"/>
    <w:rsid w:val="6692441C"/>
    <w:rsid w:val="6787544C"/>
    <w:rsid w:val="67D07485"/>
    <w:rsid w:val="698A66BE"/>
    <w:rsid w:val="6AD472F2"/>
    <w:rsid w:val="6D1D4D2C"/>
    <w:rsid w:val="6D7C02DE"/>
    <w:rsid w:val="6E511DCE"/>
    <w:rsid w:val="6F4F022A"/>
    <w:rsid w:val="70017A54"/>
    <w:rsid w:val="704837AC"/>
    <w:rsid w:val="70B54896"/>
    <w:rsid w:val="712A11B9"/>
    <w:rsid w:val="712D16A4"/>
    <w:rsid w:val="718710C4"/>
    <w:rsid w:val="73955FE3"/>
    <w:rsid w:val="73B0538E"/>
    <w:rsid w:val="73D715D7"/>
    <w:rsid w:val="74EF0832"/>
    <w:rsid w:val="75CA4C66"/>
    <w:rsid w:val="76490993"/>
    <w:rsid w:val="768C7E47"/>
    <w:rsid w:val="774F263D"/>
    <w:rsid w:val="786077DD"/>
    <w:rsid w:val="788F1E71"/>
    <w:rsid w:val="79BE4BC7"/>
    <w:rsid w:val="7B413328"/>
    <w:rsid w:val="7BCD092E"/>
    <w:rsid w:val="7BD77067"/>
    <w:rsid w:val="7C0B17E8"/>
    <w:rsid w:val="7C902574"/>
    <w:rsid w:val="7DC511EB"/>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30"/>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1"/>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2"/>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3"/>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4"/>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5"/>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6"/>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5">
    <w:name w:val="Default Paragraph Font"/>
    <w:autoRedefine/>
    <w:unhideWhenUsed/>
    <w:qFormat/>
    <w:uiPriority w:val="1"/>
  </w:style>
  <w:style w:type="table" w:default="1" w:styleId="23">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link w:val="37"/>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8"/>
    <w:autoRedefine/>
    <w:unhideWhenUsed/>
    <w:qFormat/>
    <w:uiPriority w:val="0"/>
    <w:pPr>
      <w:jc w:val="left"/>
    </w:pPr>
    <w:rPr>
      <w:kern w:val="0"/>
      <w:sz w:val="20"/>
      <w:lang w:val="zh-CN" w:eastAsia="zh-CN"/>
    </w:rPr>
  </w:style>
  <w:style w:type="paragraph" w:styleId="13">
    <w:name w:val="Body Text"/>
    <w:basedOn w:val="1"/>
    <w:next w:val="14"/>
    <w:link w:val="39"/>
    <w:autoRedefine/>
    <w:qFormat/>
    <w:uiPriority w:val="0"/>
    <w:pPr>
      <w:spacing w:after="120"/>
    </w:pPr>
  </w:style>
  <w:style w:type="paragraph" w:styleId="14">
    <w:name w:val="Quote"/>
    <w:next w:val="1"/>
    <w:link w:val="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41"/>
    <w:autoRedefine/>
    <w:qFormat/>
    <w:uiPriority w:val="0"/>
    <w:rPr>
      <w:rFonts w:ascii="Calibri" w:hAnsi="Courier New"/>
      <w:szCs w:val="20"/>
      <w:lang w:val="zh-CN" w:eastAsia="zh-CN"/>
    </w:rPr>
  </w:style>
  <w:style w:type="paragraph" w:styleId="16">
    <w:name w:val="Body Text Indent 2"/>
    <w:basedOn w:val="1"/>
    <w:autoRedefine/>
    <w:unhideWhenUsed/>
    <w:qFormat/>
    <w:uiPriority w:val="99"/>
    <w:pPr>
      <w:spacing w:after="120" w:line="480" w:lineRule="auto"/>
      <w:ind w:left="420" w:leftChars="200"/>
    </w:pPr>
  </w:style>
  <w:style w:type="paragraph" w:styleId="17">
    <w:name w:val="Balloon Text"/>
    <w:basedOn w:val="1"/>
    <w:link w:val="42"/>
    <w:autoRedefine/>
    <w:qFormat/>
    <w:uiPriority w:val="0"/>
    <w:rPr>
      <w:sz w:val="18"/>
      <w:szCs w:val="18"/>
      <w:lang w:val="zh-CN" w:eastAsia="zh-CN"/>
    </w:rPr>
  </w:style>
  <w:style w:type="paragraph" w:styleId="18">
    <w:name w:val="footer"/>
    <w:basedOn w:val="1"/>
    <w:link w:val="43"/>
    <w:autoRedefine/>
    <w:qFormat/>
    <w:uiPriority w:val="0"/>
    <w:pPr>
      <w:tabs>
        <w:tab w:val="center" w:pos="4153"/>
        <w:tab w:val="right" w:pos="8306"/>
      </w:tabs>
      <w:snapToGrid w:val="0"/>
      <w:jc w:val="left"/>
    </w:pPr>
    <w:rPr>
      <w:sz w:val="18"/>
      <w:szCs w:val="18"/>
      <w:lang w:val="zh-CN" w:eastAsia="zh-CN"/>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20">
    <w:name w:val="Subtitle"/>
    <w:basedOn w:val="1"/>
    <w:next w:val="1"/>
    <w:link w:val="45"/>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autoRedefine/>
    <w:qFormat/>
    <w:uiPriority w:val="99"/>
    <w:pPr>
      <w:spacing w:before="240" w:after="60"/>
      <w:jc w:val="center"/>
      <w:outlineLvl w:val="0"/>
    </w:pPr>
    <w:rPr>
      <w:rFonts w:ascii="Arial" w:hAnsi="Arial" w:cs="Arial"/>
      <w:b/>
      <w:bCs/>
      <w:sz w:val="32"/>
      <w:szCs w:val="32"/>
    </w:r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字符"/>
    <w:link w:val="2"/>
    <w:autoRedefine/>
    <w:qFormat/>
    <w:uiPriority w:val="0"/>
    <w:rPr>
      <w:b/>
      <w:bCs/>
      <w:kern w:val="44"/>
      <w:sz w:val="44"/>
      <w:szCs w:val="44"/>
      <w:lang w:val="zh-CN" w:eastAsia="zh-CN"/>
    </w:rPr>
  </w:style>
  <w:style w:type="character" w:customStyle="1" w:styleId="29">
    <w:name w:val="标题 2 字符"/>
    <w:link w:val="3"/>
    <w:autoRedefine/>
    <w:qFormat/>
    <w:uiPriority w:val="0"/>
    <w:rPr>
      <w:rFonts w:ascii="等线 Light" w:hAnsi="等线 Light" w:eastAsia="等线 Light" w:cs="Times New Roman"/>
      <w:b/>
      <w:bCs/>
      <w:kern w:val="2"/>
      <w:sz w:val="32"/>
      <w:szCs w:val="32"/>
    </w:rPr>
  </w:style>
  <w:style w:type="character" w:customStyle="1" w:styleId="30">
    <w:name w:val="标题 3 字符"/>
    <w:link w:val="4"/>
    <w:autoRedefine/>
    <w:qFormat/>
    <w:uiPriority w:val="0"/>
    <w:rPr>
      <w:b/>
      <w:bCs/>
      <w:kern w:val="2"/>
      <w:sz w:val="30"/>
      <w:szCs w:val="30"/>
    </w:rPr>
  </w:style>
  <w:style w:type="character" w:customStyle="1" w:styleId="31">
    <w:name w:val="标题 4 字符"/>
    <w:link w:val="5"/>
    <w:autoRedefine/>
    <w:qFormat/>
    <w:uiPriority w:val="0"/>
    <w:rPr>
      <w:rFonts w:ascii="宋体" w:hAnsi="宋体"/>
      <w:b/>
      <w:bCs/>
      <w:kern w:val="2"/>
      <w:sz w:val="28"/>
      <w:szCs w:val="28"/>
    </w:rPr>
  </w:style>
  <w:style w:type="character" w:customStyle="1" w:styleId="32">
    <w:name w:val="标题 5 字符"/>
    <w:link w:val="6"/>
    <w:qFormat/>
    <w:uiPriority w:val="0"/>
    <w:rPr>
      <w:b/>
      <w:bCs/>
      <w:kern w:val="2"/>
      <w:sz w:val="28"/>
      <w:szCs w:val="28"/>
    </w:rPr>
  </w:style>
  <w:style w:type="character" w:customStyle="1" w:styleId="33">
    <w:name w:val="标题 6 字符"/>
    <w:link w:val="7"/>
    <w:semiHidden/>
    <w:qFormat/>
    <w:uiPriority w:val="0"/>
    <w:rPr>
      <w:rFonts w:ascii="等线 Light" w:hAnsi="等线 Light" w:eastAsia="等线 Light"/>
      <w:b/>
      <w:bCs/>
      <w:kern w:val="2"/>
      <w:sz w:val="24"/>
      <w:szCs w:val="24"/>
    </w:rPr>
  </w:style>
  <w:style w:type="character" w:customStyle="1" w:styleId="34">
    <w:name w:val="标题 7 字符"/>
    <w:link w:val="8"/>
    <w:autoRedefine/>
    <w:semiHidden/>
    <w:qFormat/>
    <w:uiPriority w:val="0"/>
    <w:rPr>
      <w:b/>
      <w:bCs/>
      <w:kern w:val="2"/>
      <w:sz w:val="24"/>
      <w:szCs w:val="24"/>
    </w:rPr>
  </w:style>
  <w:style w:type="character" w:customStyle="1" w:styleId="35">
    <w:name w:val="标题 8 字符"/>
    <w:link w:val="9"/>
    <w:semiHidden/>
    <w:qFormat/>
    <w:uiPriority w:val="0"/>
    <w:rPr>
      <w:rFonts w:ascii="等线 Light" w:hAnsi="等线 Light" w:eastAsia="等线 Light"/>
      <w:kern w:val="2"/>
      <w:sz w:val="24"/>
      <w:szCs w:val="24"/>
    </w:rPr>
  </w:style>
  <w:style w:type="character" w:customStyle="1" w:styleId="36">
    <w:name w:val="标题 9 字符"/>
    <w:link w:val="10"/>
    <w:semiHidden/>
    <w:qFormat/>
    <w:uiPriority w:val="0"/>
    <w:rPr>
      <w:rFonts w:ascii="等线 Light" w:hAnsi="等线 Light" w:eastAsia="等线 Light"/>
      <w:kern w:val="2"/>
      <w:sz w:val="21"/>
      <w:szCs w:val="21"/>
    </w:rPr>
  </w:style>
  <w:style w:type="character" w:customStyle="1" w:styleId="37">
    <w:name w:val="正文缩进 字符"/>
    <w:link w:val="11"/>
    <w:autoRedefine/>
    <w:qFormat/>
    <w:uiPriority w:val="99"/>
    <w:rPr>
      <w:spacing w:val="8"/>
      <w:kern w:val="2"/>
      <w:sz w:val="24"/>
      <w:lang w:val="en-US" w:eastAsia="zh-CN"/>
    </w:rPr>
  </w:style>
  <w:style w:type="character" w:customStyle="1" w:styleId="38">
    <w:name w:val="批注文字 字符1"/>
    <w:link w:val="12"/>
    <w:qFormat/>
    <w:uiPriority w:val="0"/>
    <w:rPr>
      <w:szCs w:val="24"/>
    </w:rPr>
  </w:style>
  <w:style w:type="character" w:customStyle="1" w:styleId="39">
    <w:name w:val="正文文本 字符"/>
    <w:link w:val="13"/>
    <w:qFormat/>
    <w:uiPriority w:val="0"/>
    <w:rPr>
      <w:kern w:val="2"/>
      <w:sz w:val="21"/>
      <w:szCs w:val="24"/>
    </w:rPr>
  </w:style>
  <w:style w:type="character" w:customStyle="1" w:styleId="40">
    <w:name w:val="引用 字符"/>
    <w:link w:val="14"/>
    <w:autoRedefine/>
    <w:qFormat/>
    <w:uiPriority w:val="0"/>
    <w:rPr>
      <w:rFonts w:ascii="Calibri" w:hAnsi="Calibri"/>
      <w:i/>
      <w:sz w:val="21"/>
    </w:rPr>
  </w:style>
  <w:style w:type="character" w:customStyle="1" w:styleId="41">
    <w:name w:val="纯文本 字符"/>
    <w:link w:val="15"/>
    <w:qFormat/>
    <w:uiPriority w:val="0"/>
    <w:rPr>
      <w:rFonts w:ascii="Calibri" w:hAnsi="Courier New"/>
      <w:kern w:val="2"/>
      <w:sz w:val="21"/>
    </w:rPr>
  </w:style>
  <w:style w:type="character" w:customStyle="1" w:styleId="42">
    <w:name w:val="批注框文本 字符"/>
    <w:link w:val="17"/>
    <w:qFormat/>
    <w:uiPriority w:val="0"/>
    <w:rPr>
      <w:kern w:val="2"/>
      <w:sz w:val="18"/>
      <w:szCs w:val="18"/>
    </w:rPr>
  </w:style>
  <w:style w:type="character" w:customStyle="1" w:styleId="43">
    <w:name w:val="页脚 字符1"/>
    <w:link w:val="18"/>
    <w:autoRedefine/>
    <w:qFormat/>
    <w:uiPriority w:val="0"/>
    <w:rPr>
      <w:kern w:val="2"/>
      <w:sz w:val="18"/>
      <w:szCs w:val="18"/>
    </w:rPr>
  </w:style>
  <w:style w:type="character" w:customStyle="1" w:styleId="44">
    <w:name w:val="页眉 字符"/>
    <w:link w:val="19"/>
    <w:autoRedefine/>
    <w:qFormat/>
    <w:uiPriority w:val="0"/>
    <w:rPr>
      <w:kern w:val="2"/>
      <w:sz w:val="18"/>
      <w:szCs w:val="18"/>
    </w:rPr>
  </w:style>
  <w:style w:type="character" w:customStyle="1" w:styleId="45">
    <w:name w:val="副标题 字符"/>
    <w:link w:val="20"/>
    <w:autoRedefine/>
    <w:qFormat/>
    <w:uiPriority w:val="0"/>
    <w:rPr>
      <w:rFonts w:ascii="Cambria" w:hAnsi="Cambria"/>
      <w:b/>
      <w:bCs/>
      <w:kern w:val="28"/>
      <w:sz w:val="32"/>
      <w:szCs w:val="32"/>
      <w:lang w:eastAsia="en-US"/>
    </w:rPr>
  </w:style>
  <w:style w:type="character" w:customStyle="1" w:styleId="46">
    <w:name w:val="已访问的超链接1"/>
    <w:autoRedefine/>
    <w:qFormat/>
    <w:uiPriority w:val="0"/>
    <w:rPr>
      <w:color w:val="800080"/>
      <w:u w:val="single"/>
    </w:rPr>
  </w:style>
  <w:style w:type="character" w:customStyle="1" w:styleId="47">
    <w:name w:val="正文（首行缩进2字符） Char"/>
    <w:link w:val="48"/>
    <w:autoRedefine/>
    <w:qFormat/>
    <w:uiPriority w:val="0"/>
    <w:rPr>
      <w:kern w:val="2"/>
      <w:sz w:val="24"/>
      <w:szCs w:val="24"/>
    </w:rPr>
  </w:style>
  <w:style w:type="paragraph" w:customStyle="1" w:styleId="48">
    <w:name w:val="正文（首行缩进2字符）"/>
    <w:basedOn w:val="1"/>
    <w:link w:val="47"/>
    <w:autoRedefine/>
    <w:qFormat/>
    <w:uiPriority w:val="0"/>
    <w:pPr>
      <w:spacing w:line="360" w:lineRule="auto"/>
      <w:ind w:firstLine="480" w:firstLineChars="200"/>
    </w:pPr>
    <w:rPr>
      <w:sz w:val="24"/>
      <w:lang w:val="zh-CN" w:eastAsia="zh-CN"/>
    </w:rPr>
  </w:style>
  <w:style w:type="character" w:customStyle="1" w:styleId="49">
    <w:name w:val="段落 Char1"/>
    <w:link w:val="50"/>
    <w:autoRedefine/>
    <w:qFormat/>
    <w:uiPriority w:val="0"/>
    <w:rPr>
      <w:rFonts w:eastAsia="仿宋_GB2312"/>
      <w:sz w:val="24"/>
      <w:szCs w:val="24"/>
      <w:lang w:val="en-US" w:eastAsia="zh-CN" w:bidi="ar-SA"/>
    </w:rPr>
  </w:style>
  <w:style w:type="paragraph" w:customStyle="1" w:styleId="50">
    <w:name w:val="段落"/>
    <w:link w:val="49"/>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1">
    <w:name w:val="正文（安华金和） Char"/>
    <w:link w:val="52"/>
    <w:autoRedefine/>
    <w:qFormat/>
    <w:uiPriority w:val="0"/>
    <w:rPr>
      <w:rFonts w:ascii="Arial" w:hAnsi="Arial"/>
      <w:sz w:val="21"/>
      <w:szCs w:val="21"/>
      <w:lang w:val="en-US" w:eastAsia="zh-CN" w:bidi="ar-SA"/>
    </w:rPr>
  </w:style>
  <w:style w:type="paragraph" w:customStyle="1" w:styleId="52">
    <w:name w:val="正文（安华金和）"/>
    <w:link w:val="51"/>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3">
    <w:name w:val="页脚 字符"/>
    <w:autoRedefine/>
    <w:qFormat/>
    <w:uiPriority w:val="99"/>
  </w:style>
  <w:style w:type="character" w:customStyle="1" w:styleId="54">
    <w:name w:val="列出段落 字符"/>
    <w:link w:val="55"/>
    <w:autoRedefine/>
    <w:qFormat/>
    <w:uiPriority w:val="34"/>
    <w:rPr>
      <w:rFonts w:ascii="等线" w:hAnsi="等线" w:eastAsia="等线"/>
      <w:kern w:val="2"/>
      <w:sz w:val="21"/>
      <w:szCs w:val="22"/>
    </w:rPr>
  </w:style>
  <w:style w:type="paragraph" w:styleId="55">
    <w:name w:val="List Paragraph"/>
    <w:basedOn w:val="1"/>
    <w:link w:val="54"/>
    <w:autoRedefine/>
    <w:qFormat/>
    <w:uiPriority w:val="34"/>
    <w:pPr>
      <w:ind w:firstLine="420" w:firstLineChars="200"/>
    </w:pPr>
    <w:rPr>
      <w:rFonts w:ascii="等线" w:hAnsi="等线" w:eastAsia="等线"/>
      <w:szCs w:val="22"/>
      <w:lang w:val="zh-CN" w:eastAsia="zh-CN"/>
    </w:rPr>
  </w:style>
  <w:style w:type="paragraph" w:customStyle="1" w:styleId="56">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7">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8">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9">
    <w:name w:val="_Style 27"/>
    <w:basedOn w:val="1"/>
    <w:next w:val="55"/>
    <w:autoRedefine/>
    <w:qFormat/>
    <w:uiPriority w:val="34"/>
    <w:pPr>
      <w:widowControl/>
      <w:spacing w:line="240" w:lineRule="atLeast"/>
      <w:ind w:firstLine="420" w:firstLineChars="200"/>
    </w:pPr>
    <w:rPr>
      <w:rFonts w:ascii="Arial" w:hAnsi="Arial"/>
      <w:kern w:val="0"/>
      <w:szCs w:val="21"/>
    </w:rPr>
  </w:style>
  <w:style w:type="paragraph" w:customStyle="1" w:styleId="60">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1">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2">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3">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4">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5">
    <w:name w:val="彩色列表 - 着色 11"/>
    <w:basedOn w:val="1"/>
    <w:autoRedefine/>
    <w:qFormat/>
    <w:uiPriority w:val="34"/>
    <w:pPr>
      <w:spacing w:line="360" w:lineRule="auto"/>
      <w:ind w:firstLine="420" w:firstLineChars="200"/>
    </w:pPr>
    <w:rPr>
      <w:rFonts w:ascii="Arial" w:hAnsi="Arial"/>
      <w:szCs w:val="21"/>
    </w:rPr>
  </w:style>
  <w:style w:type="paragraph" w:customStyle="1" w:styleId="66">
    <w:name w:val="表格标注（安华金和）"/>
    <w:basedOn w:val="56"/>
    <w:next w:val="1"/>
    <w:autoRedefine/>
    <w:qFormat/>
    <w:uiPriority w:val="0"/>
    <w:pPr>
      <w:numPr>
        <w:ilvl w:val="7"/>
      </w:numPr>
    </w:pPr>
  </w:style>
  <w:style w:type="paragraph" w:customStyle="1" w:styleId="67">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8">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9">
    <w:name w:val="批注文字 字符"/>
    <w:autoRedefine/>
    <w:qFormat/>
    <w:uiPriority w:val="99"/>
    <w:rPr>
      <w:kern w:val="2"/>
      <w:sz w:val="21"/>
      <w:szCs w:val="24"/>
    </w:rPr>
  </w:style>
  <w:style w:type="paragraph" w:customStyle="1" w:styleId="70">
    <w:name w:val="Other|1"/>
    <w:basedOn w:val="1"/>
    <w:autoRedefine/>
    <w:qFormat/>
    <w:uiPriority w:val="0"/>
    <w:pPr>
      <w:jc w:val="center"/>
    </w:pPr>
    <w:rPr>
      <w:rFonts w:ascii="宋体" w:hAnsi="宋体" w:cs="宋体"/>
      <w:sz w:val="22"/>
      <w:szCs w:val="22"/>
    </w:rPr>
  </w:style>
  <w:style w:type="paragraph" w:customStyle="1" w:styleId="71">
    <w:name w:val="列出段落1"/>
    <w:basedOn w:val="1"/>
    <w:autoRedefine/>
    <w:qFormat/>
    <w:uiPriority w:val="34"/>
    <w:pPr>
      <w:widowControl/>
      <w:ind w:firstLine="420" w:firstLineChars="200"/>
      <w:jc w:val="left"/>
    </w:pPr>
    <w:rPr>
      <w:rFonts w:ascii="宋体" w:hAnsi="宋体" w:cs="宋体"/>
      <w:kern w:val="0"/>
      <w:sz w:val="24"/>
    </w:rPr>
  </w:style>
  <w:style w:type="paragraph" w:customStyle="1" w:styleId="72">
    <w:name w:val="标题-2"/>
    <w:basedOn w:val="1"/>
    <w:next w:val="3"/>
    <w:autoRedefine/>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6822</Words>
  <Characters>6918</Characters>
  <Lines>53</Lines>
  <Paragraphs>15</Paragraphs>
  <TotalTime>22</TotalTime>
  <ScaleCrop>false</ScaleCrop>
  <LinksUpToDate>false</LinksUpToDate>
  <CharactersWithSpaces>6938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2022-01-07T02:43:00Z</dcterms:created>
  <dc:creator>陈永辉</dc:creator>
  <cp:lastModifiedBy>梁铭标</cp:lastModifiedBy>
  <dcterms:modified xsi:type="dcterms:W3CDTF">2025-05-27T03:32:37Z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35C2E31CFB1938E535384E65782E47D2_43</vt:lpwstr>
  </property>
  <property fmtid="{D5CDD505-2E9C-101B-9397-08002B2CF9AE}" pid="4" name="KSOTemplateDocerSaveRecord">
    <vt:lpwstr>eyJoZGlkIjoiZmZiZGI0NTU0Y2IzMTE0MjZmNTRhOWYzOTk1NTAyYjEiLCJ1c2VySWQiOiIyNDQ5OTg0MzkifQ==</vt:lpwstr>
  </property>
</Properties>
</file>