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E35C2" w14:textId="1D6027BE" w:rsidR="001D5DF8" w:rsidRDefault="00D83C03" w:rsidP="003516B5">
      <w:pPr>
        <w:widowControl w:val="0"/>
        <w:spacing w:beforeLines="200" w:before="624" w:afterLines="100" w:after="312" w:line="360" w:lineRule="auto"/>
        <w:ind w:firstLine="883"/>
        <w:rPr>
          <w:rFonts w:ascii="宋体" w:hAnsi="宋体"/>
          <w:b/>
          <w:sz w:val="44"/>
          <w:szCs w:val="30"/>
        </w:rPr>
      </w:pPr>
      <w:r w:rsidRPr="00D83C03">
        <w:rPr>
          <w:rFonts w:ascii="宋体" w:hAnsi="宋体" w:hint="eastAsia"/>
          <w:b/>
          <w:sz w:val="44"/>
          <w:szCs w:val="30"/>
        </w:rPr>
        <w:t>冠脉斑块CT后处理分析系统</w:t>
      </w:r>
      <w:bookmarkStart w:id="0" w:name="_GoBack"/>
      <w:bookmarkEnd w:id="0"/>
      <w:r w:rsidR="004E2CD5">
        <w:rPr>
          <w:rFonts w:ascii="宋体" w:hAnsi="宋体" w:hint="eastAsia"/>
          <w:b/>
          <w:sz w:val="44"/>
          <w:szCs w:val="30"/>
        </w:rPr>
        <w:t>项目需求</w:t>
      </w:r>
    </w:p>
    <w:p w14:paraId="2D410F45" w14:textId="77777777" w:rsidR="001D5DF8" w:rsidRDefault="004E2CD5">
      <w:pPr>
        <w:pStyle w:val="1"/>
        <w:numPr>
          <w:ilvl w:val="0"/>
          <w:numId w:val="3"/>
        </w:numPr>
      </w:pPr>
      <w:r>
        <w:rPr>
          <w:rFonts w:hint="eastAsia"/>
        </w:rPr>
        <w:t>项目名称</w:t>
      </w:r>
    </w:p>
    <w:p w14:paraId="369DF07F" w14:textId="33E2AC64" w:rsidR="001D5DF8" w:rsidRDefault="00D83C03">
      <w:r w:rsidRPr="00D83C03">
        <w:rPr>
          <w:rFonts w:hint="eastAsia"/>
        </w:rPr>
        <w:t>冠脉斑块</w:t>
      </w:r>
      <w:r w:rsidRPr="00D83C03">
        <w:rPr>
          <w:rFonts w:hint="eastAsia"/>
        </w:rPr>
        <w:t>CT</w:t>
      </w:r>
      <w:r w:rsidRPr="00D83C03">
        <w:rPr>
          <w:rFonts w:hint="eastAsia"/>
        </w:rPr>
        <w:t>后处理分析系统</w:t>
      </w:r>
    </w:p>
    <w:p w14:paraId="24991051" w14:textId="77777777" w:rsidR="001D5DF8" w:rsidRDefault="004E2CD5">
      <w:pPr>
        <w:pStyle w:val="1"/>
        <w:numPr>
          <w:ilvl w:val="0"/>
          <w:numId w:val="3"/>
        </w:numPr>
      </w:pPr>
      <w:r>
        <w:rPr>
          <w:rFonts w:hint="eastAsia"/>
        </w:rPr>
        <w:t>项目内容</w:t>
      </w:r>
    </w:p>
    <w:p w14:paraId="1F13C4E0" w14:textId="77777777" w:rsidR="001D5DF8" w:rsidRDefault="004E2CD5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W w:w="43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2256"/>
        <w:gridCol w:w="1227"/>
        <w:gridCol w:w="3960"/>
      </w:tblGrid>
      <w:tr w:rsidR="001D5DF8" w14:paraId="3B3705E3" w14:textId="77777777">
        <w:tc>
          <w:tcPr>
            <w:tcW w:w="305" w:type="pct"/>
            <w:shd w:val="clear" w:color="auto" w:fill="A6A6A6" w:themeFill="background1" w:themeFillShade="A6"/>
            <w:vAlign w:val="center"/>
          </w:tcPr>
          <w:p w14:paraId="547489DC" w14:textId="77777777" w:rsidR="001D5DF8" w:rsidRDefault="004E2CD5">
            <w:r>
              <w:rPr>
                <w:rFonts w:hint="eastAsia"/>
              </w:rPr>
              <w:t>序号</w:t>
            </w:r>
          </w:p>
        </w:tc>
        <w:tc>
          <w:tcPr>
            <w:tcW w:w="1422" w:type="pct"/>
            <w:shd w:val="clear" w:color="auto" w:fill="A6A6A6" w:themeFill="background1" w:themeFillShade="A6"/>
          </w:tcPr>
          <w:p w14:paraId="64566453" w14:textId="77777777" w:rsidR="001D5DF8" w:rsidRDefault="004E2CD5">
            <w:r>
              <w:rPr>
                <w:rFonts w:hint="eastAsia"/>
              </w:rPr>
              <w:t>产品名称</w:t>
            </w:r>
          </w:p>
        </w:tc>
        <w:tc>
          <w:tcPr>
            <w:tcW w:w="774" w:type="pct"/>
            <w:shd w:val="clear" w:color="auto" w:fill="A6A6A6" w:themeFill="background1" w:themeFillShade="A6"/>
          </w:tcPr>
          <w:p w14:paraId="14B93D72" w14:textId="77777777" w:rsidR="001D5DF8" w:rsidRDefault="004E2CD5">
            <w:r>
              <w:rPr>
                <w:rFonts w:hint="eastAsia"/>
              </w:rPr>
              <w:t>数量</w:t>
            </w:r>
          </w:p>
        </w:tc>
        <w:tc>
          <w:tcPr>
            <w:tcW w:w="2497" w:type="pct"/>
            <w:shd w:val="clear" w:color="auto" w:fill="A6A6A6" w:themeFill="background1" w:themeFillShade="A6"/>
            <w:vAlign w:val="center"/>
          </w:tcPr>
          <w:p w14:paraId="57964738" w14:textId="77777777" w:rsidR="001D5DF8" w:rsidRDefault="004E2CD5">
            <w:r>
              <w:rPr>
                <w:rFonts w:hint="eastAsia"/>
              </w:rPr>
              <w:t>功能模块</w:t>
            </w:r>
          </w:p>
        </w:tc>
      </w:tr>
      <w:tr w:rsidR="001D5DF8" w14:paraId="0CC411C9" w14:textId="77777777">
        <w:tc>
          <w:tcPr>
            <w:tcW w:w="305" w:type="pct"/>
            <w:vMerge w:val="restart"/>
            <w:vAlign w:val="center"/>
          </w:tcPr>
          <w:p w14:paraId="1032AA39" w14:textId="77777777" w:rsidR="001D5DF8" w:rsidRDefault="004E2CD5">
            <w:r>
              <w:t>1</w:t>
            </w:r>
          </w:p>
        </w:tc>
        <w:tc>
          <w:tcPr>
            <w:tcW w:w="1422" w:type="pct"/>
            <w:vMerge w:val="restart"/>
          </w:tcPr>
          <w:p w14:paraId="577DD585" w14:textId="77777777" w:rsidR="001D5DF8" w:rsidRDefault="001D5DF8"/>
          <w:p w14:paraId="557041BC" w14:textId="77777777" w:rsidR="001D5DF8" w:rsidRDefault="001D5DF8">
            <w:pPr>
              <w:pStyle w:val="af4"/>
            </w:pPr>
          </w:p>
          <w:p w14:paraId="02B90D60" w14:textId="77777777" w:rsidR="001D5DF8" w:rsidRDefault="004E2CD5">
            <w:pPr>
              <w:pStyle w:val="af4"/>
            </w:pPr>
            <w:r>
              <w:rPr>
                <w:rFonts w:hint="eastAsia"/>
              </w:rPr>
              <w:t>数据</w:t>
            </w:r>
            <w:r>
              <w:rPr>
                <w:rFonts w:hint="eastAsia"/>
                <w:lang w:val="en-US"/>
              </w:rPr>
              <w:t>浏览</w:t>
            </w:r>
            <w:r>
              <w:rPr>
                <w:rFonts w:hint="eastAsia"/>
              </w:rPr>
              <w:t>平台模块</w:t>
            </w:r>
          </w:p>
        </w:tc>
        <w:tc>
          <w:tcPr>
            <w:tcW w:w="774" w:type="pct"/>
            <w:vMerge w:val="restart"/>
          </w:tcPr>
          <w:p w14:paraId="35C9CCC7" w14:textId="77777777" w:rsidR="001D5DF8" w:rsidRDefault="001D5DF8"/>
          <w:p w14:paraId="00327EBF" w14:textId="77777777" w:rsidR="001D5DF8" w:rsidRDefault="001D5DF8">
            <w:pPr>
              <w:pStyle w:val="af4"/>
            </w:pPr>
          </w:p>
          <w:p w14:paraId="1042D3A5" w14:textId="77777777" w:rsidR="001D5DF8" w:rsidRDefault="004E2CD5">
            <w:pPr>
              <w:pStyle w:val="af4"/>
            </w:pPr>
            <w:r>
              <w:rPr>
                <w:rFonts w:hint="eastAsia"/>
              </w:rPr>
              <w:t>1套</w:t>
            </w:r>
          </w:p>
        </w:tc>
        <w:tc>
          <w:tcPr>
            <w:tcW w:w="2497" w:type="pct"/>
            <w:vAlign w:val="center"/>
          </w:tcPr>
          <w:p w14:paraId="6EBE11F7" w14:textId="77777777" w:rsidR="001D5DF8" w:rsidRDefault="004E2CD5">
            <w:pPr>
              <w:pStyle w:val="af4"/>
            </w:pPr>
            <w:r>
              <w:rPr>
                <w:rFonts w:hint="eastAsia"/>
              </w:rPr>
              <w:t>数据导入与兼容性</w:t>
            </w:r>
          </w:p>
        </w:tc>
      </w:tr>
      <w:tr w:rsidR="001D5DF8" w14:paraId="65B56DA9" w14:textId="77777777">
        <w:tc>
          <w:tcPr>
            <w:tcW w:w="305" w:type="pct"/>
            <w:vMerge/>
            <w:vAlign w:val="center"/>
          </w:tcPr>
          <w:p w14:paraId="1A5F3CF4" w14:textId="77777777" w:rsidR="001D5DF8" w:rsidRDefault="001D5DF8"/>
        </w:tc>
        <w:tc>
          <w:tcPr>
            <w:tcW w:w="1422" w:type="pct"/>
            <w:vMerge/>
          </w:tcPr>
          <w:p w14:paraId="52B22266" w14:textId="77777777" w:rsidR="001D5DF8" w:rsidRDefault="001D5DF8">
            <w:pPr>
              <w:pStyle w:val="af4"/>
            </w:pPr>
          </w:p>
        </w:tc>
        <w:tc>
          <w:tcPr>
            <w:tcW w:w="774" w:type="pct"/>
            <w:vMerge/>
          </w:tcPr>
          <w:p w14:paraId="16DE8105" w14:textId="77777777" w:rsidR="001D5DF8" w:rsidRDefault="001D5DF8">
            <w:pPr>
              <w:pStyle w:val="af4"/>
            </w:pPr>
          </w:p>
        </w:tc>
        <w:tc>
          <w:tcPr>
            <w:tcW w:w="2497" w:type="pct"/>
            <w:vAlign w:val="center"/>
          </w:tcPr>
          <w:p w14:paraId="710847BF" w14:textId="77777777" w:rsidR="001D5DF8" w:rsidRDefault="004E2CD5">
            <w:pPr>
              <w:pStyle w:val="af4"/>
            </w:pPr>
            <w:r>
              <w:rPr>
                <w:rFonts w:hint="eastAsia"/>
              </w:rPr>
              <w:t>图像显示与交互功能</w:t>
            </w:r>
          </w:p>
        </w:tc>
      </w:tr>
      <w:tr w:rsidR="001D5DF8" w14:paraId="7F2611BD" w14:textId="77777777">
        <w:tc>
          <w:tcPr>
            <w:tcW w:w="305" w:type="pct"/>
            <w:vMerge/>
            <w:vAlign w:val="center"/>
          </w:tcPr>
          <w:p w14:paraId="7C3CCF39" w14:textId="77777777" w:rsidR="001D5DF8" w:rsidRDefault="001D5DF8"/>
        </w:tc>
        <w:tc>
          <w:tcPr>
            <w:tcW w:w="1422" w:type="pct"/>
            <w:vMerge/>
          </w:tcPr>
          <w:p w14:paraId="43E6ADF3" w14:textId="77777777" w:rsidR="001D5DF8" w:rsidRDefault="001D5DF8">
            <w:pPr>
              <w:pStyle w:val="af4"/>
            </w:pPr>
          </w:p>
        </w:tc>
        <w:tc>
          <w:tcPr>
            <w:tcW w:w="774" w:type="pct"/>
            <w:vMerge/>
          </w:tcPr>
          <w:p w14:paraId="03AC2104" w14:textId="77777777" w:rsidR="001D5DF8" w:rsidRDefault="001D5DF8">
            <w:pPr>
              <w:pStyle w:val="af4"/>
            </w:pPr>
          </w:p>
        </w:tc>
        <w:tc>
          <w:tcPr>
            <w:tcW w:w="2497" w:type="pct"/>
            <w:vAlign w:val="center"/>
          </w:tcPr>
          <w:p w14:paraId="7D7B52D8" w14:textId="77777777" w:rsidR="001D5DF8" w:rsidRDefault="004E2CD5">
            <w:pPr>
              <w:pStyle w:val="af4"/>
            </w:pPr>
            <w:r>
              <w:rPr>
                <w:rFonts w:hint="eastAsia"/>
              </w:rPr>
              <w:t>工作流程管理</w:t>
            </w:r>
          </w:p>
        </w:tc>
      </w:tr>
      <w:tr w:rsidR="001D5DF8" w14:paraId="33410964" w14:textId="77777777">
        <w:tc>
          <w:tcPr>
            <w:tcW w:w="305" w:type="pct"/>
            <w:vMerge/>
            <w:vAlign w:val="center"/>
          </w:tcPr>
          <w:p w14:paraId="5AA04B84" w14:textId="77777777" w:rsidR="001D5DF8" w:rsidRDefault="001D5DF8"/>
        </w:tc>
        <w:tc>
          <w:tcPr>
            <w:tcW w:w="1422" w:type="pct"/>
            <w:vMerge/>
          </w:tcPr>
          <w:p w14:paraId="527DE177" w14:textId="77777777" w:rsidR="001D5DF8" w:rsidRDefault="001D5DF8">
            <w:pPr>
              <w:pStyle w:val="af4"/>
            </w:pPr>
          </w:p>
        </w:tc>
        <w:tc>
          <w:tcPr>
            <w:tcW w:w="774" w:type="pct"/>
            <w:vMerge/>
          </w:tcPr>
          <w:p w14:paraId="423F7C41" w14:textId="77777777" w:rsidR="001D5DF8" w:rsidRDefault="001D5DF8">
            <w:pPr>
              <w:pStyle w:val="af4"/>
            </w:pPr>
          </w:p>
        </w:tc>
        <w:tc>
          <w:tcPr>
            <w:tcW w:w="2497" w:type="pct"/>
            <w:vAlign w:val="center"/>
          </w:tcPr>
          <w:p w14:paraId="188EA447" w14:textId="77777777" w:rsidR="001D5DF8" w:rsidRDefault="004E2CD5">
            <w:pPr>
              <w:pStyle w:val="af4"/>
            </w:pPr>
            <w:r>
              <w:rPr>
                <w:rFonts w:hint="eastAsia"/>
              </w:rPr>
              <w:t>临床报告与数据输出</w:t>
            </w:r>
          </w:p>
        </w:tc>
      </w:tr>
      <w:tr w:rsidR="001D5DF8" w14:paraId="63E9DAB7" w14:textId="77777777"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D6B54" w14:textId="77777777" w:rsidR="001D5DF8" w:rsidRDefault="004E2CD5">
            <w:r>
              <w:t>2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B248C" w14:textId="77777777" w:rsidR="001D5DF8" w:rsidRDefault="001D5DF8"/>
          <w:p w14:paraId="7E52C122" w14:textId="77777777" w:rsidR="001D5DF8" w:rsidRDefault="004E2CD5">
            <w:pPr>
              <w:pStyle w:val="af4"/>
            </w:pPr>
            <w:r>
              <w:rPr>
                <w:rFonts w:hint="eastAsia"/>
              </w:rPr>
              <w:t>冠脉</w:t>
            </w:r>
            <w:r>
              <w:rPr>
                <w:rFonts w:hint="eastAsia"/>
                <w:lang w:val="en-US"/>
              </w:rPr>
              <w:t>斑块CT</w:t>
            </w:r>
            <w:r>
              <w:rPr>
                <w:rFonts w:hint="eastAsia"/>
              </w:rPr>
              <w:t>分析模块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02394" w14:textId="77777777" w:rsidR="001D5DF8" w:rsidRDefault="001D5DF8"/>
          <w:p w14:paraId="0CE23DCA" w14:textId="77777777" w:rsidR="001D5DF8" w:rsidRDefault="001D5DF8"/>
          <w:p w14:paraId="63A25443" w14:textId="77777777" w:rsidR="001D5DF8" w:rsidRDefault="001D5DF8"/>
          <w:p w14:paraId="227896C2" w14:textId="77777777" w:rsidR="001D5DF8" w:rsidRDefault="001D5DF8"/>
          <w:p w14:paraId="180CB0C4" w14:textId="77777777" w:rsidR="001D5DF8" w:rsidRDefault="004E2CD5">
            <w:pPr>
              <w:pStyle w:val="af4"/>
            </w:pPr>
            <w:r>
              <w:rPr>
                <w:rFonts w:hint="eastAsia"/>
              </w:rPr>
              <w:t>1套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22BF" w14:textId="77777777" w:rsidR="001D5DF8" w:rsidRDefault="004E2CD5">
            <w:pPr>
              <w:pStyle w:val="af4"/>
            </w:pPr>
            <w:r>
              <w:t>冠状动脉树</w:t>
            </w:r>
            <w:r>
              <w:rPr>
                <w:rFonts w:hint="eastAsia"/>
                <w:lang w:val="en-US"/>
              </w:rPr>
              <w:t>半</w:t>
            </w:r>
            <w:r>
              <w:t>自动化分析与编辑</w:t>
            </w:r>
          </w:p>
        </w:tc>
      </w:tr>
      <w:tr w:rsidR="001D5DF8" w14:paraId="06FA2E94" w14:textId="77777777"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91C8" w14:textId="77777777" w:rsidR="001D5DF8" w:rsidRDefault="001D5DF8"/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66EB" w14:textId="77777777" w:rsidR="001D5DF8" w:rsidRDefault="001D5DF8">
            <w:pPr>
              <w:pStyle w:val="af4"/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73B" w14:textId="77777777" w:rsidR="001D5DF8" w:rsidRDefault="001D5DF8"/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BE73" w14:textId="77777777" w:rsidR="001D5DF8" w:rsidRDefault="004E2CD5">
            <w:pPr>
              <w:pStyle w:val="af4"/>
            </w:pPr>
            <w:r>
              <w:t>血管轮廓精细化分析工具</w:t>
            </w:r>
          </w:p>
        </w:tc>
      </w:tr>
      <w:tr w:rsidR="001D5DF8" w14:paraId="1A73F5A6" w14:textId="77777777"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5FC00" w14:textId="77777777" w:rsidR="001D5DF8" w:rsidRDefault="001D5DF8"/>
        </w:tc>
        <w:tc>
          <w:tcPr>
            <w:tcW w:w="14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161B8" w14:textId="77777777" w:rsidR="001D5DF8" w:rsidRDefault="001D5DF8">
            <w:pPr>
              <w:pStyle w:val="af4"/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EA1E4" w14:textId="77777777" w:rsidR="001D5DF8" w:rsidRDefault="001D5DF8"/>
        </w:tc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7DB3" w14:textId="77777777" w:rsidR="001D5DF8" w:rsidRDefault="004E2CD5">
            <w:pPr>
              <w:pStyle w:val="af4"/>
            </w:pPr>
            <w:r>
              <w:t>冠状动脉管腔与斑块定量分析</w:t>
            </w:r>
          </w:p>
        </w:tc>
      </w:tr>
      <w:tr w:rsidR="001D5DF8" w14:paraId="0C3D7626" w14:textId="77777777"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86974" w14:textId="77777777" w:rsidR="001D5DF8" w:rsidRDefault="001D5DF8"/>
        </w:tc>
        <w:tc>
          <w:tcPr>
            <w:tcW w:w="14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277C3" w14:textId="77777777" w:rsidR="001D5DF8" w:rsidRDefault="001D5DF8">
            <w:pPr>
              <w:pStyle w:val="af4"/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9278B" w14:textId="77777777" w:rsidR="001D5DF8" w:rsidRDefault="001D5DF8"/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EBFB6" w14:textId="77777777" w:rsidR="001D5DF8" w:rsidRDefault="004E2CD5">
            <w:pPr>
              <w:pStyle w:val="af4"/>
            </w:pPr>
            <w:r>
              <w:rPr>
                <w:rFonts w:hint="eastAsia"/>
                <w:lang w:val="en-US"/>
              </w:rPr>
              <w:t>冠脉</w:t>
            </w:r>
            <w:r>
              <w:t>斑块定性与冠脉周围脂肪组织（PVAT）分析</w:t>
            </w:r>
          </w:p>
        </w:tc>
      </w:tr>
      <w:tr w:rsidR="001D5DF8" w14:paraId="5C3D202B" w14:textId="77777777"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B9A" w14:textId="77777777" w:rsidR="001D5DF8" w:rsidRDefault="001D5DF8"/>
        </w:tc>
        <w:tc>
          <w:tcPr>
            <w:tcW w:w="1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8812" w14:textId="77777777" w:rsidR="001D5DF8" w:rsidRDefault="001D5DF8">
            <w:pPr>
              <w:pStyle w:val="af4"/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EC0F" w14:textId="77777777" w:rsidR="001D5DF8" w:rsidRDefault="001D5DF8"/>
        </w:tc>
        <w:tc>
          <w:tcPr>
            <w:tcW w:w="24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0AED44" w14:textId="77777777" w:rsidR="001D5DF8" w:rsidRDefault="004E2CD5">
            <w:pPr>
              <w:pStyle w:val="af4"/>
            </w:pPr>
            <w:r>
              <w:t>数据导出</w:t>
            </w:r>
          </w:p>
        </w:tc>
      </w:tr>
    </w:tbl>
    <w:p w14:paraId="19403C5B" w14:textId="77777777" w:rsidR="001D5DF8" w:rsidRDefault="001D5DF8">
      <w:pPr>
        <w:pStyle w:val="1"/>
        <w:numPr>
          <w:ilvl w:val="0"/>
          <w:numId w:val="0"/>
        </w:numPr>
        <w:ind w:left="432" w:hanging="432"/>
      </w:pPr>
    </w:p>
    <w:p w14:paraId="55824E10" w14:textId="77777777" w:rsidR="001D5DF8" w:rsidRDefault="001D5DF8">
      <w:pPr>
        <w:rPr>
          <w:lang w:val="zh-CN"/>
        </w:rPr>
      </w:pPr>
    </w:p>
    <w:p w14:paraId="5EEAF6AF" w14:textId="77777777" w:rsidR="001D5DF8" w:rsidRDefault="004E2CD5">
      <w:pPr>
        <w:pStyle w:val="1"/>
        <w:numPr>
          <w:ilvl w:val="0"/>
          <w:numId w:val="3"/>
        </w:numPr>
      </w:pPr>
      <w:r>
        <w:rPr>
          <w:rFonts w:hint="eastAsia"/>
        </w:rPr>
        <w:t>详细功能描述</w:t>
      </w:r>
      <w:bookmarkStart w:id="1" w:name="_6.1.1、大数据服务器"/>
      <w:bookmarkEnd w:id="1"/>
    </w:p>
    <w:p w14:paraId="7706735C" w14:textId="77777777" w:rsidR="001D5DF8" w:rsidRDefault="001D5DF8">
      <w:pPr>
        <w:rPr>
          <w:lang w:val="zh-CN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25"/>
        <w:gridCol w:w="1591"/>
        <w:gridCol w:w="5638"/>
      </w:tblGrid>
      <w:tr w:rsidR="001D5DF8" w14:paraId="30563375" w14:textId="77777777">
        <w:trPr>
          <w:trHeight w:val="280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5C5C5" w14:textId="77777777" w:rsidR="001D5DF8" w:rsidRDefault="004E2CD5"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0C937" w14:textId="77777777" w:rsidR="001D5DF8" w:rsidRDefault="004E2CD5">
            <w:r>
              <w:rPr>
                <w:rFonts w:hint="eastAsia"/>
              </w:rPr>
              <w:t>产品名称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43B18" w14:textId="77777777" w:rsidR="001D5DF8" w:rsidRDefault="004E2CD5">
            <w:r>
              <w:rPr>
                <w:rFonts w:hint="eastAsia"/>
              </w:rPr>
              <w:t>功能模块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BC1C9" w14:textId="77777777" w:rsidR="001D5DF8" w:rsidRDefault="004E2CD5">
            <w:r>
              <w:rPr>
                <w:rFonts w:hint="eastAsia"/>
              </w:rPr>
              <w:t>功能技术参数</w:t>
            </w:r>
          </w:p>
        </w:tc>
      </w:tr>
      <w:tr w:rsidR="001D5DF8" w14:paraId="2C3B803E" w14:textId="77777777">
        <w:trPr>
          <w:cantSplit/>
          <w:trHeight w:val="280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0D7A8" w14:textId="77777777" w:rsidR="001D5DF8" w:rsidRDefault="004E2CD5">
            <w:r>
              <w:t>1</w:t>
            </w: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6BFD1" w14:textId="77777777" w:rsidR="001D5DF8" w:rsidRDefault="001D5DF8"/>
          <w:p w14:paraId="195E452A" w14:textId="77777777" w:rsidR="001D5DF8" w:rsidRDefault="004E2CD5">
            <w:r>
              <w:rPr>
                <w:rFonts w:hint="eastAsia"/>
              </w:rPr>
              <w:t>数据处理平台模块</w:t>
            </w:r>
          </w:p>
        </w:tc>
        <w:tc>
          <w:tcPr>
            <w:tcW w:w="1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01CEC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t>数据导入与兼容性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25A35" w14:textId="77777777" w:rsidR="001D5DF8" w:rsidRDefault="004E2C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、兼容主流</w:t>
            </w: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品牌的心脏影像：支持西门子、</w:t>
            </w:r>
            <w:r>
              <w:rPr>
                <w:rFonts w:hint="eastAsia"/>
              </w:rPr>
              <w:t>GE</w:t>
            </w:r>
            <w:r>
              <w:rPr>
                <w:rFonts w:hint="eastAsia"/>
              </w:rPr>
              <w:t>、飞利浦、佳能、</w:t>
            </w:r>
            <w:proofErr w:type="gramStart"/>
            <w:r>
              <w:rPr>
                <w:rFonts w:hint="eastAsia"/>
              </w:rPr>
              <w:t>联影等</w:t>
            </w:r>
            <w:proofErr w:type="gramEnd"/>
            <w:r>
              <w:rPr>
                <w:rFonts w:hint="eastAsia"/>
              </w:rPr>
              <w:t>全球主流</w:t>
            </w: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设备厂商生成的心脏</w:t>
            </w: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数据，确保与医院现有设备连接，无需额外更换或调整设备配置；</w:t>
            </w:r>
          </w:p>
        </w:tc>
      </w:tr>
      <w:tr w:rsidR="001D5DF8" w14:paraId="02D5D698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38DF7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6059DC20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25E9596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D83CB" w14:textId="77777777" w:rsidR="001D5DF8" w:rsidRDefault="004E2C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、支持医院局域网内心脏</w:t>
            </w: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影像数据的实时传输与共享，确保数据及时有效地传输进行处理和分析，避免数据延迟与丢失；</w:t>
            </w:r>
          </w:p>
        </w:tc>
      </w:tr>
      <w:tr w:rsidR="001D5DF8" w14:paraId="2DCA47AA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64282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7F826565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4878C150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CEA02" w14:textId="77777777" w:rsidR="001D5DF8" w:rsidRDefault="004E2C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、支持存储介质（硬盘、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CD/DVD</w:t>
            </w:r>
            <w:r>
              <w:rPr>
                <w:rFonts w:hint="eastAsia"/>
              </w:rPr>
              <w:t>）导入</w:t>
            </w: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数据：</w:t>
            </w:r>
            <w:proofErr w:type="gramStart"/>
            <w:r>
              <w:rPr>
                <w:rFonts w:hint="eastAsia"/>
              </w:rPr>
              <w:t>除网络</w:t>
            </w:r>
            <w:proofErr w:type="gramEnd"/>
            <w:r>
              <w:rPr>
                <w:rFonts w:hint="eastAsia"/>
              </w:rPr>
              <w:t>传输外，亦可通过本地存储介质（移动硬盘、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盘、</w:t>
            </w:r>
            <w:r>
              <w:rPr>
                <w:rFonts w:hint="eastAsia"/>
              </w:rPr>
              <w:t>CD/DVD</w:t>
            </w:r>
            <w:r>
              <w:rPr>
                <w:rFonts w:hint="eastAsia"/>
              </w:rPr>
              <w:t>光盘）快速导入影像数据，满足特殊场景及不同需求下的数据采集和管理需求；</w:t>
            </w:r>
          </w:p>
        </w:tc>
      </w:tr>
      <w:tr w:rsidR="001D5DF8" w14:paraId="78A2756A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BFEAD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66D61C58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3F0A5295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EE637" w14:textId="77777777" w:rsidR="001D5DF8" w:rsidRDefault="004E2CD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、支持</w:t>
            </w:r>
            <w:r>
              <w:rPr>
                <w:rFonts w:hint="eastAsia"/>
              </w:rPr>
              <w:t>DICOM</w:t>
            </w:r>
            <w:r>
              <w:rPr>
                <w:rFonts w:hint="eastAsia"/>
              </w:rPr>
              <w:t>传输协议、接收、查询和检索数据、结果上传至</w:t>
            </w:r>
            <w:r>
              <w:rPr>
                <w:rFonts w:hint="eastAsia"/>
              </w:rPr>
              <w:t>PACS</w:t>
            </w:r>
            <w:r>
              <w:rPr>
                <w:rFonts w:hint="eastAsia"/>
              </w:rPr>
              <w:t>：严格遵循医学数字影像通信（</w:t>
            </w:r>
            <w:r>
              <w:rPr>
                <w:rFonts w:hint="eastAsia"/>
              </w:rPr>
              <w:t>DICOM</w:t>
            </w:r>
            <w:r>
              <w:rPr>
                <w:rFonts w:hint="eastAsia"/>
              </w:rPr>
              <w:t>）标准，支持影像的接收、查询、检索，确保平台与医院现有影像归档与通信系统（</w:t>
            </w:r>
            <w:r>
              <w:rPr>
                <w:rFonts w:hint="eastAsia"/>
              </w:rPr>
              <w:t>PACS</w:t>
            </w:r>
            <w:r>
              <w:rPr>
                <w:rFonts w:hint="eastAsia"/>
              </w:rPr>
              <w:t>）之间数据的快速互通，实现高效的数据</w:t>
            </w:r>
            <w:proofErr w:type="gramStart"/>
            <w:r>
              <w:rPr>
                <w:rFonts w:hint="eastAsia"/>
              </w:rPr>
              <w:t>交互和</w:t>
            </w:r>
            <w:proofErr w:type="gramEnd"/>
            <w:r>
              <w:rPr>
                <w:rFonts w:hint="eastAsia"/>
              </w:rPr>
              <w:t>无缝对接；</w:t>
            </w:r>
          </w:p>
        </w:tc>
      </w:tr>
      <w:tr w:rsidR="001D5DF8" w14:paraId="59736332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B3B9C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755AB559" w14:textId="77777777" w:rsidR="001D5DF8" w:rsidRDefault="001D5DF8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03D4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t>图像显示与交互功能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BB675" w14:textId="77777777" w:rsidR="001D5DF8" w:rsidRDefault="004E2C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、可处理</w:t>
            </w:r>
            <w:r>
              <w:rPr>
                <w:rFonts w:hint="eastAsia"/>
              </w:rPr>
              <w:t>JPEG2000</w:t>
            </w:r>
            <w:r>
              <w:rPr>
                <w:rFonts w:hint="eastAsia"/>
              </w:rPr>
              <w:t>压缩格式的医学影像文件，实现快速加载及高质量影像显示，支持实时的影像浏览和快速翻页；</w:t>
            </w:r>
          </w:p>
        </w:tc>
      </w:tr>
      <w:tr w:rsidR="001D5DF8" w14:paraId="0932E2CE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153F3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FEE70E3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396D859D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BA703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t>提供同步浏览多序列影像的功能，用户可以通过直观的拖</w:t>
            </w:r>
            <w:proofErr w:type="gramStart"/>
            <w:r>
              <w:t>放快速</w:t>
            </w:r>
            <w:proofErr w:type="gramEnd"/>
            <w:r>
              <w:t>导入和定位所需的图像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02E477E6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39B9B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6E54793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34F7AA12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44A56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t>提供高效易用的二维、三维测量工具，包括直线、面积、体积等测量功能，可实现精确快速的影像数据测量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3AA2F3D0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85DF1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498A08C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5E53FBF7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61C27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>
              <w:t>具备加载患者历史影像数据的能力，进行新旧影像的对比分析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1D5DF8" w14:paraId="74C702A1" w14:textId="77777777">
        <w:trPr>
          <w:trHeight w:val="54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03EC4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2524B4A1" w14:textId="77777777" w:rsidR="001D5DF8" w:rsidRDefault="001D5DF8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24CA6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t>工作流程管理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32CB6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</w:t>
            </w:r>
            <w:r>
              <w:t>支持多个应用模块同时并行运行，可在同一平台内同步处理不同患者数据或不同分析任务，无需频繁切换界面或应用软件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5C327945" w14:textId="77777777">
        <w:trPr>
          <w:trHeight w:val="54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41D86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65D8F32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B521F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A4AC1" w14:textId="77777777" w:rsidR="001D5DF8" w:rsidRDefault="004E2CD5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t>提供集中式的数据存储和管理方案，允许多个用户同时访问和操作数据库，实现协作办公的便捷性和高效性，同时确保数据一致性和安全性</w:t>
            </w:r>
            <w:r>
              <w:rPr>
                <w:rFonts w:hint="eastAsia"/>
              </w:rPr>
              <w:t>；</w:t>
            </w:r>
          </w:p>
        </w:tc>
      </w:tr>
      <w:tr w:rsidR="001D5DF8" w14:paraId="4CA2ABAB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CC364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11A09DBC" w14:textId="77777777" w:rsidR="001D5DF8" w:rsidRDefault="001D5DF8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18E20" w14:textId="77777777" w:rsidR="001D5DF8" w:rsidRDefault="001D5DF8"/>
          <w:p w14:paraId="59CFF6EF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t>临床报告与数据输出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0D29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1、支持</w:t>
            </w:r>
            <w:r>
              <w:t>临床报告全面整合患者的各类影像测量数据和临床注释，允许添加影像截图和重要诊断注释，统一整合成单一文档，支持</w:t>
            </w:r>
            <w:r>
              <w:t>PDF</w:t>
            </w:r>
            <w:r>
              <w:t>和文本格式的输出，便于后续的诊疗参考和数据归档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64660A1D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0ADCB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A380317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21DB41A1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180C5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2、支持</w:t>
            </w:r>
            <w:r>
              <w:t>报告数据支持</w:t>
            </w:r>
            <w:r>
              <w:t>XML</w:t>
            </w:r>
            <w:r>
              <w:t>和</w:t>
            </w:r>
            <w:r>
              <w:t>JSON</w:t>
            </w:r>
            <w:r>
              <w:t>标准化输出，便于进一步的数据分析、挖掘和二次利用，支持临床和科研数据共享及二次开发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1ABDF854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EE0D0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1F236315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2B9CD61A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E6323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t>支持生成结构化的</w:t>
            </w:r>
            <w:r>
              <w:t>DICOM SR</w:t>
            </w:r>
            <w:r>
              <w:t>结果，确保影像数据和分析结果在不同医学系统之间的高效</w:t>
            </w:r>
            <w:proofErr w:type="gramStart"/>
            <w:r>
              <w:t>交互和</w:t>
            </w:r>
            <w:proofErr w:type="gramEnd"/>
            <w:r>
              <w:t>一致性，满足现代医院信息化建设与数据标准化需求</w:t>
            </w:r>
            <w:r>
              <w:rPr>
                <w:rFonts w:hint="eastAsia"/>
              </w:rPr>
              <w:t>。</w:t>
            </w:r>
          </w:p>
        </w:tc>
      </w:tr>
      <w:tr w:rsidR="001D5DF8" w14:paraId="311728E0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BA42E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85655B2" w14:textId="77777777" w:rsidR="001D5DF8" w:rsidRDefault="001D5DF8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27778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t>系统安全与用户管理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DD5FD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</w:t>
            </w:r>
            <w:r>
              <w:t>采用安全、稳定的用户认证机制，保障用户账户安全性，避免未授权访问，防止数据泄露和篡改，满足医疗数据安全的高标准要求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0A20A0E5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7DB4F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6F55FE8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E6D2AF0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502FE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t>平台提供</w:t>
            </w:r>
            <w:r>
              <w:rPr>
                <w:rFonts w:hint="eastAsia"/>
              </w:rPr>
              <w:t>基于</w:t>
            </w:r>
            <w:r>
              <w:t>角色和权限管理功能，根据用户角色设定访问权限，确保用户在权限范围内访问和操作数据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75A1F2DF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923C5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F6E0758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B1C9F73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DC882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t>提供多语言的用户界面和详细的用户操作手册，便于快速掌握和规范使用平台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1D5DF8" w14:paraId="70EFFE5D" w14:textId="77777777">
        <w:trPr>
          <w:trHeight w:val="280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E3908" w14:textId="77777777" w:rsidR="001D5DF8" w:rsidRDefault="004E2CD5">
            <w:r>
              <w:t>2</w:t>
            </w: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vAlign w:val="center"/>
          </w:tcPr>
          <w:p w14:paraId="71DA954C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心脏冠脉分析模块（科研升级版）</w:t>
            </w:r>
          </w:p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016570CC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t>冠状动脉树</w:t>
            </w:r>
            <w:r>
              <w:rPr>
                <w:rFonts w:hint="eastAsia"/>
              </w:rPr>
              <w:t>半</w:t>
            </w:r>
            <w:r>
              <w:t>自动化分析与编辑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4EB9F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1、支持基于</w:t>
            </w:r>
            <w:r>
              <w:t>AI</w:t>
            </w:r>
            <w:r>
              <w:t>算法</w:t>
            </w:r>
            <w:r>
              <w:rPr>
                <w:rFonts w:hint="eastAsia"/>
              </w:rPr>
              <w:t>的</w:t>
            </w:r>
            <w:r>
              <w:t>自动识别并提取冠状动脉树结构，无需人工干预，即可获得完整且准确的冠脉树模型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354CED40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FBDE4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13147A6B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3A92341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A39EC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t>支持快速的半自动编辑工具，用户可轻松地调整冠脉树的识别错误，精确修正分支路径及其分布情况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3179B46D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75411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6E50E6A4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30AD12F2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CA102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3、支持</w:t>
            </w:r>
            <w:r>
              <w:t>自动依据</w:t>
            </w:r>
            <w:r>
              <w:t>AHA</w:t>
            </w:r>
            <w:r>
              <w:t>标准冠状动脉解剖命名法，对每个血管分支和节段进行标记，快速识别血管位置和病变区域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57033EB1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BB42A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6CAB52FF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039BF322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B0172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>
              <w:t>支持同时并行处理多条冠状动脉，便于综合判断冠状动脉的整体病变情况</w:t>
            </w:r>
            <w:r>
              <w:rPr>
                <w:rFonts w:hint="eastAsia"/>
              </w:rPr>
              <w:t>。</w:t>
            </w:r>
          </w:p>
        </w:tc>
      </w:tr>
      <w:tr w:rsidR="001D5DF8" w14:paraId="7F3E6176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F787E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7E5E4C31" w14:textId="77777777" w:rsidR="001D5DF8" w:rsidRDefault="001D5DF8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029DEC84" w14:textId="77777777" w:rsidR="001D5DF8" w:rsidRDefault="004E2CD5">
            <w:r>
              <w:t>血管轮廓精细化分析工具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7290A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1、支持</w:t>
            </w:r>
            <w:r>
              <w:t>纵向快速检测，以获得血管轮廓的初步边界，并提供直观易用的界面快速修正异常轮廓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76D3B167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A7BB4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CF88920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25B15736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B6A24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2、支持</w:t>
            </w:r>
            <w:r>
              <w:t>基于纵向检测结果，在血管横截面视图中进一步精细修正轮廓，确保边界的高精度识别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5162A266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60126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7976E425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611B5B5F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D3622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t>提供纵向和横截面两种视图同时交互编辑功能，用户可实时调整和修正轮廓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23806217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8F6EB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C254F97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E6B32DE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B2E6A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4、支持</w:t>
            </w:r>
            <w:r>
              <w:t>利用同步的拉伸多平面重建（</w:t>
            </w:r>
            <w:r>
              <w:t>Stretched MPR</w:t>
            </w:r>
            <w:r>
              <w:t>）、曲面重建（</w:t>
            </w:r>
            <w:r>
              <w:t>CPR</w:t>
            </w:r>
            <w:r>
              <w:t>）和图表</w:t>
            </w:r>
            <w:proofErr w:type="gramStart"/>
            <w:r>
              <w:t>化数据</w:t>
            </w:r>
            <w:proofErr w:type="gramEnd"/>
            <w:r>
              <w:t>视图，灵活精准地定位和识别冠状动脉病变位置与特征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11C6844E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D6A3C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E412497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4256F72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16A43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5、提供</w:t>
            </w:r>
            <w:r>
              <w:t>易于学习和掌握的两步式轮廓编辑流程，显著减少学习成本和分析时间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15F2A22D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420D5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C5C4C44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5BE6B214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AA041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6、支持</w:t>
            </w:r>
            <w:r>
              <w:t>自动对</w:t>
            </w:r>
            <w:r>
              <w:rPr>
                <w:rFonts w:hint="eastAsia"/>
              </w:rPr>
              <w:t>冠脉</w:t>
            </w:r>
            <w:r>
              <w:t>血管节段进行标注，便于后续的统计分析和临床报告的生成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1D5DF8" w14:paraId="40C3D615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2BA3D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ACF6BE2" w14:textId="77777777" w:rsidR="001D5DF8" w:rsidRDefault="001D5DF8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626AA002" w14:textId="77777777" w:rsidR="001D5DF8" w:rsidRDefault="004E2CD5">
            <w:r>
              <w:t>冠状动脉管腔与斑块定量分析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9490A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</w:t>
            </w:r>
            <w:r>
              <w:t>定量测量冠脉狭窄区域的直径和面积百分比，精准评估冠状动脉病变的严重程度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7FD51E78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0A652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3A94F2A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014EBAA7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B5B94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2、支持</w:t>
            </w:r>
            <w:r>
              <w:t>精确量化病变区域的纵向长度，帮助评估病变范围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1359B87D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ADA28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0000B93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CC8AE1E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C72B7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t>提供斑块负荷、斑块体积分析，支持按病变、血管节段分别统计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047C71CE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0517E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6BA3417C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11435C5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FACFF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4、提供</w:t>
            </w:r>
            <w:r>
              <w:t>量化冠状动脉的重塑指数，评估</w:t>
            </w:r>
            <w:r>
              <w:rPr>
                <w:rFonts w:hint="eastAsia"/>
              </w:rPr>
              <w:t>冠脉</w:t>
            </w:r>
            <w:r>
              <w:t>重塑的病理变化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155A9F6E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6A952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CBAA089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6EAD50E7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5A369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5、提供</w:t>
            </w:r>
            <w:r>
              <w:t>计算斑块和管腔区域的平均</w:t>
            </w:r>
            <w:r>
              <w:t>CT</w:t>
            </w:r>
            <w:r>
              <w:t>密度（</w:t>
            </w:r>
            <w:r>
              <w:t>HU</w:t>
            </w:r>
            <w:r>
              <w:t>值），用于更详细的组织特性分析，帮助识别不同类型的斑块性质</w:t>
            </w:r>
            <w:r>
              <w:rPr>
                <w:rFonts w:hint="eastAsia"/>
              </w:rPr>
              <w:t>。</w:t>
            </w:r>
          </w:p>
        </w:tc>
      </w:tr>
      <w:tr w:rsidR="001D5DF8" w14:paraId="7EC121DB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F1D51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C1494A6" w14:textId="77777777" w:rsidR="001D5DF8" w:rsidRDefault="001D5DF8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1C97978C" w14:textId="77777777" w:rsidR="001D5DF8" w:rsidRDefault="004E2CD5">
            <w:r>
              <w:t>斑块定性与冠脉周围脂肪组</w:t>
            </w:r>
            <w:r>
              <w:lastRenderedPageBreak/>
              <w:t>织（</w:t>
            </w:r>
            <w:r>
              <w:t>PVAT</w:t>
            </w:r>
            <w:r>
              <w:t>）分析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D9745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1、提供</w:t>
            </w:r>
            <w:r>
              <w:t>固定阈值与自适应阈值方法，精确分析和区分斑块成分，识别脂质、纤维</w:t>
            </w:r>
            <w:r>
              <w:rPr>
                <w:rFonts w:hint="eastAsia"/>
              </w:rPr>
              <w:t>化</w:t>
            </w:r>
            <w:r>
              <w:t>、钙化等不同类型斑块，提高病变分类的准确性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4FC63085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01D9F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DDD1D47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6B8EF54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265C0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t>提供基于虚拟组织学的斑块成分分类（如纤维</w:t>
            </w:r>
            <w:r>
              <w:rPr>
                <w:rFonts w:hint="eastAsia"/>
              </w:rPr>
              <w:t>化</w:t>
            </w:r>
            <w:r>
              <w:t>、脂质核心、钙化区域），进一步明确斑块性质和潜在临床风险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15FB373F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74330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05C95398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1798A8D1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10F0D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t>精确量化冠脉周围脂肪组织特征，评估冠状动脉炎症状态和心血管疾病风险</w:t>
            </w:r>
            <w:r>
              <w:rPr>
                <w:rFonts w:hint="eastAsia"/>
              </w:rPr>
              <w:t>。</w:t>
            </w:r>
          </w:p>
        </w:tc>
      </w:tr>
      <w:tr w:rsidR="001D5DF8" w14:paraId="62BF218A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C3B4A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720B7F57" w14:textId="77777777" w:rsidR="001D5DF8" w:rsidRDefault="001D5DF8"/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3E211761" w14:textId="77777777" w:rsidR="001D5DF8" w:rsidRDefault="004E2CD5">
            <w:r>
              <w:t>数据导出与三维可视化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AB7F0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</w:t>
            </w:r>
            <w:r>
              <w:t>分析结果（冠脉树、轮廓、病变参数、节段标记）均可保存并随时重新加载，便于复查、共享及后续深入分析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2ECE7E1F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DEF7B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3E3918E7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2F7D19E1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69CE9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>
              <w:t>支持分析数据导出为</w:t>
            </w:r>
            <w:r>
              <w:t>Excel</w:t>
            </w:r>
            <w:r>
              <w:t>表格或复制至剪贴板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7784AD95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3A360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57CF5BBC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48FF2E8A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93C8D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t>可将多位患者的分析结果批量导出整合到单一表格中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1D5DF8" w14:paraId="243D272E" w14:textId="77777777">
        <w:trPr>
          <w:trHeight w:val="28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9D31E" w14:textId="77777777" w:rsidR="001D5DF8" w:rsidRDefault="001D5DF8"/>
        </w:tc>
        <w:tc>
          <w:tcPr>
            <w:tcW w:w="1425" w:type="dxa"/>
            <w:vMerge/>
            <w:tcBorders>
              <w:tl2br w:val="nil"/>
              <w:tr2bl w:val="nil"/>
            </w:tcBorders>
            <w:vAlign w:val="center"/>
          </w:tcPr>
          <w:p w14:paraId="15F50775" w14:textId="77777777" w:rsidR="001D5DF8" w:rsidRDefault="001D5DF8"/>
        </w:tc>
        <w:tc>
          <w:tcPr>
            <w:tcW w:w="1591" w:type="dxa"/>
            <w:vMerge/>
            <w:tcBorders>
              <w:tl2br w:val="nil"/>
              <w:tr2bl w:val="nil"/>
            </w:tcBorders>
            <w:vAlign w:val="center"/>
          </w:tcPr>
          <w:p w14:paraId="742BDA02" w14:textId="77777777" w:rsidR="001D5DF8" w:rsidRDefault="001D5DF8"/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77C02" w14:textId="77777777" w:rsidR="001D5DF8" w:rsidRDefault="004E2C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>
              <w:t>提供快速灵活的影像截图功能，支持多种格式（</w:t>
            </w:r>
            <w:r>
              <w:t>JPEG</w:t>
            </w:r>
            <w:r>
              <w:t>、</w:t>
            </w:r>
            <w:r>
              <w:t>PNG</w:t>
            </w:r>
            <w:r>
              <w:t>、</w:t>
            </w:r>
            <w:r>
              <w:t>DICOM</w:t>
            </w:r>
            <w:r>
              <w:t>），便于文档、病例报告和</w:t>
            </w:r>
            <w:proofErr w:type="gramStart"/>
            <w:r>
              <w:t>临床会议</w:t>
            </w:r>
            <w:proofErr w:type="gramEnd"/>
            <w:r>
              <w:t>的高效展示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</w:tc>
      </w:tr>
    </w:tbl>
    <w:p w14:paraId="19E0B0ED" w14:textId="77777777" w:rsidR="001D5DF8" w:rsidRDefault="001D5DF8"/>
    <w:p w14:paraId="4D3C352F" w14:textId="77777777" w:rsidR="001D5DF8" w:rsidRDefault="001D5DF8"/>
    <w:p w14:paraId="780B8709" w14:textId="77777777" w:rsidR="001D5DF8" w:rsidRDefault="004E2CD5">
      <w:pPr>
        <w:pStyle w:val="1"/>
        <w:numPr>
          <w:ilvl w:val="0"/>
          <w:numId w:val="3"/>
        </w:numPr>
      </w:pPr>
      <w:bookmarkStart w:id="2" w:name="_6.1.2、容器服务器"/>
      <w:bookmarkEnd w:id="2"/>
      <w:r>
        <w:rPr>
          <w:rFonts w:hint="eastAsia"/>
        </w:rPr>
        <w:t>项目工期</w:t>
      </w:r>
    </w:p>
    <w:p w14:paraId="15236B11" w14:textId="77777777" w:rsidR="001D5DF8" w:rsidRDefault="004E2CD5">
      <w:pPr>
        <w:pStyle w:val="af4"/>
        <w:numPr>
          <w:ilvl w:val="0"/>
          <w:numId w:val="4"/>
        </w:numPr>
        <w:jc w:val="left"/>
      </w:pPr>
      <w:r>
        <w:rPr>
          <w:rFonts w:hint="eastAsia"/>
        </w:rPr>
        <w:t>自合同签订之日起，在</w:t>
      </w:r>
      <w:r>
        <w:rPr>
          <w:rFonts w:hint="eastAsia"/>
          <w:lang w:val="en-US"/>
        </w:rPr>
        <w:t>30</w:t>
      </w:r>
      <w:r>
        <w:rPr>
          <w:rFonts w:hint="eastAsia"/>
        </w:rPr>
        <w:t>个工作日内</w:t>
      </w:r>
      <w:r>
        <w:rPr>
          <w:rFonts w:hint="eastAsia"/>
          <w:lang w:val="en-US"/>
        </w:rPr>
        <w:t>完成软件安装部署</w:t>
      </w:r>
      <w:r>
        <w:rPr>
          <w:rFonts w:hint="eastAsia"/>
        </w:rPr>
        <w:t>。</w:t>
      </w:r>
    </w:p>
    <w:p w14:paraId="30B6361B" w14:textId="77777777" w:rsidR="001D5DF8" w:rsidRDefault="004E2CD5">
      <w:pPr>
        <w:pStyle w:val="af4"/>
        <w:numPr>
          <w:ilvl w:val="0"/>
          <w:numId w:val="4"/>
        </w:numPr>
        <w:jc w:val="left"/>
      </w:pPr>
      <w:r>
        <w:rPr>
          <w:rFonts w:hint="eastAsia"/>
        </w:rPr>
        <w:t>软件</w:t>
      </w:r>
      <w:r>
        <w:rPr>
          <w:rFonts w:hint="eastAsia"/>
          <w:lang w:val="en-US"/>
        </w:rPr>
        <w:t>激活正式</w:t>
      </w:r>
      <w:r>
        <w:rPr>
          <w:rFonts w:hint="eastAsia"/>
        </w:rPr>
        <w:t>实施运行1个月后，无软件故障出现，则向院方申请验收。</w:t>
      </w:r>
    </w:p>
    <w:p w14:paraId="259BBECF" w14:textId="77777777" w:rsidR="001D5DF8" w:rsidRDefault="001D5DF8"/>
    <w:p w14:paraId="2D4502EE" w14:textId="77777777" w:rsidR="001D5DF8" w:rsidRDefault="004E2CD5">
      <w:pPr>
        <w:pStyle w:val="1"/>
        <w:numPr>
          <w:ilvl w:val="0"/>
          <w:numId w:val="3"/>
        </w:numPr>
      </w:pPr>
      <w:r>
        <w:rPr>
          <w:rFonts w:hint="eastAsia"/>
        </w:rPr>
        <w:t>集成技术及实施服务要求</w:t>
      </w:r>
    </w:p>
    <w:p w14:paraId="0420DB34" w14:textId="77777777" w:rsidR="001D5DF8" w:rsidRDefault="004E2CD5">
      <w:pPr>
        <w:pStyle w:val="af4"/>
        <w:numPr>
          <w:ilvl w:val="0"/>
          <w:numId w:val="5"/>
        </w:numPr>
        <w:jc w:val="left"/>
      </w:pPr>
      <w:r>
        <w:rPr>
          <w:rFonts w:hint="eastAsia"/>
        </w:rPr>
        <w:t>项目实为远程实施，工作时间与院方工作时间一致，并且提供7*24小时响应服务</w:t>
      </w:r>
    </w:p>
    <w:p w14:paraId="332E3B1C" w14:textId="77777777" w:rsidR="001D5DF8" w:rsidRDefault="004E2CD5">
      <w:pPr>
        <w:pStyle w:val="af4"/>
        <w:numPr>
          <w:ilvl w:val="0"/>
          <w:numId w:val="5"/>
        </w:numPr>
        <w:jc w:val="left"/>
      </w:pPr>
      <w:r>
        <w:rPr>
          <w:rFonts w:hint="eastAsia"/>
        </w:rPr>
        <w:t>项目承建商需根据院方的详细需求，提交项目系统的安装、调试及培训实施方案，方案得到院方确认后实施，保证系统按时、正常地投入运行。</w:t>
      </w:r>
    </w:p>
    <w:p w14:paraId="2FF8D01A" w14:textId="77777777" w:rsidR="001D5DF8" w:rsidRDefault="004E2CD5">
      <w:pPr>
        <w:pStyle w:val="af4"/>
        <w:numPr>
          <w:ilvl w:val="0"/>
          <w:numId w:val="5"/>
        </w:numPr>
        <w:jc w:val="left"/>
      </w:pPr>
      <w:r>
        <w:rPr>
          <w:rFonts w:hint="eastAsia"/>
        </w:rPr>
        <w:t>项目承建商应为院方进行培训，包括使用培训和维护培训。承建商应提出详细的培训计划，提供培训教材。技术培训的内容必须覆盖产品的安装、日常操作和管理维护。</w:t>
      </w:r>
    </w:p>
    <w:p w14:paraId="12F760FF" w14:textId="77777777" w:rsidR="001D5DF8" w:rsidRDefault="004E2CD5">
      <w:pPr>
        <w:pStyle w:val="af4"/>
        <w:numPr>
          <w:ilvl w:val="0"/>
          <w:numId w:val="5"/>
        </w:numPr>
        <w:jc w:val="left"/>
      </w:pPr>
      <w:r>
        <w:rPr>
          <w:rFonts w:hint="eastAsia"/>
        </w:rPr>
        <w:t>验收由承建商给出具体的验收计划、测试的内容和方法，经院方审核通过后，方可进行验收测试。</w:t>
      </w:r>
    </w:p>
    <w:p w14:paraId="08E9933D" w14:textId="77777777" w:rsidR="001D5DF8" w:rsidRDefault="001D5DF8"/>
    <w:p w14:paraId="6E995DC9" w14:textId="77777777" w:rsidR="001D5DF8" w:rsidRDefault="004E2CD5">
      <w:pPr>
        <w:pStyle w:val="1"/>
        <w:numPr>
          <w:ilvl w:val="0"/>
          <w:numId w:val="3"/>
        </w:numPr>
      </w:pPr>
      <w:r>
        <w:rPr>
          <w:rFonts w:hint="eastAsia"/>
        </w:rPr>
        <w:lastRenderedPageBreak/>
        <w:t>后续维护服务</w:t>
      </w:r>
    </w:p>
    <w:p w14:paraId="5D887AB9" w14:textId="77777777" w:rsidR="001D5DF8" w:rsidRDefault="004E2CD5">
      <w:pPr>
        <w:pStyle w:val="af4"/>
        <w:ind w:left="0" w:firstLineChars="300" w:firstLine="720"/>
        <w:jc w:val="left"/>
      </w:pPr>
      <w:r>
        <w:rPr>
          <w:rFonts w:hint="eastAsia"/>
        </w:rPr>
        <w:t>该软件享受</w:t>
      </w:r>
      <w:r>
        <w:rPr>
          <w:rFonts w:hint="eastAsia"/>
          <w:lang w:val="en-US"/>
        </w:rPr>
        <w:t>1</w:t>
      </w:r>
      <w:r>
        <w:rPr>
          <w:rFonts w:hint="eastAsia"/>
        </w:rPr>
        <w:t>年</w:t>
      </w:r>
      <w:r>
        <w:rPr>
          <w:rFonts w:hint="eastAsia"/>
          <w:lang w:val="en-US"/>
        </w:rPr>
        <w:t>免费</w:t>
      </w:r>
      <w:r>
        <w:rPr>
          <w:rFonts w:hint="eastAsia"/>
        </w:rPr>
        <w:t>维护期。在维护期内，承建商提供技术支持和指导，以及软件的局部改进完善以及故障情况下的现场问题解决。任何软件缺陷必须由承建商负责修复，在修复之后，承建商应将缺陷原因、修复内容、完成修理及恢复正常的时间和日期等报告给院方，形成项目总结报告。</w:t>
      </w:r>
    </w:p>
    <w:p w14:paraId="07640C6E" w14:textId="77777777" w:rsidR="001D5DF8" w:rsidRDefault="001D5DF8"/>
    <w:p w14:paraId="05FD85FC" w14:textId="77777777" w:rsidR="001D5DF8" w:rsidRDefault="004E2CD5">
      <w:pPr>
        <w:pStyle w:val="1"/>
        <w:numPr>
          <w:ilvl w:val="0"/>
          <w:numId w:val="3"/>
        </w:numPr>
      </w:pPr>
      <w:r>
        <w:rPr>
          <w:rFonts w:hint="eastAsia"/>
        </w:rPr>
        <w:t>合同款支付方式</w:t>
      </w:r>
    </w:p>
    <w:p w14:paraId="4451E9A8" w14:textId="197C5357" w:rsidR="001D5DF8" w:rsidRDefault="004E2CD5">
      <w:pPr>
        <w:pStyle w:val="af4"/>
        <w:numPr>
          <w:ilvl w:val="0"/>
          <w:numId w:val="6"/>
        </w:numPr>
      </w:pPr>
      <w:r>
        <w:rPr>
          <w:rFonts w:hint="eastAsia"/>
        </w:rPr>
        <w:t>合同签订后，在收到承建商开具相应金额正式发票后，支付合同总金额的</w:t>
      </w:r>
      <w:r w:rsidR="00B5367A">
        <w:rPr>
          <w:lang w:val="en-US"/>
        </w:rPr>
        <w:t>3</w:t>
      </w:r>
      <w:r>
        <w:t>0</w:t>
      </w:r>
      <w:r>
        <w:rPr>
          <w:rFonts w:hint="eastAsia"/>
        </w:rPr>
        <w:t>%。</w:t>
      </w:r>
    </w:p>
    <w:p w14:paraId="1279B4CE" w14:textId="44A59338" w:rsidR="001D5DF8" w:rsidRDefault="004E2CD5">
      <w:pPr>
        <w:pStyle w:val="af4"/>
        <w:numPr>
          <w:ilvl w:val="0"/>
          <w:numId w:val="6"/>
        </w:numPr>
      </w:pPr>
      <w:r>
        <w:rPr>
          <w:rFonts w:hint="eastAsia"/>
        </w:rPr>
        <w:t>验收通过后，在收到承建商开具相应金额正式发票后，支付合同总金额的</w:t>
      </w:r>
      <w:r w:rsidR="00B5367A">
        <w:rPr>
          <w:lang w:val="en-US"/>
        </w:rPr>
        <w:t>7</w:t>
      </w:r>
      <w:r>
        <w:rPr>
          <w:rFonts w:hint="eastAsia"/>
        </w:rPr>
        <w:t>0%。</w:t>
      </w:r>
    </w:p>
    <w:p w14:paraId="141F7C75" w14:textId="77777777" w:rsidR="001D5DF8" w:rsidRDefault="001D5DF8"/>
    <w:p w14:paraId="215797FB" w14:textId="77777777" w:rsidR="001D5DF8" w:rsidRDefault="001D5DF8"/>
    <w:sectPr w:rsidR="001D5DF8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8FCA6" w14:textId="77777777" w:rsidR="004675EF" w:rsidRDefault="004675EF">
      <w:r>
        <w:separator/>
      </w:r>
    </w:p>
  </w:endnote>
  <w:endnote w:type="continuationSeparator" w:id="0">
    <w:p w14:paraId="2175050E" w14:textId="77777777" w:rsidR="004675EF" w:rsidRDefault="0046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egoe UI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A5228" w14:textId="77777777" w:rsidR="001D5DF8" w:rsidRDefault="004E2CD5">
    <w:pPr>
      <w:pStyle w:val="a9"/>
    </w:pPr>
    <w:r>
      <w:fldChar w:fldCharType="begin"/>
    </w:r>
    <w:r>
      <w:instrText>PAGE   \* MERGEFORMAT</w:instrText>
    </w:r>
    <w:r>
      <w:fldChar w:fldCharType="separate"/>
    </w:r>
    <w:r w:rsidR="00D83C03">
      <w:rPr>
        <w:noProof/>
      </w:rPr>
      <w:t>2</w:t>
    </w:r>
    <w:r>
      <w:fldChar w:fldCharType="end"/>
    </w:r>
  </w:p>
  <w:p w14:paraId="333436E8" w14:textId="77777777" w:rsidR="001D5DF8" w:rsidRDefault="001D5DF8"/>
  <w:p w14:paraId="6695A899" w14:textId="77777777" w:rsidR="001D5DF8" w:rsidRDefault="001D5DF8"/>
  <w:p w14:paraId="2ED53F34" w14:textId="77777777" w:rsidR="001D5DF8" w:rsidRDefault="001D5D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DC11" w14:textId="77777777" w:rsidR="004675EF" w:rsidRDefault="004675EF">
      <w:r>
        <w:separator/>
      </w:r>
    </w:p>
  </w:footnote>
  <w:footnote w:type="continuationSeparator" w:id="0">
    <w:p w14:paraId="5B375956" w14:textId="77777777" w:rsidR="004675EF" w:rsidRDefault="00467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A20D7F"/>
    <w:multiLevelType w:val="singleLevel"/>
    <w:tmpl w:val="ADA20D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53ADBD0"/>
    <w:multiLevelType w:val="singleLevel"/>
    <w:tmpl w:val="253ADB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34C26430"/>
    <w:multiLevelType w:val="singleLevel"/>
    <w:tmpl w:val="34C264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EBB3C91"/>
    <w:multiLevelType w:val="multilevel"/>
    <w:tmpl w:val="3EBB3C91"/>
    <w:lvl w:ilvl="0">
      <w:start w:val="1"/>
      <w:numFmt w:val="decimal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NjIxYTAwM2Y0YWRiZGNlZWRjNWNlMzJiM2Q2NWU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66F7A"/>
    <w:rsid w:val="000714F8"/>
    <w:rsid w:val="00074EDD"/>
    <w:rsid w:val="000757C1"/>
    <w:rsid w:val="00086AE0"/>
    <w:rsid w:val="0009064D"/>
    <w:rsid w:val="00090A18"/>
    <w:rsid w:val="000A634A"/>
    <w:rsid w:val="000B13F7"/>
    <w:rsid w:val="000B41B7"/>
    <w:rsid w:val="000B5B9E"/>
    <w:rsid w:val="000D5317"/>
    <w:rsid w:val="000E276C"/>
    <w:rsid w:val="000F39D2"/>
    <w:rsid w:val="00106D68"/>
    <w:rsid w:val="001106CE"/>
    <w:rsid w:val="001107F8"/>
    <w:rsid w:val="001116F6"/>
    <w:rsid w:val="00115A30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48BA"/>
    <w:rsid w:val="00156B1F"/>
    <w:rsid w:val="001628F4"/>
    <w:rsid w:val="00162D29"/>
    <w:rsid w:val="00164878"/>
    <w:rsid w:val="00165091"/>
    <w:rsid w:val="00170816"/>
    <w:rsid w:val="00171903"/>
    <w:rsid w:val="0018200C"/>
    <w:rsid w:val="001833B6"/>
    <w:rsid w:val="00190CD2"/>
    <w:rsid w:val="00194BFE"/>
    <w:rsid w:val="001A1295"/>
    <w:rsid w:val="001A22A1"/>
    <w:rsid w:val="001A7F1C"/>
    <w:rsid w:val="001B4850"/>
    <w:rsid w:val="001B7966"/>
    <w:rsid w:val="001B7D79"/>
    <w:rsid w:val="001C124F"/>
    <w:rsid w:val="001C23B3"/>
    <w:rsid w:val="001C615F"/>
    <w:rsid w:val="001C7BC6"/>
    <w:rsid w:val="001D4A68"/>
    <w:rsid w:val="001D5DF8"/>
    <w:rsid w:val="001D6BE6"/>
    <w:rsid w:val="001D7749"/>
    <w:rsid w:val="001E3B38"/>
    <w:rsid w:val="001E6AA1"/>
    <w:rsid w:val="00200054"/>
    <w:rsid w:val="002000DE"/>
    <w:rsid w:val="00202EFF"/>
    <w:rsid w:val="0020509F"/>
    <w:rsid w:val="00207A96"/>
    <w:rsid w:val="0021063E"/>
    <w:rsid w:val="00214A6F"/>
    <w:rsid w:val="00221F1F"/>
    <w:rsid w:val="00223E47"/>
    <w:rsid w:val="00241D77"/>
    <w:rsid w:val="002509F5"/>
    <w:rsid w:val="002535AA"/>
    <w:rsid w:val="00257399"/>
    <w:rsid w:val="00261CBC"/>
    <w:rsid w:val="00265DE7"/>
    <w:rsid w:val="00270260"/>
    <w:rsid w:val="002722CA"/>
    <w:rsid w:val="00280309"/>
    <w:rsid w:val="002834D3"/>
    <w:rsid w:val="002853BF"/>
    <w:rsid w:val="00292528"/>
    <w:rsid w:val="002A01D6"/>
    <w:rsid w:val="002A4778"/>
    <w:rsid w:val="002C2464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50D"/>
    <w:rsid w:val="00322973"/>
    <w:rsid w:val="003325F0"/>
    <w:rsid w:val="00341038"/>
    <w:rsid w:val="003516B5"/>
    <w:rsid w:val="00352E7C"/>
    <w:rsid w:val="00353276"/>
    <w:rsid w:val="00360458"/>
    <w:rsid w:val="00366980"/>
    <w:rsid w:val="00370A5D"/>
    <w:rsid w:val="003802E2"/>
    <w:rsid w:val="00385E95"/>
    <w:rsid w:val="00385FED"/>
    <w:rsid w:val="00391348"/>
    <w:rsid w:val="00397B7E"/>
    <w:rsid w:val="003A7269"/>
    <w:rsid w:val="003B0279"/>
    <w:rsid w:val="003C0FB7"/>
    <w:rsid w:val="003C6D81"/>
    <w:rsid w:val="003C7ED3"/>
    <w:rsid w:val="003D0F80"/>
    <w:rsid w:val="003D2595"/>
    <w:rsid w:val="003D4054"/>
    <w:rsid w:val="003E3986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675EF"/>
    <w:rsid w:val="00474AE0"/>
    <w:rsid w:val="0047796F"/>
    <w:rsid w:val="00482931"/>
    <w:rsid w:val="00491A50"/>
    <w:rsid w:val="00495574"/>
    <w:rsid w:val="00496749"/>
    <w:rsid w:val="004A44FF"/>
    <w:rsid w:val="004C13A2"/>
    <w:rsid w:val="004C2C5B"/>
    <w:rsid w:val="004E2CD5"/>
    <w:rsid w:val="004E2D8F"/>
    <w:rsid w:val="004E5E61"/>
    <w:rsid w:val="004F1410"/>
    <w:rsid w:val="00500264"/>
    <w:rsid w:val="00510B1E"/>
    <w:rsid w:val="005120A9"/>
    <w:rsid w:val="00515406"/>
    <w:rsid w:val="00515AC5"/>
    <w:rsid w:val="00517D7C"/>
    <w:rsid w:val="00520646"/>
    <w:rsid w:val="00520D1D"/>
    <w:rsid w:val="0052176F"/>
    <w:rsid w:val="0052604B"/>
    <w:rsid w:val="0053088D"/>
    <w:rsid w:val="00534BF6"/>
    <w:rsid w:val="00537CDE"/>
    <w:rsid w:val="005409FC"/>
    <w:rsid w:val="005563D3"/>
    <w:rsid w:val="00560FB5"/>
    <w:rsid w:val="00575F76"/>
    <w:rsid w:val="005766CE"/>
    <w:rsid w:val="00580F0E"/>
    <w:rsid w:val="00591388"/>
    <w:rsid w:val="0059358B"/>
    <w:rsid w:val="005944F9"/>
    <w:rsid w:val="00596428"/>
    <w:rsid w:val="00596CC5"/>
    <w:rsid w:val="005A044C"/>
    <w:rsid w:val="005A4D1C"/>
    <w:rsid w:val="005B046D"/>
    <w:rsid w:val="005B2587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2DF"/>
    <w:rsid w:val="00600923"/>
    <w:rsid w:val="006053FC"/>
    <w:rsid w:val="00605F9A"/>
    <w:rsid w:val="00612F3F"/>
    <w:rsid w:val="00612FE6"/>
    <w:rsid w:val="00620E68"/>
    <w:rsid w:val="00623637"/>
    <w:rsid w:val="00624E7A"/>
    <w:rsid w:val="006279C6"/>
    <w:rsid w:val="00637AEE"/>
    <w:rsid w:val="00644F1D"/>
    <w:rsid w:val="00646B59"/>
    <w:rsid w:val="00656F95"/>
    <w:rsid w:val="0065760C"/>
    <w:rsid w:val="006604C2"/>
    <w:rsid w:val="0066703B"/>
    <w:rsid w:val="0067206D"/>
    <w:rsid w:val="00684D5C"/>
    <w:rsid w:val="006861F5"/>
    <w:rsid w:val="00691933"/>
    <w:rsid w:val="00697FBB"/>
    <w:rsid w:val="006B2085"/>
    <w:rsid w:val="006B21B8"/>
    <w:rsid w:val="006B7B58"/>
    <w:rsid w:val="006C36EB"/>
    <w:rsid w:val="006D3270"/>
    <w:rsid w:val="006D4B15"/>
    <w:rsid w:val="006D59F7"/>
    <w:rsid w:val="006E5E07"/>
    <w:rsid w:val="006F0434"/>
    <w:rsid w:val="006F2362"/>
    <w:rsid w:val="00701D12"/>
    <w:rsid w:val="0070239F"/>
    <w:rsid w:val="007035BA"/>
    <w:rsid w:val="007122DD"/>
    <w:rsid w:val="0072309C"/>
    <w:rsid w:val="0072559E"/>
    <w:rsid w:val="0072695B"/>
    <w:rsid w:val="0073298D"/>
    <w:rsid w:val="0074224C"/>
    <w:rsid w:val="00750A70"/>
    <w:rsid w:val="00752912"/>
    <w:rsid w:val="00755100"/>
    <w:rsid w:val="007556BE"/>
    <w:rsid w:val="007621CC"/>
    <w:rsid w:val="0076668A"/>
    <w:rsid w:val="00771C3E"/>
    <w:rsid w:val="00784C08"/>
    <w:rsid w:val="00785EDF"/>
    <w:rsid w:val="00786A29"/>
    <w:rsid w:val="00795F59"/>
    <w:rsid w:val="007C0A5B"/>
    <w:rsid w:val="007D22AB"/>
    <w:rsid w:val="007E58A8"/>
    <w:rsid w:val="007E71E6"/>
    <w:rsid w:val="007F5726"/>
    <w:rsid w:val="007F5938"/>
    <w:rsid w:val="007F6CE5"/>
    <w:rsid w:val="008168FB"/>
    <w:rsid w:val="00822BA6"/>
    <w:rsid w:val="008419E9"/>
    <w:rsid w:val="00851F7C"/>
    <w:rsid w:val="008548FB"/>
    <w:rsid w:val="008623FD"/>
    <w:rsid w:val="0086385B"/>
    <w:rsid w:val="00866774"/>
    <w:rsid w:val="008668CE"/>
    <w:rsid w:val="00873B97"/>
    <w:rsid w:val="00892133"/>
    <w:rsid w:val="0089683C"/>
    <w:rsid w:val="008A5753"/>
    <w:rsid w:val="008A62AC"/>
    <w:rsid w:val="008B2206"/>
    <w:rsid w:val="008C173E"/>
    <w:rsid w:val="008C255D"/>
    <w:rsid w:val="008D3291"/>
    <w:rsid w:val="008D388C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3AB"/>
    <w:rsid w:val="00995DD9"/>
    <w:rsid w:val="00996405"/>
    <w:rsid w:val="009B11FB"/>
    <w:rsid w:val="009B1A30"/>
    <w:rsid w:val="009B4476"/>
    <w:rsid w:val="009C08FC"/>
    <w:rsid w:val="009C1F02"/>
    <w:rsid w:val="009C3783"/>
    <w:rsid w:val="009C4E7E"/>
    <w:rsid w:val="009D270F"/>
    <w:rsid w:val="009D2F4A"/>
    <w:rsid w:val="009D5A3B"/>
    <w:rsid w:val="009D67C5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012C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D05DC"/>
    <w:rsid w:val="00AE1DD2"/>
    <w:rsid w:val="00AE4106"/>
    <w:rsid w:val="00B12138"/>
    <w:rsid w:val="00B17422"/>
    <w:rsid w:val="00B175C5"/>
    <w:rsid w:val="00B17749"/>
    <w:rsid w:val="00B17AE9"/>
    <w:rsid w:val="00B17C05"/>
    <w:rsid w:val="00B20334"/>
    <w:rsid w:val="00B20819"/>
    <w:rsid w:val="00B225B9"/>
    <w:rsid w:val="00B23151"/>
    <w:rsid w:val="00B24AB1"/>
    <w:rsid w:val="00B36BD9"/>
    <w:rsid w:val="00B41A4C"/>
    <w:rsid w:val="00B43095"/>
    <w:rsid w:val="00B446CA"/>
    <w:rsid w:val="00B5093C"/>
    <w:rsid w:val="00B5367A"/>
    <w:rsid w:val="00B54356"/>
    <w:rsid w:val="00B55FE5"/>
    <w:rsid w:val="00B62917"/>
    <w:rsid w:val="00B74609"/>
    <w:rsid w:val="00B752B2"/>
    <w:rsid w:val="00B77F4C"/>
    <w:rsid w:val="00B80E39"/>
    <w:rsid w:val="00B824A5"/>
    <w:rsid w:val="00B83989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63D0"/>
    <w:rsid w:val="00C17719"/>
    <w:rsid w:val="00C177C6"/>
    <w:rsid w:val="00C20730"/>
    <w:rsid w:val="00C2470A"/>
    <w:rsid w:val="00C335D8"/>
    <w:rsid w:val="00C368E0"/>
    <w:rsid w:val="00C50E12"/>
    <w:rsid w:val="00C52A8D"/>
    <w:rsid w:val="00C54491"/>
    <w:rsid w:val="00C60591"/>
    <w:rsid w:val="00C6367D"/>
    <w:rsid w:val="00C71B43"/>
    <w:rsid w:val="00C74D8F"/>
    <w:rsid w:val="00C751A9"/>
    <w:rsid w:val="00C766DD"/>
    <w:rsid w:val="00C76BDF"/>
    <w:rsid w:val="00C775CE"/>
    <w:rsid w:val="00C8030E"/>
    <w:rsid w:val="00C821B6"/>
    <w:rsid w:val="00C835E7"/>
    <w:rsid w:val="00C91697"/>
    <w:rsid w:val="00C92EAA"/>
    <w:rsid w:val="00C93879"/>
    <w:rsid w:val="00C95E26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967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561F9"/>
    <w:rsid w:val="00D61AE6"/>
    <w:rsid w:val="00D71136"/>
    <w:rsid w:val="00D73CF8"/>
    <w:rsid w:val="00D745D6"/>
    <w:rsid w:val="00D77F36"/>
    <w:rsid w:val="00D83C03"/>
    <w:rsid w:val="00D9057D"/>
    <w:rsid w:val="00DA026E"/>
    <w:rsid w:val="00DA576E"/>
    <w:rsid w:val="00DB0A86"/>
    <w:rsid w:val="00DB57B7"/>
    <w:rsid w:val="00DC33CF"/>
    <w:rsid w:val="00DC3415"/>
    <w:rsid w:val="00DC6672"/>
    <w:rsid w:val="00DD3DE6"/>
    <w:rsid w:val="00DE1F49"/>
    <w:rsid w:val="00DE4534"/>
    <w:rsid w:val="00DF116A"/>
    <w:rsid w:val="00DF3D3A"/>
    <w:rsid w:val="00DF4228"/>
    <w:rsid w:val="00E0258B"/>
    <w:rsid w:val="00E031EF"/>
    <w:rsid w:val="00E0438D"/>
    <w:rsid w:val="00E06670"/>
    <w:rsid w:val="00E17266"/>
    <w:rsid w:val="00E17C55"/>
    <w:rsid w:val="00E20A0B"/>
    <w:rsid w:val="00E40DCB"/>
    <w:rsid w:val="00E47752"/>
    <w:rsid w:val="00E53030"/>
    <w:rsid w:val="00E56652"/>
    <w:rsid w:val="00E62C9E"/>
    <w:rsid w:val="00E63369"/>
    <w:rsid w:val="00E63569"/>
    <w:rsid w:val="00E7231D"/>
    <w:rsid w:val="00E75A77"/>
    <w:rsid w:val="00E80756"/>
    <w:rsid w:val="00E81F96"/>
    <w:rsid w:val="00E8302B"/>
    <w:rsid w:val="00E83E34"/>
    <w:rsid w:val="00E83F8D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C74CB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58C"/>
    <w:rsid w:val="00F04CE5"/>
    <w:rsid w:val="00F13514"/>
    <w:rsid w:val="00F1360F"/>
    <w:rsid w:val="00F16AA8"/>
    <w:rsid w:val="00F21791"/>
    <w:rsid w:val="00F3062E"/>
    <w:rsid w:val="00F31415"/>
    <w:rsid w:val="00F3226A"/>
    <w:rsid w:val="00F33DB0"/>
    <w:rsid w:val="00F45DB8"/>
    <w:rsid w:val="00F47882"/>
    <w:rsid w:val="00F5295F"/>
    <w:rsid w:val="00F54D29"/>
    <w:rsid w:val="00F62BCD"/>
    <w:rsid w:val="00F65C40"/>
    <w:rsid w:val="00F74B77"/>
    <w:rsid w:val="00F764FE"/>
    <w:rsid w:val="00F80625"/>
    <w:rsid w:val="00F827B6"/>
    <w:rsid w:val="00F92BE5"/>
    <w:rsid w:val="00FA0574"/>
    <w:rsid w:val="00FB1AF7"/>
    <w:rsid w:val="00FB4673"/>
    <w:rsid w:val="00FB68D3"/>
    <w:rsid w:val="00FC4B75"/>
    <w:rsid w:val="00FE7554"/>
    <w:rsid w:val="00FF17FE"/>
    <w:rsid w:val="04B1084F"/>
    <w:rsid w:val="07071D1E"/>
    <w:rsid w:val="0C342F5D"/>
    <w:rsid w:val="0CA73CCE"/>
    <w:rsid w:val="15CB1517"/>
    <w:rsid w:val="1E4A3DE9"/>
    <w:rsid w:val="1F7F5EEC"/>
    <w:rsid w:val="205B0656"/>
    <w:rsid w:val="26D00019"/>
    <w:rsid w:val="2CE56E96"/>
    <w:rsid w:val="31913110"/>
    <w:rsid w:val="355C3B7A"/>
    <w:rsid w:val="372E5CCF"/>
    <w:rsid w:val="42200080"/>
    <w:rsid w:val="488C513A"/>
    <w:rsid w:val="4C3752D5"/>
    <w:rsid w:val="559561FA"/>
    <w:rsid w:val="58FB6AFE"/>
    <w:rsid w:val="60087930"/>
    <w:rsid w:val="6364786A"/>
    <w:rsid w:val="668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37BA2E-017E-4A2C-9925-1D6FEDC3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able of authorities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autoRedefine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Char"/>
    <w:autoRedefine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Char"/>
    <w:autoRedefine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Char"/>
    <w:autoRedefine/>
    <w:uiPriority w:val="9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Char"/>
    <w:autoRedefine/>
    <w:uiPriority w:val="9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Char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Char"/>
    <w:autoRedefine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Char"/>
    <w:autoRedefine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Char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Char"/>
    <w:autoRedefine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6">
    <w:name w:val="annotation text"/>
    <w:basedOn w:val="a1"/>
    <w:link w:val="Char0"/>
    <w:autoRedefine/>
    <w:unhideWhenUsed/>
    <w:qFormat/>
    <w:rPr>
      <w:kern w:val="0"/>
      <w:sz w:val="20"/>
      <w:lang w:val="zh-CN"/>
    </w:rPr>
  </w:style>
  <w:style w:type="paragraph" w:styleId="a7">
    <w:name w:val="Plain Text"/>
    <w:basedOn w:val="a1"/>
    <w:link w:val="Char1"/>
    <w:autoRedefine/>
    <w:qFormat/>
    <w:rPr>
      <w:rFonts w:ascii="Calibri" w:hAnsi="Courier New"/>
      <w:szCs w:val="20"/>
      <w:lang w:val="zh-CN"/>
    </w:rPr>
  </w:style>
  <w:style w:type="paragraph" w:styleId="a8">
    <w:name w:val="Balloon Text"/>
    <w:basedOn w:val="a1"/>
    <w:link w:val="Char2"/>
    <w:autoRedefine/>
    <w:qFormat/>
    <w:rPr>
      <w:sz w:val="18"/>
      <w:szCs w:val="18"/>
      <w:lang w:val="zh-CN"/>
    </w:rPr>
  </w:style>
  <w:style w:type="paragraph" w:styleId="a9">
    <w:name w:val="footer"/>
    <w:basedOn w:val="a1"/>
    <w:link w:val="Char3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aa">
    <w:name w:val="header"/>
    <w:basedOn w:val="a1"/>
    <w:link w:val="Char4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Subtitle"/>
    <w:basedOn w:val="a1"/>
    <w:next w:val="a1"/>
    <w:link w:val="Char5"/>
    <w:autoRedefine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c">
    <w:name w:val="Normal (Web)"/>
    <w:basedOn w:val="a1"/>
    <w:autoRedefine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6"/>
    <w:next w:val="a6"/>
    <w:link w:val="Char6"/>
    <w:rPr>
      <w:b/>
      <w:bCs/>
      <w:kern w:val="2"/>
      <w:sz w:val="21"/>
      <w:lang w:val="en-US"/>
    </w:rPr>
  </w:style>
  <w:style w:type="table" w:styleId="ae">
    <w:name w:val="Table Grid"/>
    <w:basedOn w:val="a3"/>
    <w:autoRedefine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autoRedefine/>
    <w:uiPriority w:val="99"/>
    <w:qFormat/>
    <w:rPr>
      <w:color w:val="0563C1"/>
      <w:u w:val="single"/>
    </w:rPr>
  </w:style>
  <w:style w:type="character" w:styleId="af0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  <w:lang w:val="zh-CN"/>
    </w:rPr>
  </w:style>
  <w:style w:type="character" w:customStyle="1" w:styleId="2Char">
    <w:name w:val="标题 2 Char"/>
    <w:link w:val="2"/>
    <w:autoRedefine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qFormat/>
    <w:rPr>
      <w:b/>
      <w:bCs/>
      <w:kern w:val="2"/>
      <w:sz w:val="30"/>
      <w:szCs w:val="30"/>
    </w:rPr>
  </w:style>
  <w:style w:type="character" w:customStyle="1" w:styleId="4Char">
    <w:name w:val="标题 4 Char"/>
    <w:link w:val="4"/>
    <w:uiPriority w:val="9"/>
    <w:qFormat/>
    <w:rPr>
      <w:rFonts w:ascii="宋体" w:hAnsi="宋体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qFormat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autoRedefine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Char">
    <w:name w:val="标题 7 Char"/>
    <w:link w:val="7"/>
    <w:autoRedefine/>
    <w:semiHidden/>
    <w:qFormat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autoRedefine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Char">
    <w:name w:val="标题 9 Char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Char">
    <w:name w:val="正文缩进 Char"/>
    <w:link w:val="a5"/>
    <w:autoRedefine/>
    <w:uiPriority w:val="99"/>
    <w:qFormat/>
    <w:rPr>
      <w:spacing w:val="8"/>
      <w:kern w:val="2"/>
      <w:sz w:val="24"/>
      <w:lang w:val="en-US" w:eastAsia="zh-CN"/>
    </w:rPr>
  </w:style>
  <w:style w:type="character" w:customStyle="1" w:styleId="Char0">
    <w:name w:val="批注文字 Char"/>
    <w:link w:val="a6"/>
    <w:autoRedefine/>
    <w:qFormat/>
    <w:rPr>
      <w:szCs w:val="24"/>
    </w:rPr>
  </w:style>
  <w:style w:type="character" w:customStyle="1" w:styleId="Char1">
    <w:name w:val="纯文本 Char"/>
    <w:link w:val="a7"/>
    <w:autoRedefine/>
    <w:qFormat/>
    <w:rPr>
      <w:rFonts w:ascii="Calibri" w:hAnsi="Courier New"/>
      <w:kern w:val="2"/>
      <w:sz w:val="21"/>
    </w:rPr>
  </w:style>
  <w:style w:type="character" w:customStyle="1" w:styleId="Char2">
    <w:name w:val="批注框文本 Char"/>
    <w:link w:val="a8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9"/>
    <w:autoRedefine/>
    <w:uiPriority w:val="99"/>
    <w:qFormat/>
    <w:rPr>
      <w:kern w:val="2"/>
      <w:sz w:val="18"/>
      <w:szCs w:val="18"/>
    </w:rPr>
  </w:style>
  <w:style w:type="character" w:customStyle="1" w:styleId="Char4">
    <w:name w:val="页眉 Char"/>
    <w:link w:val="aa"/>
    <w:autoRedefine/>
    <w:uiPriority w:val="99"/>
    <w:qFormat/>
    <w:rPr>
      <w:kern w:val="2"/>
      <w:sz w:val="18"/>
      <w:szCs w:val="18"/>
    </w:rPr>
  </w:style>
  <w:style w:type="character" w:customStyle="1" w:styleId="Char5">
    <w:name w:val="副标题 Char"/>
    <w:link w:val="ab"/>
    <w:autoRedefine/>
    <w:qFormat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0">
    <w:name w:val="已访问的超链接1"/>
    <w:autoRedefine/>
    <w:qFormat/>
    <w:rPr>
      <w:color w:val="800080"/>
      <w:u w:val="single"/>
    </w:rPr>
  </w:style>
  <w:style w:type="character" w:customStyle="1" w:styleId="2Char0">
    <w:name w:val="正文（首行缩进2字符） Char"/>
    <w:link w:val="20"/>
    <w:autoRedefine/>
    <w:qFormat/>
    <w:rPr>
      <w:kern w:val="2"/>
      <w:sz w:val="24"/>
      <w:szCs w:val="24"/>
    </w:rPr>
  </w:style>
  <w:style w:type="paragraph" w:customStyle="1" w:styleId="20">
    <w:name w:val="正文（首行缩进2字符）"/>
    <w:basedOn w:val="a1"/>
    <w:link w:val="2Char0"/>
    <w:autoRedefine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0">
    <w:name w:val="段落 Char1"/>
    <w:link w:val="af1"/>
    <w:autoRedefine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1">
    <w:name w:val="段落"/>
    <w:link w:val="Char10"/>
    <w:autoRedefine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7">
    <w:name w:val="正文（安华金和） Char"/>
    <w:link w:val="af2"/>
    <w:autoRedefine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2">
    <w:name w:val="正文（安华金和）"/>
    <w:link w:val="Char7"/>
    <w:autoRedefine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3">
    <w:name w:val="页脚 字符"/>
    <w:autoRedefine/>
    <w:uiPriority w:val="99"/>
    <w:qFormat/>
  </w:style>
  <w:style w:type="character" w:customStyle="1" w:styleId="Char8">
    <w:name w:val="列出段落 Char"/>
    <w:link w:val="af4"/>
    <w:autoRedefine/>
    <w:uiPriority w:val="34"/>
    <w:qFormat/>
    <w:rPr>
      <w:rFonts w:ascii="宋体" w:hAnsi="宋体" w:cs="仿宋"/>
      <w:kern w:val="2"/>
      <w:sz w:val="24"/>
      <w:szCs w:val="22"/>
      <w:lang w:val="zh-CN"/>
    </w:rPr>
  </w:style>
  <w:style w:type="paragraph" w:styleId="af4">
    <w:name w:val="List Paragraph"/>
    <w:basedOn w:val="a1"/>
    <w:link w:val="Char8"/>
    <w:autoRedefine/>
    <w:uiPriority w:val="34"/>
    <w:qFormat/>
    <w:pPr>
      <w:spacing w:line="360" w:lineRule="auto"/>
      <w:ind w:left="180"/>
      <w:jc w:val="center"/>
    </w:pPr>
    <w:rPr>
      <w:rFonts w:ascii="宋体" w:hAnsi="宋体" w:cs="仿宋"/>
      <w:sz w:val="24"/>
      <w:szCs w:val="22"/>
      <w:lang w:val="zh-CN"/>
    </w:rPr>
  </w:style>
  <w:style w:type="paragraph" w:customStyle="1" w:styleId="a">
    <w:name w:val="插图标注（安华金和）"/>
    <w:next w:val="a1"/>
    <w:autoRedefine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autoRedefine/>
    <w:qFormat/>
    <w:pPr>
      <w:spacing w:line="415" w:lineRule="auto"/>
      <w:ind w:leftChars="200" w:left="794" w:hanging="794"/>
    </w:pPr>
    <w:rPr>
      <w:rFonts w:ascii="Arial" w:eastAsia="黑体" w:hAnsi="Arial"/>
      <w:bCs w:val="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4"/>
    <w:autoRedefine/>
    <w:uiPriority w:val="34"/>
    <w:qFormat/>
    <w:pPr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1"/>
    <w:autoRedefine/>
    <w:uiPriority w:val="99"/>
    <w:qFormat/>
    <w:pPr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autoRedefine/>
    <w:qFormat/>
    <w:pPr>
      <w:keepNext/>
      <w:keepLines/>
      <w:numPr>
        <w:ilvl w:val="5"/>
        <w:numId w:val="2"/>
      </w:numPr>
      <w:spacing w:before="240" w:after="64" w:line="319" w:lineRule="auto"/>
      <w:ind w:left="0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autoRedefine/>
    <w:qFormat/>
    <w:pPr>
      <w:numPr>
        <w:ilvl w:val="0"/>
        <w:numId w:val="0"/>
      </w:numPr>
      <w:spacing w:after="156"/>
      <w:ind w:leftChars="200" w:left="200" w:hanging="1021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autoRedefine/>
    <w:qFormat/>
    <w:pPr>
      <w:tabs>
        <w:tab w:val="left" w:pos="960"/>
      </w:tabs>
      <w:spacing w:line="415" w:lineRule="auto"/>
      <w:ind w:leftChars="200" w:left="200" w:hanging="907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autoRedefine/>
    <w:qFormat/>
    <w:pPr>
      <w:pageBreakBefore/>
      <w:numPr>
        <w:numId w:val="0"/>
      </w:numPr>
      <w:pBdr>
        <w:bottom w:val="single" w:sz="48" w:space="1" w:color="auto"/>
      </w:pBdr>
      <w:spacing w:before="600" w:line="576" w:lineRule="auto"/>
      <w:ind w:leftChars="200" w:left="200" w:hanging="420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autoRedefine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autoRedefine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autoRedefine/>
    <w:qFormat/>
    <w:pPr>
      <w:keepNext/>
      <w:keepLines/>
      <w:spacing w:before="280" w:after="156" w:line="377" w:lineRule="auto"/>
      <w:ind w:hanging="1134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autoRedefine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5">
    <w:name w:val="批注文字 字符"/>
    <w:autoRedefine/>
    <w:uiPriority w:val="99"/>
    <w:qFormat/>
    <w:rPr>
      <w:kern w:val="2"/>
      <w:sz w:val="21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样式 1"/>
    <w:qFormat/>
    <w:rPr>
      <w:rFonts w:ascii="Helvetica Neue" w:eastAsia="Helvetica Neue" w:hAnsi="Helvetica Neue" w:cs="Helvetica Neue"/>
      <w:b/>
      <w:bCs/>
      <w:color w:val="000000"/>
    </w:rPr>
  </w:style>
  <w:style w:type="paragraph" w:customStyle="1" w:styleId="22">
    <w:name w:val="表格样式 2"/>
    <w:qFormat/>
    <w:rPr>
      <w:rFonts w:ascii="Helvetica Neue" w:eastAsia="Helvetica Neue" w:hAnsi="Helvetica Neue" w:cs="Helvetica Neue"/>
      <w:color w:val="000000"/>
    </w:rPr>
  </w:style>
  <w:style w:type="character" w:customStyle="1" w:styleId="Char6">
    <w:name w:val="批注主题 Char"/>
    <w:basedOn w:val="Char0"/>
    <w:link w:val="a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netuser</cp:lastModifiedBy>
  <cp:revision>5</cp:revision>
  <dcterms:created xsi:type="dcterms:W3CDTF">2025-05-29T06:59:00Z</dcterms:created>
  <dcterms:modified xsi:type="dcterms:W3CDTF">2025-05-29T09:11:00Z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35DC4A7C4DC94EF0852F98EDB3CF0453_13</vt:lpwstr>
  </property>
  <property fmtid="{D5CDD505-2E9C-101B-9397-08002B2CF9AE}" pid="4" name="KSOTemplateDocerSaveRecord">
    <vt:lpwstr>eyJoZGlkIjoiMTk4NmVjNzBkNzU0M2ZmNTNjZmE3MDY5MGRlMzBiZjUiLCJ1c2VySWQiOiIxNjk1MzgyMjc5In0=</vt:lpwstr>
  </property>
</Properties>
</file>