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FE84" w14:textId="77777777" w:rsidR="00684B1A" w:rsidRDefault="00000000">
      <w:pPr>
        <w:spacing w:beforeLines="200" w:before="624" w:afterLines="100" w:after="312" w:line="360" w:lineRule="auto"/>
        <w:jc w:val="center"/>
        <w:rPr>
          <w:rFonts w:asciiTheme="minorHAnsi" w:eastAsiaTheme="minorHAnsi" w:hAnsiTheme="minorHAnsi" w:hint="eastAsia"/>
          <w:b/>
          <w:sz w:val="44"/>
          <w:szCs w:val="30"/>
        </w:rPr>
      </w:pPr>
      <w:r>
        <w:rPr>
          <w:rFonts w:asciiTheme="minorHAnsi" w:eastAsiaTheme="minorHAnsi" w:hAnsiTheme="minorHAnsi" w:hint="eastAsia"/>
          <w:b/>
          <w:sz w:val="44"/>
          <w:szCs w:val="30"/>
        </w:rPr>
        <w:t>基于新型腹膜透析液新药临床前研究及申报的研发服务需求</w:t>
      </w:r>
    </w:p>
    <w:p w14:paraId="34F5F2CF" w14:textId="77777777" w:rsidR="00684B1A" w:rsidRDefault="00000000">
      <w:pPr>
        <w:pStyle w:val="1"/>
        <w:numPr>
          <w:ilvl w:val="0"/>
          <w:numId w:val="2"/>
        </w:numPr>
        <w:spacing w:before="0" w:after="0"/>
        <w:rPr>
          <w:rFonts w:asciiTheme="minorHAnsi" w:eastAsiaTheme="minorHAnsi" w:hAnsiTheme="minorHAnsi" w:hint="eastAsia"/>
          <w:sz w:val="32"/>
          <w:szCs w:val="32"/>
        </w:rPr>
      </w:pPr>
      <w:r>
        <w:rPr>
          <w:rFonts w:asciiTheme="minorHAnsi" w:eastAsiaTheme="minorHAnsi" w:hAnsiTheme="minorHAnsi" w:hint="eastAsia"/>
          <w:sz w:val="32"/>
          <w:szCs w:val="32"/>
        </w:rPr>
        <w:t>项目名称</w:t>
      </w:r>
    </w:p>
    <w:p w14:paraId="5A70B568" w14:textId="77777777" w:rsidR="00684B1A" w:rsidRDefault="00000000">
      <w:pPr>
        <w:spacing w:line="360" w:lineRule="auto"/>
        <w:ind w:firstLine="420"/>
        <w:rPr>
          <w:sz w:val="24"/>
          <w:u w:val="single"/>
        </w:rPr>
      </w:pPr>
      <w:r>
        <w:rPr>
          <w:rFonts w:hint="eastAsia"/>
          <w:sz w:val="24"/>
        </w:rPr>
        <w:t>项目名称：基于新型腹膜透析液新药临床前研究及申报的研发服务</w:t>
      </w:r>
    </w:p>
    <w:p w14:paraId="30EC3830" w14:textId="77777777" w:rsidR="00684B1A" w:rsidRDefault="00000000">
      <w:pPr>
        <w:pStyle w:val="1"/>
        <w:numPr>
          <w:ilvl w:val="0"/>
          <w:numId w:val="2"/>
        </w:numPr>
        <w:spacing w:before="0" w:after="0"/>
        <w:rPr>
          <w:rFonts w:asciiTheme="minorHAnsi" w:eastAsiaTheme="minorHAnsi" w:hAnsiTheme="minorHAnsi" w:hint="eastAsia"/>
          <w:sz w:val="32"/>
          <w:szCs w:val="32"/>
        </w:rPr>
      </w:pPr>
      <w:r>
        <w:rPr>
          <w:rFonts w:asciiTheme="minorHAnsi" w:eastAsiaTheme="minorHAnsi" w:hAnsiTheme="minorHAnsi" w:hint="eastAsia"/>
          <w:sz w:val="32"/>
          <w:szCs w:val="32"/>
        </w:rPr>
        <w:t>项目内容</w:t>
      </w:r>
    </w:p>
    <w:p w14:paraId="7134685E" w14:textId="6B254C19" w:rsidR="00684B1A" w:rsidRDefault="001B33CE">
      <w:pPr>
        <w:spacing w:after="0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目前临床使用的腹膜透析液存在生物相容性不佳、留</w:t>
      </w:r>
      <w:proofErr w:type="gramStart"/>
      <w:r>
        <w:rPr>
          <w:rFonts w:hint="eastAsia"/>
          <w:sz w:val="24"/>
        </w:rPr>
        <w:t>腹时间短需频繁换液</w:t>
      </w:r>
      <w:proofErr w:type="gramEnd"/>
      <w:r>
        <w:rPr>
          <w:rFonts w:hint="eastAsia"/>
          <w:sz w:val="24"/>
        </w:rPr>
        <w:t>等不足。本院自主研发的新型腹膜透析液在超滤能力、毒素清除效率及生物相容性方面均表现优异，拟提交新药临床试验（</w:t>
      </w:r>
      <w:r>
        <w:rPr>
          <w:rFonts w:hint="eastAsia"/>
          <w:sz w:val="24"/>
        </w:rPr>
        <w:t>IND</w:t>
      </w:r>
      <w:r>
        <w:rPr>
          <w:rFonts w:hint="eastAsia"/>
          <w:sz w:val="24"/>
        </w:rPr>
        <w:t>）申请。根据相关法规要求，</w:t>
      </w:r>
      <w:r>
        <w:rPr>
          <w:sz w:val="24"/>
        </w:rPr>
        <w:t>新药开发</w:t>
      </w:r>
      <w:r>
        <w:rPr>
          <w:rFonts w:hint="eastAsia"/>
          <w:sz w:val="24"/>
        </w:rPr>
        <w:t>涵盖</w:t>
      </w:r>
      <w:r>
        <w:rPr>
          <w:sz w:val="24"/>
        </w:rPr>
        <w:t>原料药</w:t>
      </w:r>
      <w:r>
        <w:rPr>
          <w:rFonts w:hint="eastAsia"/>
          <w:sz w:val="24"/>
        </w:rPr>
        <w:t>和</w:t>
      </w:r>
      <w:r>
        <w:rPr>
          <w:sz w:val="24"/>
        </w:rPr>
        <w:t>制剂药学研究、</w:t>
      </w:r>
      <w:r>
        <w:rPr>
          <w:rFonts w:hint="eastAsia"/>
          <w:sz w:val="24"/>
        </w:rPr>
        <w:t>主要</w:t>
      </w:r>
      <w:r>
        <w:rPr>
          <w:sz w:val="24"/>
        </w:rPr>
        <w:t>药效学研究、药代动力学研究、</w:t>
      </w:r>
      <w:r>
        <w:rPr>
          <w:rFonts w:hint="eastAsia"/>
          <w:sz w:val="24"/>
        </w:rPr>
        <w:t>非临床安全性评价研究</w:t>
      </w:r>
      <w:r>
        <w:rPr>
          <w:sz w:val="24"/>
        </w:rPr>
        <w:t>、注册申报等</w:t>
      </w:r>
      <w:r>
        <w:rPr>
          <w:rFonts w:hint="eastAsia"/>
          <w:sz w:val="24"/>
        </w:rPr>
        <w:t>环节</w:t>
      </w:r>
      <w:r>
        <w:rPr>
          <w:sz w:val="24"/>
        </w:rPr>
        <w:t>。</w:t>
      </w:r>
      <w:r>
        <w:rPr>
          <w:rFonts w:hint="eastAsia"/>
          <w:sz w:val="24"/>
        </w:rPr>
        <w:t>为此，现需具备相应资质的供应商提供“新型腹膜透析液新药临床前研究及注册申报研发服务”。</w:t>
      </w:r>
    </w:p>
    <w:p w14:paraId="0294E3AD" w14:textId="77777777" w:rsidR="00684B1A" w:rsidRDefault="00000000">
      <w:pPr>
        <w:spacing w:after="0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项目组成如下：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3260"/>
      </w:tblGrid>
      <w:tr w:rsidR="00684B1A" w14:paraId="6A3AE013" w14:textId="77777777">
        <w:trPr>
          <w:trHeight w:val="299"/>
        </w:trPr>
        <w:tc>
          <w:tcPr>
            <w:tcW w:w="709" w:type="dxa"/>
            <w:vAlign w:val="center"/>
          </w:tcPr>
          <w:p w14:paraId="24EF0B56" w14:textId="77777777" w:rsidR="00684B1A" w:rsidRDefault="0000000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5103" w:type="dxa"/>
            <w:vAlign w:val="center"/>
          </w:tcPr>
          <w:p w14:paraId="0192B186" w14:textId="77777777" w:rsidR="00684B1A" w:rsidRDefault="0000000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模块名称</w:t>
            </w:r>
          </w:p>
        </w:tc>
        <w:tc>
          <w:tcPr>
            <w:tcW w:w="3260" w:type="dxa"/>
            <w:vAlign w:val="center"/>
          </w:tcPr>
          <w:p w14:paraId="73B10C89" w14:textId="77777777" w:rsidR="00684B1A" w:rsidRDefault="0000000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功能描述</w:t>
            </w:r>
          </w:p>
        </w:tc>
      </w:tr>
      <w:tr w:rsidR="00684B1A" w14:paraId="064A6C3A" w14:textId="77777777">
        <w:tc>
          <w:tcPr>
            <w:tcW w:w="709" w:type="dxa"/>
            <w:vAlign w:val="center"/>
          </w:tcPr>
          <w:p w14:paraId="6FB32B77" w14:textId="77777777" w:rsidR="00684B1A" w:rsidRDefault="00000000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14:paraId="47976A05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b/>
                <w:bCs/>
                <w:spacing w:val="-3"/>
                <w:sz w:val="24"/>
                <w:szCs w:val="21"/>
              </w:rPr>
              <w:t>原料药研究</w:t>
            </w:r>
          </w:p>
        </w:tc>
        <w:tc>
          <w:tcPr>
            <w:tcW w:w="3260" w:type="dxa"/>
            <w:vAlign w:val="center"/>
          </w:tcPr>
          <w:p w14:paraId="16CB09FA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详见</w:t>
            </w:r>
            <w:r>
              <w:rPr>
                <w:rFonts w:hint="eastAsia"/>
                <w:sz w:val="24"/>
                <w:szCs w:val="22"/>
                <w:u w:val="single"/>
              </w:rPr>
              <w:t>三</w:t>
            </w:r>
            <w:r>
              <w:rPr>
                <w:rFonts w:hint="eastAsia"/>
                <w:sz w:val="24"/>
                <w:szCs w:val="22"/>
                <w:u w:val="single"/>
              </w:rPr>
              <w:t>.</w:t>
            </w:r>
            <w:r>
              <w:rPr>
                <w:rFonts w:hint="eastAsia"/>
                <w:sz w:val="24"/>
                <w:szCs w:val="22"/>
                <w:u w:val="single"/>
              </w:rPr>
              <w:t>详细内容描述</w:t>
            </w:r>
            <w:r>
              <w:rPr>
                <w:rFonts w:hint="eastAsia"/>
                <w:sz w:val="24"/>
                <w:szCs w:val="22"/>
              </w:rPr>
              <w:t>第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点</w:t>
            </w:r>
          </w:p>
        </w:tc>
      </w:tr>
      <w:tr w:rsidR="00684B1A" w14:paraId="559E419D" w14:textId="77777777">
        <w:trPr>
          <w:trHeight w:val="161"/>
        </w:trPr>
        <w:tc>
          <w:tcPr>
            <w:tcW w:w="709" w:type="dxa"/>
            <w:vAlign w:val="center"/>
          </w:tcPr>
          <w:p w14:paraId="7026AD95" w14:textId="77777777" w:rsidR="00684B1A" w:rsidRDefault="00000000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14:paraId="16DE1608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b/>
                <w:bCs/>
                <w:spacing w:val="-3"/>
                <w:sz w:val="24"/>
                <w:szCs w:val="21"/>
              </w:rPr>
              <w:t>制剂研究</w:t>
            </w:r>
          </w:p>
        </w:tc>
        <w:tc>
          <w:tcPr>
            <w:tcW w:w="3260" w:type="dxa"/>
            <w:vAlign w:val="center"/>
          </w:tcPr>
          <w:p w14:paraId="60FFEFC5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详见</w:t>
            </w:r>
            <w:r>
              <w:rPr>
                <w:rFonts w:hint="eastAsia"/>
                <w:sz w:val="24"/>
                <w:szCs w:val="22"/>
                <w:u w:val="single"/>
              </w:rPr>
              <w:t>三</w:t>
            </w:r>
            <w:r>
              <w:rPr>
                <w:rFonts w:hint="eastAsia"/>
                <w:sz w:val="24"/>
                <w:szCs w:val="22"/>
                <w:u w:val="single"/>
              </w:rPr>
              <w:t>.</w:t>
            </w:r>
            <w:r>
              <w:rPr>
                <w:rFonts w:hint="eastAsia"/>
                <w:sz w:val="24"/>
                <w:szCs w:val="22"/>
                <w:u w:val="single"/>
              </w:rPr>
              <w:t>详细内容描述</w:t>
            </w:r>
            <w:r>
              <w:rPr>
                <w:rFonts w:hint="eastAsia"/>
                <w:sz w:val="24"/>
                <w:szCs w:val="22"/>
              </w:rPr>
              <w:t>第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点</w:t>
            </w:r>
          </w:p>
        </w:tc>
      </w:tr>
      <w:tr w:rsidR="00684B1A" w14:paraId="2F4E1596" w14:textId="77777777">
        <w:tc>
          <w:tcPr>
            <w:tcW w:w="709" w:type="dxa"/>
            <w:vAlign w:val="center"/>
          </w:tcPr>
          <w:p w14:paraId="33481733" w14:textId="77777777" w:rsidR="00684B1A" w:rsidRDefault="00000000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14:paraId="6FAEE055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1"/>
              </w:rPr>
              <w:t>主要</w:t>
            </w:r>
            <w:r>
              <w:rPr>
                <w:b/>
                <w:bCs/>
                <w:spacing w:val="-3"/>
                <w:sz w:val="24"/>
                <w:szCs w:val="21"/>
              </w:rPr>
              <w:t>药效学研究</w:t>
            </w:r>
          </w:p>
        </w:tc>
        <w:tc>
          <w:tcPr>
            <w:tcW w:w="3260" w:type="dxa"/>
            <w:vAlign w:val="center"/>
          </w:tcPr>
          <w:p w14:paraId="22E110CC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详见</w:t>
            </w:r>
            <w:r>
              <w:rPr>
                <w:rFonts w:hint="eastAsia"/>
                <w:sz w:val="24"/>
                <w:szCs w:val="22"/>
                <w:u w:val="single"/>
              </w:rPr>
              <w:t>三</w:t>
            </w:r>
            <w:r>
              <w:rPr>
                <w:rFonts w:hint="eastAsia"/>
                <w:sz w:val="24"/>
                <w:szCs w:val="22"/>
                <w:u w:val="single"/>
              </w:rPr>
              <w:t>.</w:t>
            </w:r>
            <w:r>
              <w:rPr>
                <w:rFonts w:hint="eastAsia"/>
                <w:sz w:val="24"/>
                <w:szCs w:val="22"/>
                <w:u w:val="single"/>
              </w:rPr>
              <w:t>详细内容描述</w:t>
            </w:r>
            <w:r>
              <w:rPr>
                <w:rFonts w:hint="eastAsia"/>
                <w:sz w:val="24"/>
                <w:szCs w:val="22"/>
              </w:rPr>
              <w:t>第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点</w:t>
            </w:r>
          </w:p>
        </w:tc>
      </w:tr>
      <w:tr w:rsidR="00684B1A" w14:paraId="37834829" w14:textId="77777777">
        <w:tc>
          <w:tcPr>
            <w:tcW w:w="709" w:type="dxa"/>
            <w:vAlign w:val="center"/>
          </w:tcPr>
          <w:p w14:paraId="619EED2A" w14:textId="77777777" w:rsidR="00684B1A" w:rsidRDefault="00000000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14:paraId="28FD3DA6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b/>
                <w:bCs/>
                <w:spacing w:val="-3"/>
                <w:sz w:val="24"/>
                <w:szCs w:val="21"/>
              </w:rPr>
              <w:t>药代</w:t>
            </w:r>
            <w:r>
              <w:rPr>
                <w:rFonts w:hint="eastAsia"/>
                <w:b/>
                <w:bCs/>
                <w:spacing w:val="-3"/>
                <w:sz w:val="24"/>
                <w:szCs w:val="21"/>
              </w:rPr>
              <w:t>动力学</w:t>
            </w:r>
            <w:r>
              <w:rPr>
                <w:b/>
                <w:bCs/>
                <w:spacing w:val="-3"/>
                <w:sz w:val="24"/>
                <w:szCs w:val="21"/>
              </w:rPr>
              <w:t>研究</w:t>
            </w:r>
          </w:p>
        </w:tc>
        <w:tc>
          <w:tcPr>
            <w:tcW w:w="3260" w:type="dxa"/>
            <w:vAlign w:val="center"/>
          </w:tcPr>
          <w:p w14:paraId="1632D788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详见</w:t>
            </w:r>
            <w:r>
              <w:rPr>
                <w:rFonts w:hint="eastAsia"/>
                <w:sz w:val="24"/>
                <w:szCs w:val="22"/>
                <w:u w:val="single"/>
              </w:rPr>
              <w:t>三</w:t>
            </w:r>
            <w:r>
              <w:rPr>
                <w:rFonts w:hint="eastAsia"/>
                <w:sz w:val="24"/>
                <w:szCs w:val="22"/>
                <w:u w:val="single"/>
              </w:rPr>
              <w:t>.</w:t>
            </w:r>
            <w:r>
              <w:rPr>
                <w:rFonts w:hint="eastAsia"/>
                <w:sz w:val="24"/>
                <w:szCs w:val="22"/>
                <w:u w:val="single"/>
              </w:rPr>
              <w:t>详细内容描述</w:t>
            </w:r>
            <w:r>
              <w:rPr>
                <w:rFonts w:hint="eastAsia"/>
                <w:sz w:val="24"/>
                <w:szCs w:val="22"/>
              </w:rPr>
              <w:t>第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点</w:t>
            </w:r>
          </w:p>
        </w:tc>
      </w:tr>
      <w:tr w:rsidR="00684B1A" w14:paraId="3B82E7C3" w14:textId="77777777">
        <w:tc>
          <w:tcPr>
            <w:tcW w:w="709" w:type="dxa"/>
            <w:vAlign w:val="center"/>
          </w:tcPr>
          <w:p w14:paraId="427418DF" w14:textId="77777777" w:rsidR="00684B1A" w:rsidRDefault="00000000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14:paraId="7AEB03E4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1"/>
              </w:rPr>
              <w:t>非临床</w:t>
            </w:r>
            <w:r>
              <w:rPr>
                <w:b/>
                <w:bCs/>
                <w:spacing w:val="-3"/>
                <w:sz w:val="24"/>
                <w:szCs w:val="21"/>
              </w:rPr>
              <w:t>安全性评价研究</w:t>
            </w:r>
          </w:p>
        </w:tc>
        <w:tc>
          <w:tcPr>
            <w:tcW w:w="3260" w:type="dxa"/>
            <w:vAlign w:val="center"/>
          </w:tcPr>
          <w:p w14:paraId="25013CB6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详见</w:t>
            </w:r>
            <w:r>
              <w:rPr>
                <w:rFonts w:hint="eastAsia"/>
                <w:sz w:val="24"/>
                <w:szCs w:val="22"/>
                <w:u w:val="single"/>
              </w:rPr>
              <w:t>三</w:t>
            </w:r>
            <w:r>
              <w:rPr>
                <w:rFonts w:hint="eastAsia"/>
                <w:sz w:val="24"/>
                <w:szCs w:val="22"/>
                <w:u w:val="single"/>
              </w:rPr>
              <w:t>.</w:t>
            </w:r>
            <w:r>
              <w:rPr>
                <w:rFonts w:hint="eastAsia"/>
                <w:sz w:val="24"/>
                <w:szCs w:val="22"/>
                <w:u w:val="single"/>
              </w:rPr>
              <w:t>详细内容描述</w:t>
            </w:r>
            <w:r>
              <w:rPr>
                <w:rFonts w:hint="eastAsia"/>
                <w:sz w:val="24"/>
                <w:szCs w:val="22"/>
              </w:rPr>
              <w:t>第</w:t>
            </w:r>
            <w:r>
              <w:rPr>
                <w:rFonts w:hint="eastAsia"/>
                <w:sz w:val="24"/>
                <w:szCs w:val="22"/>
              </w:rPr>
              <w:t>5</w:t>
            </w:r>
            <w:r>
              <w:rPr>
                <w:rFonts w:hint="eastAsia"/>
                <w:sz w:val="24"/>
                <w:szCs w:val="22"/>
              </w:rPr>
              <w:t>点</w:t>
            </w:r>
          </w:p>
        </w:tc>
      </w:tr>
      <w:tr w:rsidR="00684B1A" w14:paraId="6117680D" w14:textId="77777777">
        <w:tc>
          <w:tcPr>
            <w:tcW w:w="709" w:type="dxa"/>
            <w:vAlign w:val="center"/>
          </w:tcPr>
          <w:p w14:paraId="2801EEEB" w14:textId="77777777" w:rsidR="00684B1A" w:rsidRDefault="00000000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14:paraId="6D37875C" w14:textId="77777777" w:rsidR="00684B1A" w:rsidRDefault="00000000">
            <w:pPr>
              <w:jc w:val="left"/>
              <w:rPr>
                <w:b/>
                <w:bCs/>
                <w:spacing w:val="-3"/>
                <w:sz w:val="24"/>
                <w:szCs w:val="21"/>
              </w:rPr>
            </w:pPr>
            <w:r>
              <w:rPr>
                <w:b/>
                <w:bCs/>
                <w:spacing w:val="-3"/>
                <w:sz w:val="24"/>
                <w:szCs w:val="21"/>
              </w:rPr>
              <w:t>NMPA</w:t>
            </w:r>
            <w:r>
              <w:rPr>
                <w:b/>
                <w:bCs/>
                <w:spacing w:val="-3"/>
                <w:sz w:val="24"/>
                <w:szCs w:val="21"/>
              </w:rPr>
              <w:t>注册申报</w:t>
            </w:r>
          </w:p>
        </w:tc>
        <w:tc>
          <w:tcPr>
            <w:tcW w:w="3260" w:type="dxa"/>
            <w:vAlign w:val="center"/>
          </w:tcPr>
          <w:p w14:paraId="0650B409" w14:textId="77777777" w:rsidR="00684B1A" w:rsidRDefault="00000000">
            <w:pPr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详见</w:t>
            </w:r>
            <w:r>
              <w:rPr>
                <w:rFonts w:hint="eastAsia"/>
                <w:sz w:val="24"/>
                <w:szCs w:val="22"/>
                <w:u w:val="single"/>
              </w:rPr>
              <w:t>三</w:t>
            </w:r>
            <w:r>
              <w:rPr>
                <w:rFonts w:hint="eastAsia"/>
                <w:sz w:val="24"/>
                <w:szCs w:val="22"/>
                <w:u w:val="single"/>
              </w:rPr>
              <w:t>.</w:t>
            </w:r>
            <w:r>
              <w:rPr>
                <w:rFonts w:hint="eastAsia"/>
                <w:sz w:val="24"/>
                <w:szCs w:val="22"/>
                <w:u w:val="single"/>
              </w:rPr>
              <w:t>详细内容描述</w:t>
            </w:r>
            <w:r>
              <w:rPr>
                <w:rFonts w:hint="eastAsia"/>
                <w:sz w:val="24"/>
                <w:szCs w:val="22"/>
              </w:rPr>
              <w:t>第</w:t>
            </w:r>
            <w:r>
              <w:rPr>
                <w:rFonts w:hint="eastAsia"/>
                <w:sz w:val="24"/>
                <w:szCs w:val="22"/>
              </w:rPr>
              <w:t>6</w:t>
            </w:r>
            <w:r>
              <w:rPr>
                <w:rFonts w:hint="eastAsia"/>
                <w:sz w:val="24"/>
                <w:szCs w:val="22"/>
              </w:rPr>
              <w:t>点</w:t>
            </w:r>
          </w:p>
        </w:tc>
      </w:tr>
    </w:tbl>
    <w:p w14:paraId="59FFB00F" w14:textId="77777777" w:rsidR="00684B1A" w:rsidRDefault="00000000">
      <w:pPr>
        <w:pStyle w:val="1"/>
        <w:numPr>
          <w:ilvl w:val="0"/>
          <w:numId w:val="2"/>
        </w:numPr>
        <w:spacing w:before="0" w:after="0"/>
        <w:rPr>
          <w:rFonts w:asciiTheme="minorHAnsi" w:eastAsiaTheme="minorHAnsi" w:hAnsiTheme="minorHAnsi" w:hint="eastAsia"/>
          <w:sz w:val="32"/>
          <w:szCs w:val="32"/>
        </w:rPr>
      </w:pPr>
      <w:r>
        <w:rPr>
          <w:rFonts w:asciiTheme="minorHAnsi" w:eastAsiaTheme="minorHAnsi" w:hAnsiTheme="minorHAnsi" w:hint="eastAsia"/>
          <w:sz w:val="32"/>
          <w:szCs w:val="32"/>
        </w:rPr>
        <w:t>详细内容描述</w:t>
      </w:r>
      <w:bookmarkStart w:id="0" w:name="_6.1.1、大数据服务器"/>
      <w:bookmarkEnd w:id="0"/>
      <w:r>
        <w:rPr>
          <w:rFonts w:asciiTheme="minorHAnsi" w:eastAsiaTheme="minorHAnsi" w:hAnsiTheme="minorHAnsi"/>
          <w:sz w:val="32"/>
          <w:szCs w:val="32"/>
        </w:rPr>
        <w:t xml:space="preserve"> </w:t>
      </w:r>
    </w:p>
    <w:tbl>
      <w:tblPr>
        <w:tblStyle w:val="15"/>
        <w:tblpPr w:leftFromText="180" w:rightFromText="180" w:vertAnchor="text" w:tblpY="1"/>
        <w:tblW w:w="4926" w:type="pct"/>
        <w:tblLook w:val="04A0" w:firstRow="1" w:lastRow="0" w:firstColumn="1" w:lastColumn="0" w:noHBand="0" w:noVBand="1"/>
      </w:tblPr>
      <w:tblGrid>
        <w:gridCol w:w="1980"/>
        <w:gridCol w:w="6946"/>
      </w:tblGrid>
      <w:tr w:rsidR="008977D4" w:rsidRPr="000C4987" w14:paraId="495748C2" w14:textId="77777777" w:rsidTr="003975FE">
        <w:trPr>
          <w:trHeight w:val="425"/>
        </w:trPr>
        <w:tc>
          <w:tcPr>
            <w:tcW w:w="1109" w:type="pct"/>
            <w:shd w:val="clear" w:color="auto" w:fill="auto"/>
            <w:vAlign w:val="center"/>
          </w:tcPr>
          <w:p w14:paraId="41121A86" w14:textId="4159C82C" w:rsidR="008977D4" w:rsidRPr="000C4987" w:rsidRDefault="008977D4">
            <w:pPr>
              <w:spacing w:after="0" w:line="240" w:lineRule="auto"/>
              <w:ind w:left="63" w:right="63" w:firstLine="241"/>
              <w:jc w:val="center"/>
              <w:rPr>
                <w:rFonts w:ascii="Times New Roman" w:eastAsia="宋体" w:hAnsi="Times New Roman" w:cs="仿宋"/>
                <w:sz w:val="24"/>
              </w:rPr>
            </w:pPr>
            <w:bookmarkStart w:id="1" w:name="_6.1.2、容器服务器"/>
            <w:bookmarkEnd w:id="1"/>
            <w:r>
              <w:rPr>
                <w:rFonts w:ascii="Times New Roman" w:eastAsia="宋体" w:hAnsi="Times New Roman" w:cs="仿宋" w:hint="eastAsia"/>
                <w:sz w:val="24"/>
              </w:rPr>
              <w:t>项目</w:t>
            </w:r>
          </w:p>
        </w:tc>
        <w:tc>
          <w:tcPr>
            <w:tcW w:w="3891" w:type="pct"/>
            <w:vAlign w:val="center"/>
          </w:tcPr>
          <w:p w14:paraId="6E904FCF" w14:textId="2C6125E3" w:rsidR="008977D4" w:rsidRPr="00560BB2" w:rsidRDefault="008977D4" w:rsidP="003975FE">
            <w:pPr>
              <w:spacing w:after="0" w:line="240" w:lineRule="auto"/>
              <w:ind w:left="62" w:right="62"/>
              <w:jc w:val="center"/>
              <w:rPr>
                <w:rFonts w:ascii="Times New Roman" w:eastAsia="宋体" w:hAnsi="Times New Roman" w:cs="仿宋"/>
                <w:sz w:val="24"/>
              </w:rPr>
            </w:pPr>
            <w:r w:rsidRPr="00560BB2">
              <w:rPr>
                <w:rFonts w:ascii="Times New Roman" w:eastAsia="宋体" w:hAnsi="Times New Roman" w:cs="仿宋" w:hint="eastAsia"/>
                <w:sz w:val="24"/>
              </w:rPr>
              <w:t>主要研究内容</w:t>
            </w:r>
          </w:p>
        </w:tc>
      </w:tr>
      <w:tr w:rsidR="008977D4" w:rsidRPr="000C4987" w14:paraId="7314F630" w14:textId="77777777" w:rsidTr="003975FE">
        <w:trPr>
          <w:trHeight w:val="425"/>
        </w:trPr>
        <w:tc>
          <w:tcPr>
            <w:tcW w:w="1109" w:type="pct"/>
            <w:vMerge w:val="restart"/>
            <w:shd w:val="clear" w:color="auto" w:fill="auto"/>
            <w:vAlign w:val="center"/>
          </w:tcPr>
          <w:p w14:paraId="348F08DA" w14:textId="77777777" w:rsidR="008977D4" w:rsidRPr="000C4987" w:rsidRDefault="008977D4">
            <w:pPr>
              <w:spacing w:after="0" w:line="240" w:lineRule="auto"/>
              <w:ind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1.</w:t>
            </w: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原料药研究</w:t>
            </w:r>
          </w:p>
        </w:tc>
        <w:tc>
          <w:tcPr>
            <w:tcW w:w="3891" w:type="pct"/>
            <w:vAlign w:val="center"/>
          </w:tcPr>
          <w:p w14:paraId="6E536CE2" w14:textId="3A017948" w:rsidR="008977D4" w:rsidRPr="00560BB2" w:rsidRDefault="00560BB2" w:rsidP="003975FE">
            <w:pPr>
              <w:spacing w:after="0" w:line="240" w:lineRule="auto"/>
              <w:contextualSpacing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sz w:val="24"/>
                <w:szCs w:val="21"/>
              </w:rPr>
              <w:t>1.1</w:t>
            </w:r>
            <w:r w:rsidR="008977D4" w:rsidRPr="00560BB2">
              <w:rPr>
                <w:rFonts w:ascii="Times New Roman" w:eastAsia="宋体" w:hAnsi="Times New Roman"/>
                <w:sz w:val="24"/>
                <w:szCs w:val="21"/>
              </w:rPr>
              <w:t>工艺路线研究</w:t>
            </w:r>
          </w:p>
        </w:tc>
      </w:tr>
      <w:tr w:rsidR="008977D4" w:rsidRPr="000C4987" w14:paraId="482B726A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063573B2" w14:textId="77777777" w:rsidR="008977D4" w:rsidRPr="000C4987" w:rsidRDefault="008977D4">
            <w:pPr>
              <w:spacing w:after="0" w:line="240" w:lineRule="auto"/>
              <w:ind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4BA428A3" w14:textId="06550888" w:rsidR="008977D4" w:rsidRPr="00560BB2" w:rsidRDefault="00560BB2" w:rsidP="003975FE">
            <w:pPr>
              <w:pStyle w:val="afd"/>
              <w:spacing w:before="0" w:after="0" w:line="240" w:lineRule="auto"/>
              <w:ind w:right="63"/>
              <w:rPr>
                <w:rFonts w:ascii="Times New Roman" w:eastAsia="宋体" w:hAnsi="Times New Roman" w:cs="Times New Roman"/>
                <w:bCs w:val="0"/>
                <w:spacing w:val="0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z w:val="24"/>
                <w:szCs w:val="21"/>
              </w:rPr>
              <w:t>1.2</w:t>
            </w:r>
            <w:r w:rsidR="008977D4" w:rsidRPr="00560BB2">
              <w:rPr>
                <w:rFonts w:ascii="Times New Roman" w:eastAsia="宋体" w:hAnsi="Times New Roman"/>
                <w:sz w:val="24"/>
                <w:szCs w:val="21"/>
              </w:rPr>
              <w:t>中试工艺放大及申报批生产</w:t>
            </w:r>
          </w:p>
        </w:tc>
      </w:tr>
      <w:tr w:rsidR="008977D4" w:rsidRPr="000C4987" w14:paraId="5C20EDA6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45D12539" w14:textId="77777777" w:rsidR="008977D4" w:rsidRPr="000C4987" w:rsidRDefault="008977D4">
            <w:pPr>
              <w:spacing w:after="0" w:line="240" w:lineRule="auto"/>
              <w:ind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038DD7F3" w14:textId="544B5C04" w:rsidR="008977D4" w:rsidRPr="00560BB2" w:rsidRDefault="00560BB2" w:rsidP="003975FE">
            <w:pPr>
              <w:pStyle w:val="afd"/>
              <w:spacing w:before="0" w:after="0" w:line="240" w:lineRule="auto"/>
              <w:ind w:right="63"/>
              <w:rPr>
                <w:rFonts w:ascii="Times New Roman" w:eastAsia="宋体" w:hAnsi="Times New Roman" w:cs="Times New Roman"/>
                <w:bCs w:val="0"/>
                <w:spacing w:val="0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z w:val="24"/>
                <w:szCs w:val="21"/>
              </w:rPr>
              <w:t>1.3</w:t>
            </w:r>
            <w:r w:rsidR="008977D4" w:rsidRPr="00560BB2">
              <w:rPr>
                <w:rFonts w:ascii="Times New Roman" w:eastAsia="宋体" w:hAnsi="Times New Roman"/>
                <w:sz w:val="24"/>
                <w:szCs w:val="21"/>
              </w:rPr>
              <w:t>质量研究与质量标准制订</w:t>
            </w:r>
          </w:p>
        </w:tc>
      </w:tr>
      <w:tr w:rsidR="008977D4" w:rsidRPr="000C4987" w14:paraId="64709FB8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7649DD2E" w14:textId="77777777" w:rsidR="008977D4" w:rsidRPr="000C4987" w:rsidRDefault="008977D4">
            <w:pPr>
              <w:spacing w:after="0" w:line="240" w:lineRule="auto"/>
              <w:ind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0AB732CA" w14:textId="32389ED5" w:rsidR="008977D4" w:rsidRPr="000C4987" w:rsidRDefault="00560BB2" w:rsidP="003975FE">
            <w:pPr>
              <w:spacing w:after="0" w:line="240" w:lineRule="auto"/>
              <w:contextualSpacing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sz w:val="24"/>
                <w:szCs w:val="21"/>
              </w:rPr>
              <w:t>1.4</w:t>
            </w:r>
            <w:r w:rsidR="008977D4" w:rsidRPr="000C4987">
              <w:rPr>
                <w:rFonts w:ascii="Times New Roman" w:eastAsia="宋体" w:hAnsi="Times New Roman"/>
                <w:sz w:val="24"/>
                <w:szCs w:val="21"/>
              </w:rPr>
              <w:t>杂质、成品结构确证</w:t>
            </w:r>
          </w:p>
        </w:tc>
      </w:tr>
      <w:tr w:rsidR="008977D4" w:rsidRPr="000C4987" w14:paraId="6E7419CA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4FAC4B8E" w14:textId="77777777" w:rsidR="008977D4" w:rsidRPr="000C4987" w:rsidRDefault="008977D4">
            <w:pPr>
              <w:spacing w:after="0" w:line="240" w:lineRule="auto"/>
              <w:ind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1FDB6E24" w14:textId="345A6CAF" w:rsidR="008977D4" w:rsidRPr="000C4987" w:rsidRDefault="00560BB2" w:rsidP="003975FE">
            <w:pPr>
              <w:pStyle w:val="afd"/>
              <w:spacing w:before="0" w:after="0" w:line="240" w:lineRule="auto"/>
              <w:ind w:right="63"/>
              <w:rPr>
                <w:rFonts w:ascii="Times New Roman" w:eastAsia="宋体" w:hAnsi="Times New Roman" w:cs="Times New Roman"/>
                <w:bCs w:val="0"/>
                <w:spacing w:val="0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z w:val="24"/>
                <w:szCs w:val="21"/>
              </w:rPr>
              <w:t>1.5</w:t>
            </w:r>
            <w:r w:rsidR="008977D4" w:rsidRPr="000C4987">
              <w:rPr>
                <w:rFonts w:ascii="Times New Roman" w:eastAsia="宋体" w:hAnsi="Times New Roman"/>
                <w:sz w:val="24"/>
                <w:szCs w:val="21"/>
              </w:rPr>
              <w:t>稳定性研究</w:t>
            </w:r>
          </w:p>
        </w:tc>
      </w:tr>
      <w:tr w:rsidR="008977D4" w:rsidRPr="000C4987" w14:paraId="0ED5344C" w14:textId="77777777" w:rsidTr="003975FE">
        <w:trPr>
          <w:trHeight w:val="425"/>
        </w:trPr>
        <w:tc>
          <w:tcPr>
            <w:tcW w:w="1109" w:type="pct"/>
            <w:vMerge w:val="restart"/>
            <w:shd w:val="clear" w:color="auto" w:fill="auto"/>
            <w:vAlign w:val="center"/>
          </w:tcPr>
          <w:p w14:paraId="770E5F27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2.</w:t>
            </w: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制剂研究</w:t>
            </w:r>
          </w:p>
        </w:tc>
        <w:tc>
          <w:tcPr>
            <w:tcW w:w="3891" w:type="pct"/>
            <w:vAlign w:val="center"/>
          </w:tcPr>
          <w:p w14:paraId="7D655646" w14:textId="0B718BA5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z w:val="24"/>
                <w:szCs w:val="21"/>
              </w:rPr>
              <w:t>2.1</w:t>
            </w:r>
            <w:r w:rsidR="008977D4" w:rsidRPr="000C4987">
              <w:rPr>
                <w:rFonts w:ascii="Times New Roman" w:eastAsia="宋体" w:hAnsi="Times New Roman"/>
                <w:sz w:val="24"/>
                <w:szCs w:val="21"/>
              </w:rPr>
              <w:t>处方与工艺研究</w:t>
            </w:r>
          </w:p>
        </w:tc>
      </w:tr>
      <w:tr w:rsidR="008977D4" w:rsidRPr="000C4987" w14:paraId="2937AA1E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24441191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6262A5DD" w14:textId="27808881" w:rsidR="008977D4" w:rsidRPr="003975FE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1"/>
              </w:rPr>
            </w:pPr>
            <w:bookmarkStart w:id="2" w:name="_Hlk200448017"/>
            <w:r>
              <w:rPr>
                <w:rFonts w:ascii="Times New Roman" w:eastAsia="宋体" w:hAnsi="Times New Roman" w:hint="eastAsia"/>
                <w:sz w:val="24"/>
                <w:szCs w:val="21"/>
              </w:rPr>
              <w:t>2.2</w:t>
            </w:r>
            <w:r w:rsidR="008977D4" w:rsidRPr="000C4987">
              <w:rPr>
                <w:rFonts w:ascii="Times New Roman" w:eastAsia="宋体" w:hAnsi="Times New Roman"/>
                <w:sz w:val="24"/>
                <w:szCs w:val="21"/>
              </w:rPr>
              <w:t>中试工艺放大及申报批生产</w:t>
            </w:r>
            <w:bookmarkEnd w:id="2"/>
          </w:p>
        </w:tc>
      </w:tr>
      <w:tr w:rsidR="008977D4" w:rsidRPr="000C4987" w14:paraId="6F4FF81B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57861C63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4EFBD37C" w14:textId="6B005F16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z w:val="24"/>
                <w:szCs w:val="21"/>
              </w:rPr>
              <w:t>2.3</w:t>
            </w:r>
            <w:r w:rsidR="008977D4" w:rsidRPr="000C4987">
              <w:rPr>
                <w:rFonts w:ascii="Times New Roman" w:eastAsia="宋体" w:hAnsi="Times New Roman"/>
                <w:sz w:val="24"/>
                <w:szCs w:val="21"/>
              </w:rPr>
              <w:t>质量研究与质量标准制订</w:t>
            </w:r>
          </w:p>
        </w:tc>
      </w:tr>
      <w:tr w:rsidR="008977D4" w:rsidRPr="000C4987" w14:paraId="7BC71421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69EE1D0A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6EDD04F0" w14:textId="7C48284D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z w:val="24"/>
                <w:szCs w:val="21"/>
              </w:rPr>
              <w:t>2.4</w:t>
            </w:r>
            <w:r w:rsidR="008977D4" w:rsidRPr="000C4987">
              <w:rPr>
                <w:rFonts w:ascii="Times New Roman" w:eastAsia="宋体" w:hAnsi="Times New Roman"/>
                <w:sz w:val="24"/>
                <w:szCs w:val="21"/>
              </w:rPr>
              <w:t>包材相容性研究</w:t>
            </w:r>
          </w:p>
        </w:tc>
      </w:tr>
      <w:tr w:rsidR="008977D4" w:rsidRPr="000C4987" w14:paraId="0CC9E1F4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1F5C3FA2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3101F741" w14:textId="4A3F9E68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z w:val="24"/>
                <w:szCs w:val="21"/>
              </w:rPr>
              <w:t>2.5</w:t>
            </w:r>
            <w:r w:rsidR="008977D4" w:rsidRPr="000C4987">
              <w:rPr>
                <w:rFonts w:ascii="Times New Roman" w:eastAsia="宋体" w:hAnsi="Times New Roman"/>
                <w:sz w:val="24"/>
                <w:szCs w:val="21"/>
              </w:rPr>
              <w:t>制剂稳定性考察</w:t>
            </w:r>
          </w:p>
        </w:tc>
      </w:tr>
      <w:tr w:rsidR="008977D4" w:rsidRPr="000C4987" w14:paraId="14B3FB46" w14:textId="77777777" w:rsidTr="003975FE">
        <w:trPr>
          <w:trHeight w:val="425"/>
        </w:trPr>
        <w:tc>
          <w:tcPr>
            <w:tcW w:w="1109" w:type="pct"/>
            <w:vMerge w:val="restart"/>
            <w:shd w:val="clear" w:color="auto" w:fill="auto"/>
            <w:vAlign w:val="center"/>
          </w:tcPr>
          <w:p w14:paraId="37EE04E7" w14:textId="34A79572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3.</w:t>
            </w:r>
            <w:r>
              <w:rPr>
                <w:rFonts w:ascii="Times New Roman" w:eastAsia="宋体" w:hAnsi="Times New Roman" w:hint="eastAsia"/>
                <w:sz w:val="24"/>
                <w:szCs w:val="22"/>
              </w:rPr>
              <w:t>主要</w:t>
            </w: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药效学研究</w:t>
            </w:r>
          </w:p>
        </w:tc>
        <w:tc>
          <w:tcPr>
            <w:tcW w:w="3891" w:type="pct"/>
            <w:vAlign w:val="center"/>
          </w:tcPr>
          <w:p w14:paraId="413ED70A" w14:textId="2AE6B5FA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3.1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体外药效试验</w:t>
            </w:r>
          </w:p>
        </w:tc>
      </w:tr>
      <w:tr w:rsidR="008977D4" w:rsidRPr="000C4987" w14:paraId="59F31B19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57BB60A7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4A77D7A9" w14:textId="1A3D1C61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3.2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体内实验</w:t>
            </w:r>
          </w:p>
        </w:tc>
      </w:tr>
      <w:tr w:rsidR="008977D4" w:rsidRPr="000C4987" w14:paraId="30DB2F35" w14:textId="77777777" w:rsidTr="003975FE">
        <w:trPr>
          <w:trHeight w:val="425"/>
        </w:trPr>
        <w:tc>
          <w:tcPr>
            <w:tcW w:w="1109" w:type="pct"/>
            <w:vMerge w:val="restart"/>
            <w:shd w:val="clear" w:color="auto" w:fill="auto"/>
            <w:vAlign w:val="center"/>
          </w:tcPr>
          <w:p w14:paraId="5E636EF6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4.</w:t>
            </w: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药代</w:t>
            </w:r>
            <w:r w:rsidRPr="000C4987">
              <w:rPr>
                <w:rFonts w:ascii="Times New Roman" w:eastAsia="宋体" w:hAnsi="Times New Roman"/>
                <w:sz w:val="24"/>
              </w:rPr>
              <w:t>动力学</w:t>
            </w: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研究</w:t>
            </w:r>
          </w:p>
        </w:tc>
        <w:tc>
          <w:tcPr>
            <w:tcW w:w="3891" w:type="pct"/>
            <w:vAlign w:val="center"/>
          </w:tcPr>
          <w:p w14:paraId="27A4CE40" w14:textId="67A47F08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4.1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生物分析方法开发验证</w:t>
            </w:r>
          </w:p>
        </w:tc>
      </w:tr>
      <w:tr w:rsidR="008977D4" w:rsidRPr="000C4987" w14:paraId="47A35234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63AECB6F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43BF5098" w14:textId="27FC64B7" w:rsidR="008977D4" w:rsidRPr="000C4987" w:rsidRDefault="00560BB2" w:rsidP="003975FE">
            <w:pPr>
              <w:widowControl/>
              <w:spacing w:after="0" w:line="24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4.2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血药浓度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-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时间曲线</w:t>
            </w:r>
          </w:p>
        </w:tc>
      </w:tr>
      <w:tr w:rsidR="008977D4" w:rsidRPr="000C4987" w14:paraId="281C6F86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5F957B64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04AB97C1" w14:textId="45B1F814" w:rsidR="008977D4" w:rsidRPr="000C4987" w:rsidRDefault="00560BB2" w:rsidP="003975FE">
            <w:pPr>
              <w:widowControl/>
              <w:spacing w:after="0" w:line="24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4.3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分布</w:t>
            </w:r>
            <w:r w:rsidR="00EA6F23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、代谢、排泄</w:t>
            </w:r>
          </w:p>
        </w:tc>
      </w:tr>
      <w:tr w:rsidR="008977D4" w:rsidRPr="000C4987" w14:paraId="6E0EDEE0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5F5F5A3F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68161034" w14:textId="5A3093F9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4.4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体外药代</w:t>
            </w:r>
          </w:p>
        </w:tc>
      </w:tr>
      <w:tr w:rsidR="008977D4" w:rsidRPr="000C4987" w14:paraId="430E6210" w14:textId="77777777" w:rsidTr="003975FE">
        <w:trPr>
          <w:trHeight w:val="425"/>
        </w:trPr>
        <w:tc>
          <w:tcPr>
            <w:tcW w:w="1109" w:type="pct"/>
            <w:vMerge w:val="restart"/>
            <w:shd w:val="clear" w:color="auto" w:fill="auto"/>
            <w:vAlign w:val="center"/>
          </w:tcPr>
          <w:p w14:paraId="4B892BF7" w14:textId="08FCF3AF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5.</w:t>
            </w:r>
            <w:r>
              <w:rPr>
                <w:rFonts w:ascii="Times New Roman" w:eastAsia="宋体" w:hAnsi="Times New Roman" w:hint="eastAsia"/>
                <w:sz w:val="24"/>
                <w:szCs w:val="22"/>
              </w:rPr>
              <w:t>非临床</w:t>
            </w:r>
            <w:r w:rsidRPr="000C4987">
              <w:rPr>
                <w:rFonts w:ascii="Times New Roman" w:eastAsia="宋体" w:hAnsi="Times New Roman" w:hint="eastAsia"/>
                <w:sz w:val="24"/>
                <w:szCs w:val="22"/>
              </w:rPr>
              <w:t>安全性评价研究</w:t>
            </w:r>
          </w:p>
        </w:tc>
        <w:tc>
          <w:tcPr>
            <w:tcW w:w="3891" w:type="pct"/>
            <w:vAlign w:val="center"/>
          </w:tcPr>
          <w:p w14:paraId="68686E7B" w14:textId="1F006F4C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5.1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供</w:t>
            </w:r>
            <w:proofErr w:type="gramStart"/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试品分析</w:t>
            </w:r>
            <w:proofErr w:type="gramEnd"/>
          </w:p>
        </w:tc>
      </w:tr>
      <w:tr w:rsidR="008977D4" w:rsidRPr="000C4987" w14:paraId="347075D7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19D4D456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14E29686" w14:textId="385F3D72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5.2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单次给药毒性试验</w:t>
            </w:r>
          </w:p>
        </w:tc>
      </w:tr>
      <w:tr w:rsidR="008977D4" w:rsidRPr="000C4987" w14:paraId="00BF0D78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59658A40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2775AE97" w14:textId="1BD832F1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5.3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重复给药毒性试验</w:t>
            </w:r>
          </w:p>
        </w:tc>
      </w:tr>
      <w:tr w:rsidR="008977D4" w:rsidRPr="000C4987" w14:paraId="6E9231FA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64CFE067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15E0C4FC" w14:textId="22D95DAC" w:rsidR="008977D4" w:rsidRPr="000C4987" w:rsidRDefault="00560BB2" w:rsidP="003975FE">
            <w:pPr>
              <w:widowControl/>
              <w:spacing w:after="0" w:line="24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5.4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安全药理试验</w:t>
            </w:r>
          </w:p>
        </w:tc>
      </w:tr>
      <w:tr w:rsidR="008977D4" w:rsidRPr="000C4987" w14:paraId="40D5D5AD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79943C60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46DD391E" w14:textId="47117F9E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5.5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遗传毒性试验</w:t>
            </w:r>
          </w:p>
        </w:tc>
      </w:tr>
      <w:tr w:rsidR="008977D4" w:rsidRPr="000C4987" w14:paraId="645E8647" w14:textId="77777777" w:rsidTr="003975FE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66732E6E" w14:textId="77777777" w:rsidR="008977D4" w:rsidRPr="000C4987" w:rsidRDefault="008977D4">
            <w:pPr>
              <w:spacing w:after="0" w:line="240" w:lineRule="auto"/>
              <w:ind w:left="63" w:right="63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6BC910F8" w14:textId="0065F7E5" w:rsidR="008977D4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1"/>
              </w:rPr>
              <w:t>5.6</w:t>
            </w:r>
            <w:r w:rsidR="008977D4" w:rsidRPr="000C4987">
              <w:rPr>
                <w:rFonts w:ascii="Times New Roman" w:eastAsia="宋体" w:hAnsi="Times New Roman"/>
                <w:color w:val="000000"/>
                <w:kern w:val="0"/>
                <w:sz w:val="24"/>
                <w:szCs w:val="21"/>
              </w:rPr>
              <w:t>制剂安全性</w:t>
            </w:r>
          </w:p>
        </w:tc>
      </w:tr>
      <w:tr w:rsidR="00EA6F23" w:rsidRPr="000C4987" w14:paraId="51275E42" w14:textId="77777777" w:rsidTr="00B11E66">
        <w:trPr>
          <w:trHeight w:val="425"/>
        </w:trPr>
        <w:tc>
          <w:tcPr>
            <w:tcW w:w="1109" w:type="pct"/>
            <w:vMerge w:val="restart"/>
            <w:shd w:val="clear" w:color="auto" w:fill="auto"/>
            <w:vAlign w:val="center"/>
          </w:tcPr>
          <w:p w14:paraId="4E1E8205" w14:textId="3B0311E7" w:rsidR="00EA6F23" w:rsidRPr="000C4987" w:rsidRDefault="00EA6F23" w:rsidP="008977D4">
            <w:pPr>
              <w:spacing w:after="0" w:line="240" w:lineRule="auto"/>
              <w:ind w:left="63" w:right="63"/>
              <w:jc w:val="center"/>
              <w:rPr>
                <w:rFonts w:hint="eastAsia"/>
                <w:sz w:val="24"/>
                <w:szCs w:val="22"/>
              </w:rPr>
            </w:pPr>
            <w:r w:rsidRPr="00FA5A08">
              <w:rPr>
                <w:rFonts w:ascii="Times New Roman" w:eastAsia="宋体" w:hAnsi="Times New Roman"/>
                <w:sz w:val="24"/>
                <w:szCs w:val="22"/>
              </w:rPr>
              <w:t>6.NMPA</w:t>
            </w:r>
            <w:r w:rsidRPr="00FA5A08">
              <w:rPr>
                <w:rFonts w:ascii="Times New Roman" w:eastAsia="宋体" w:hAnsi="Times New Roman" w:hint="eastAsia"/>
                <w:sz w:val="24"/>
                <w:szCs w:val="22"/>
              </w:rPr>
              <w:t>注册申报</w:t>
            </w:r>
          </w:p>
        </w:tc>
        <w:tc>
          <w:tcPr>
            <w:tcW w:w="3891" w:type="pct"/>
            <w:vAlign w:val="center"/>
          </w:tcPr>
          <w:p w14:paraId="036EEA83" w14:textId="0191B7B0" w:rsidR="00EA6F23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hint="eastAsia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kern w:val="0"/>
                <w:sz w:val="24"/>
                <w:szCs w:val="21"/>
              </w:rPr>
              <w:t>6.1</w:t>
            </w:r>
            <w:r w:rsidR="00EA6F23" w:rsidRPr="000C4987">
              <w:rPr>
                <w:rFonts w:ascii="Times New Roman" w:eastAsia="宋体" w:hAnsi="Times New Roman"/>
                <w:bCs/>
                <w:kern w:val="0"/>
                <w:sz w:val="24"/>
                <w:szCs w:val="21"/>
              </w:rPr>
              <w:t>申报资料撰写与审核</w:t>
            </w:r>
          </w:p>
        </w:tc>
      </w:tr>
      <w:tr w:rsidR="00EA6F23" w:rsidRPr="000C4987" w14:paraId="73984A78" w14:textId="77777777" w:rsidTr="00B11E66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6E57EC6E" w14:textId="77777777" w:rsidR="00EA6F23" w:rsidRPr="000C4987" w:rsidRDefault="00EA6F23" w:rsidP="008977D4">
            <w:pPr>
              <w:spacing w:after="0" w:line="240" w:lineRule="auto"/>
              <w:ind w:left="63" w:right="63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3E162BBA" w14:textId="51DFCB24" w:rsidR="00EA6F23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hint="eastAsia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kern w:val="0"/>
                <w:sz w:val="24"/>
                <w:szCs w:val="21"/>
              </w:rPr>
              <w:t>6.2</w:t>
            </w:r>
            <w:r w:rsidR="00EA6F23" w:rsidRPr="000C4987">
              <w:rPr>
                <w:rFonts w:ascii="Times New Roman" w:eastAsia="宋体" w:hAnsi="Times New Roman"/>
                <w:bCs/>
                <w:kern w:val="0"/>
                <w:sz w:val="24"/>
                <w:szCs w:val="21"/>
              </w:rPr>
              <w:t>CDE</w:t>
            </w:r>
            <w:r w:rsidR="00EA6F23" w:rsidRPr="000C4987">
              <w:rPr>
                <w:rFonts w:ascii="Times New Roman" w:eastAsia="宋体" w:hAnsi="Times New Roman"/>
                <w:bCs/>
                <w:kern w:val="0"/>
                <w:sz w:val="24"/>
                <w:szCs w:val="21"/>
              </w:rPr>
              <w:t>沟通交流会准备（</w:t>
            </w:r>
            <w:r w:rsidR="00EA6F23" w:rsidRPr="000C4987">
              <w:rPr>
                <w:rFonts w:ascii="Times New Roman" w:eastAsia="宋体" w:hAnsi="Times New Roman"/>
                <w:bCs/>
                <w:kern w:val="0"/>
                <w:sz w:val="24"/>
                <w:szCs w:val="21"/>
              </w:rPr>
              <w:t>Pre-IND</w:t>
            </w:r>
            <w:r w:rsidR="00EA6F23" w:rsidRPr="000C4987">
              <w:rPr>
                <w:rFonts w:ascii="Times New Roman" w:eastAsia="宋体" w:hAnsi="Times New Roman"/>
                <w:bCs/>
                <w:kern w:val="0"/>
                <w:sz w:val="24"/>
                <w:szCs w:val="21"/>
              </w:rPr>
              <w:t>）</w:t>
            </w:r>
          </w:p>
        </w:tc>
      </w:tr>
      <w:tr w:rsidR="00EA6F23" w:rsidRPr="000C4987" w14:paraId="0251B7F1" w14:textId="77777777" w:rsidTr="00B11E66">
        <w:trPr>
          <w:trHeight w:val="425"/>
        </w:trPr>
        <w:tc>
          <w:tcPr>
            <w:tcW w:w="1109" w:type="pct"/>
            <w:vMerge/>
            <w:shd w:val="clear" w:color="auto" w:fill="auto"/>
            <w:vAlign w:val="center"/>
          </w:tcPr>
          <w:p w14:paraId="346DDDDF" w14:textId="77777777" w:rsidR="00EA6F23" w:rsidRPr="000C4987" w:rsidRDefault="00EA6F23" w:rsidP="008977D4">
            <w:pPr>
              <w:spacing w:after="0" w:line="240" w:lineRule="auto"/>
              <w:ind w:left="63" w:right="63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75E58CA6" w14:textId="18DF37D5" w:rsidR="00EA6F23" w:rsidRPr="000C4987" w:rsidRDefault="00560BB2" w:rsidP="003975FE">
            <w:pPr>
              <w:tabs>
                <w:tab w:val="left" w:pos="4460"/>
              </w:tabs>
              <w:spacing w:after="0" w:line="240" w:lineRule="auto"/>
              <w:jc w:val="left"/>
              <w:rPr>
                <w:rFonts w:hint="eastAsia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kern w:val="0"/>
                <w:sz w:val="24"/>
                <w:szCs w:val="21"/>
              </w:rPr>
              <w:t>6.3</w:t>
            </w:r>
            <w:r w:rsidR="00EA6F23" w:rsidRPr="000C4987">
              <w:rPr>
                <w:rFonts w:ascii="Times New Roman" w:eastAsia="宋体" w:hAnsi="Times New Roman"/>
                <w:bCs/>
                <w:kern w:val="0"/>
                <w:sz w:val="24"/>
                <w:szCs w:val="21"/>
              </w:rPr>
              <w:t>临床试验资料</w:t>
            </w:r>
          </w:p>
        </w:tc>
      </w:tr>
    </w:tbl>
    <w:p w14:paraId="00F42464" w14:textId="77777777" w:rsidR="008977D4" w:rsidRPr="003975FE" w:rsidRDefault="008977D4" w:rsidP="003975FE"/>
    <w:p w14:paraId="1BD6AB08" w14:textId="5B630643" w:rsidR="00684B1A" w:rsidRDefault="00000000">
      <w:pPr>
        <w:pStyle w:val="1"/>
        <w:numPr>
          <w:ilvl w:val="0"/>
          <w:numId w:val="2"/>
        </w:numPr>
        <w:spacing w:before="0" w:after="0"/>
        <w:rPr>
          <w:rFonts w:asciiTheme="minorHAnsi" w:eastAsiaTheme="minorHAnsi" w:hAnsiTheme="minorHAnsi" w:hint="eastAsia"/>
          <w:sz w:val="21"/>
          <w:szCs w:val="21"/>
        </w:rPr>
      </w:pPr>
      <w:r>
        <w:rPr>
          <w:rFonts w:asciiTheme="minorHAnsi" w:eastAsiaTheme="minorHAnsi" w:hAnsiTheme="minorHAnsi" w:hint="eastAsia"/>
          <w:sz w:val="32"/>
          <w:szCs w:val="32"/>
        </w:rPr>
        <w:t>项目工期</w:t>
      </w:r>
    </w:p>
    <w:p w14:paraId="156C0695" w14:textId="77777777" w:rsidR="00684B1A" w:rsidRDefault="00000000">
      <w:pPr>
        <w:spacing w:after="0" w:line="360" w:lineRule="auto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1 </w:t>
      </w:r>
      <w:r>
        <w:rPr>
          <w:rFonts w:hint="eastAsia"/>
          <w:b/>
          <w:bCs/>
          <w:sz w:val="24"/>
        </w:rPr>
        <w:t>本项目原料药学研究：</w:t>
      </w:r>
    </w:p>
    <w:p w14:paraId="6C455034" w14:textId="740E13BA" w:rsidR="00684B1A" w:rsidRDefault="00000000">
      <w:pPr>
        <w:spacing w:after="0"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）供应商收到</w:t>
      </w:r>
      <w:r w:rsidR="000C4987">
        <w:rPr>
          <w:rFonts w:hint="eastAsia"/>
          <w:sz w:val="24"/>
          <w:szCs w:val="28"/>
        </w:rPr>
        <w:t>我院</w:t>
      </w:r>
      <w:r>
        <w:rPr>
          <w:rFonts w:hint="eastAsia"/>
          <w:sz w:val="24"/>
          <w:szCs w:val="28"/>
        </w:rPr>
        <w:t>支付合同首款</w:t>
      </w:r>
      <w:r w:rsidR="000C4987">
        <w:rPr>
          <w:rFonts w:hint="eastAsia"/>
          <w:sz w:val="24"/>
          <w:szCs w:val="28"/>
        </w:rPr>
        <w:t>后完成</w:t>
      </w:r>
      <w:r>
        <w:rPr>
          <w:rFonts w:hint="eastAsia"/>
          <w:sz w:val="24"/>
          <w:szCs w:val="28"/>
        </w:rPr>
        <w:t>项目研究方案的撰写，并向我院提供研究方案初稿；</w:t>
      </w:r>
    </w:p>
    <w:p w14:paraId="3A22BF12" w14:textId="727FC751" w:rsidR="00684B1A" w:rsidRDefault="00000000">
      <w:pPr>
        <w:spacing w:after="0" w:line="360" w:lineRule="auto"/>
        <w:ind w:firstLineChars="200" w:firstLine="480"/>
        <w:jc w:val="left"/>
        <w:rPr>
          <w:sz w:val="24"/>
          <w:szCs w:val="28"/>
        </w:rPr>
      </w:pPr>
      <w:bookmarkStart w:id="3" w:name="OLE_LINK1"/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）供应商收到我院支付合同首</w:t>
      </w:r>
      <w:proofErr w:type="gramStart"/>
      <w:r>
        <w:rPr>
          <w:rFonts w:hint="eastAsia"/>
          <w:sz w:val="24"/>
          <w:szCs w:val="28"/>
        </w:rPr>
        <w:t>款且供应商相关</w:t>
      </w:r>
      <w:proofErr w:type="gramEnd"/>
      <w:r>
        <w:rPr>
          <w:rFonts w:hint="eastAsia"/>
          <w:sz w:val="24"/>
          <w:szCs w:val="28"/>
        </w:rPr>
        <w:t>试验材料采购到位后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个月内完成原料药工艺优化研究和第一批中试放大过渡批生产样品；</w:t>
      </w:r>
    </w:p>
    <w:bookmarkEnd w:id="3"/>
    <w:p w14:paraId="6208E9D5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）供应商取得本项目首批中试原料药之后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个月内完成原料药质量标准研究工作；并开始原料药稳定性研究工作（前期加速试验与长期稳定性试验各考察</w:t>
      </w:r>
      <w:r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个月，</w:t>
      </w:r>
      <w:r>
        <w:rPr>
          <w:rFonts w:hint="eastAsia"/>
          <w:sz w:val="24"/>
          <w:szCs w:val="28"/>
        </w:rPr>
        <w:lastRenderedPageBreak/>
        <w:t>后续继续完成长期稳定性试验研究）。</w:t>
      </w:r>
    </w:p>
    <w:p w14:paraId="0AFF777C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）之后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个月内完成</w:t>
      </w:r>
      <w:bookmarkStart w:id="4" w:name="_Hlk175178715"/>
      <w:r>
        <w:rPr>
          <w:rFonts w:hint="eastAsia"/>
          <w:sz w:val="24"/>
          <w:szCs w:val="28"/>
        </w:rPr>
        <w:t>杂质研究</w:t>
      </w:r>
      <w:bookmarkEnd w:id="4"/>
      <w:r>
        <w:rPr>
          <w:rFonts w:hint="eastAsia"/>
          <w:sz w:val="24"/>
          <w:szCs w:val="28"/>
        </w:rPr>
        <w:t>和</w:t>
      </w:r>
      <w:bookmarkStart w:id="5" w:name="_Hlk175178299"/>
      <w:r>
        <w:rPr>
          <w:rFonts w:hint="eastAsia"/>
          <w:sz w:val="24"/>
          <w:szCs w:val="28"/>
        </w:rPr>
        <w:t>原料药</w:t>
      </w:r>
      <w:r>
        <w:rPr>
          <w:sz w:val="24"/>
        </w:rPr>
        <w:t>IND</w:t>
      </w:r>
      <w:r>
        <w:rPr>
          <w:sz w:val="24"/>
        </w:rPr>
        <w:t>申请药学研究部分</w:t>
      </w:r>
      <w:r>
        <w:rPr>
          <w:rFonts w:hint="eastAsia"/>
          <w:sz w:val="24"/>
          <w:szCs w:val="28"/>
        </w:rPr>
        <w:t>注册申报资料的整理与审核</w:t>
      </w:r>
      <w:bookmarkEnd w:id="5"/>
      <w:r>
        <w:rPr>
          <w:rFonts w:hint="eastAsia"/>
          <w:sz w:val="24"/>
          <w:szCs w:val="28"/>
        </w:rPr>
        <w:t>。</w:t>
      </w:r>
    </w:p>
    <w:p w14:paraId="05978121" w14:textId="77777777" w:rsidR="00684B1A" w:rsidRDefault="00000000">
      <w:pPr>
        <w:spacing w:after="0" w:line="360" w:lineRule="auto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2 </w:t>
      </w:r>
      <w:r>
        <w:rPr>
          <w:rFonts w:hint="eastAsia"/>
          <w:b/>
          <w:bCs/>
          <w:sz w:val="24"/>
        </w:rPr>
        <w:t>本项目制剂药学研究：</w:t>
      </w:r>
    </w:p>
    <w:p w14:paraId="2041817E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  <w:szCs w:val="28"/>
        </w:rPr>
      </w:pPr>
      <w:r>
        <w:rPr>
          <w:sz w:val="24"/>
          <w:szCs w:val="28"/>
        </w:rPr>
        <w:t>（</w:t>
      </w:r>
      <w:r>
        <w:rPr>
          <w:sz w:val="24"/>
          <w:szCs w:val="28"/>
        </w:rPr>
        <w:t>1</w:t>
      </w:r>
      <w:r>
        <w:rPr>
          <w:sz w:val="24"/>
          <w:szCs w:val="28"/>
        </w:rPr>
        <w:t>）</w:t>
      </w:r>
      <w:r>
        <w:rPr>
          <w:rFonts w:hint="eastAsia"/>
          <w:sz w:val="24"/>
          <w:szCs w:val="28"/>
        </w:rPr>
        <w:t>供应商在</w:t>
      </w:r>
      <w:r>
        <w:rPr>
          <w:sz w:val="24"/>
          <w:szCs w:val="28"/>
        </w:rPr>
        <w:t>获得</w:t>
      </w:r>
      <w:r>
        <w:rPr>
          <w:rFonts w:hint="eastAsia"/>
          <w:sz w:val="24"/>
          <w:szCs w:val="28"/>
        </w:rPr>
        <w:t>用于制剂</w:t>
      </w:r>
      <w:r>
        <w:rPr>
          <w:sz w:val="24"/>
          <w:szCs w:val="28"/>
        </w:rPr>
        <w:t>研究的原料药后</w:t>
      </w:r>
      <w:r>
        <w:rPr>
          <w:rFonts w:hint="eastAsia"/>
          <w:sz w:val="24"/>
          <w:szCs w:val="28"/>
        </w:rPr>
        <w:t>4</w:t>
      </w:r>
      <w:r>
        <w:rPr>
          <w:sz w:val="24"/>
          <w:szCs w:val="28"/>
        </w:rPr>
        <w:t>个月内，完成制剂处方工艺研究、</w:t>
      </w:r>
      <w:proofErr w:type="gramStart"/>
      <w:r>
        <w:rPr>
          <w:sz w:val="24"/>
          <w:szCs w:val="28"/>
        </w:rPr>
        <w:t>小试验证</w:t>
      </w:r>
      <w:proofErr w:type="gramEnd"/>
      <w:r>
        <w:rPr>
          <w:rFonts w:hint="eastAsia"/>
          <w:sz w:val="24"/>
          <w:szCs w:val="28"/>
        </w:rPr>
        <w:t>或中试放大</w:t>
      </w:r>
      <w:r>
        <w:rPr>
          <w:sz w:val="24"/>
          <w:szCs w:val="28"/>
        </w:rPr>
        <w:t>影响因素考察。</w:t>
      </w:r>
    </w:p>
    <w:p w14:paraId="0C118296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  <w:szCs w:val="28"/>
        </w:rPr>
      </w:pPr>
      <w:r>
        <w:rPr>
          <w:sz w:val="24"/>
          <w:szCs w:val="28"/>
        </w:rPr>
        <w:t>（</w:t>
      </w:r>
      <w:r>
        <w:rPr>
          <w:sz w:val="24"/>
          <w:szCs w:val="28"/>
        </w:rPr>
        <w:t>2</w:t>
      </w:r>
      <w:r>
        <w:rPr>
          <w:sz w:val="24"/>
          <w:szCs w:val="28"/>
        </w:rPr>
        <w:t>）</w:t>
      </w:r>
      <w:r>
        <w:rPr>
          <w:rFonts w:hint="eastAsia"/>
          <w:sz w:val="24"/>
          <w:szCs w:val="28"/>
        </w:rPr>
        <w:t>供应商</w:t>
      </w:r>
      <w:r>
        <w:rPr>
          <w:sz w:val="24"/>
          <w:szCs w:val="28"/>
        </w:rPr>
        <w:t>获得</w:t>
      </w:r>
      <w:r>
        <w:rPr>
          <w:rFonts w:hint="eastAsia"/>
          <w:sz w:val="24"/>
          <w:szCs w:val="28"/>
        </w:rPr>
        <w:t>制剂</w:t>
      </w:r>
      <w:r>
        <w:rPr>
          <w:sz w:val="24"/>
          <w:szCs w:val="28"/>
        </w:rPr>
        <w:t>研究的原料药后</w:t>
      </w:r>
      <w:r>
        <w:rPr>
          <w:rFonts w:hint="eastAsia"/>
          <w:sz w:val="24"/>
          <w:szCs w:val="28"/>
        </w:rPr>
        <w:t>8</w:t>
      </w:r>
      <w:r>
        <w:rPr>
          <w:sz w:val="24"/>
          <w:szCs w:val="28"/>
        </w:rPr>
        <w:t>个月内，完成</w:t>
      </w:r>
      <w:r>
        <w:rPr>
          <w:rFonts w:hint="eastAsia"/>
          <w:sz w:val="24"/>
          <w:szCs w:val="28"/>
        </w:rPr>
        <w:t>制剂</w:t>
      </w:r>
      <w:r>
        <w:rPr>
          <w:sz w:val="24"/>
          <w:szCs w:val="28"/>
        </w:rPr>
        <w:t>中试样品生产</w:t>
      </w:r>
      <w:r>
        <w:rPr>
          <w:rFonts w:hint="eastAsia"/>
          <w:sz w:val="24"/>
          <w:szCs w:val="28"/>
        </w:rPr>
        <w:t>、药理毒理样品生产及制剂</w:t>
      </w:r>
      <w:r>
        <w:rPr>
          <w:sz w:val="24"/>
          <w:szCs w:val="28"/>
        </w:rPr>
        <w:t>质量标准研究。</w:t>
      </w:r>
    </w:p>
    <w:p w14:paraId="16CB76BB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  <w:szCs w:val="28"/>
        </w:rPr>
      </w:pPr>
      <w:bookmarkStart w:id="6" w:name="_Hlk200447825"/>
      <w:r>
        <w:rPr>
          <w:sz w:val="24"/>
          <w:szCs w:val="28"/>
        </w:rPr>
        <w:t>（</w:t>
      </w:r>
      <w:r>
        <w:rPr>
          <w:sz w:val="24"/>
          <w:szCs w:val="28"/>
        </w:rPr>
        <w:t>3</w:t>
      </w:r>
      <w:r>
        <w:rPr>
          <w:sz w:val="24"/>
          <w:szCs w:val="28"/>
        </w:rPr>
        <w:t>）</w:t>
      </w:r>
      <w:r>
        <w:rPr>
          <w:rFonts w:hint="eastAsia"/>
          <w:sz w:val="24"/>
          <w:szCs w:val="28"/>
        </w:rPr>
        <w:t>供应商在完成制剂中试样品生产</w:t>
      </w:r>
      <w:r>
        <w:rPr>
          <w:sz w:val="24"/>
          <w:szCs w:val="28"/>
        </w:rPr>
        <w:t>后</w:t>
      </w:r>
      <w:r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个月内完成制剂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个月稳定性研究</w:t>
      </w:r>
      <w:r>
        <w:rPr>
          <w:rFonts w:hint="eastAsia"/>
          <w:color w:val="000000" w:themeColor="text1"/>
          <w:sz w:val="24"/>
          <w:szCs w:val="28"/>
        </w:rPr>
        <w:t>（前期加速试验与长期稳定性试验各考察</w:t>
      </w:r>
      <w:r>
        <w:rPr>
          <w:rFonts w:hint="eastAsia"/>
          <w:color w:val="000000" w:themeColor="text1"/>
          <w:sz w:val="24"/>
          <w:szCs w:val="28"/>
        </w:rPr>
        <w:t>1</w:t>
      </w:r>
      <w:r>
        <w:rPr>
          <w:rFonts w:hint="eastAsia"/>
          <w:color w:val="000000" w:themeColor="text1"/>
          <w:sz w:val="24"/>
          <w:szCs w:val="28"/>
        </w:rPr>
        <w:t>个月，后续继续完成加速试验与长期稳定性试验研究）</w:t>
      </w:r>
      <w:r>
        <w:rPr>
          <w:sz w:val="24"/>
          <w:szCs w:val="28"/>
        </w:rPr>
        <w:t>和制剂药学部分注册申报资料的整理、撰写，并将形成的药学部分申报资料用于</w:t>
      </w:r>
      <w:r>
        <w:rPr>
          <w:sz w:val="24"/>
          <w:szCs w:val="28"/>
        </w:rPr>
        <w:t>IND</w:t>
      </w:r>
      <w:r>
        <w:rPr>
          <w:sz w:val="24"/>
          <w:szCs w:val="28"/>
        </w:rPr>
        <w:t>申请沟通审评会申请。</w:t>
      </w:r>
    </w:p>
    <w:bookmarkEnd w:id="6"/>
    <w:p w14:paraId="1696AD4B" w14:textId="77777777" w:rsidR="00684B1A" w:rsidRDefault="00000000">
      <w:pPr>
        <w:spacing w:after="0" w:line="360" w:lineRule="auto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</w:t>
      </w:r>
      <w:bookmarkStart w:id="7" w:name="_Hlk175311499"/>
      <w:bookmarkStart w:id="8" w:name="_Hlk167314276"/>
      <w:r>
        <w:rPr>
          <w:rFonts w:hint="eastAsia"/>
          <w:b/>
          <w:bCs/>
          <w:sz w:val="24"/>
        </w:rPr>
        <w:t>主要药效学研究</w:t>
      </w:r>
      <w:bookmarkEnd w:id="7"/>
      <w:r>
        <w:rPr>
          <w:rFonts w:hint="eastAsia"/>
          <w:b/>
          <w:bCs/>
          <w:sz w:val="24"/>
        </w:rPr>
        <w:t>、药代动力学与安全性评价研究</w:t>
      </w:r>
      <w:bookmarkEnd w:id="8"/>
      <w:r>
        <w:rPr>
          <w:rFonts w:hint="eastAsia"/>
          <w:b/>
          <w:bCs/>
          <w:sz w:val="24"/>
        </w:rPr>
        <w:t>：</w:t>
      </w:r>
    </w:p>
    <w:p w14:paraId="2D82C30E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  <w:szCs w:val="28"/>
        </w:rPr>
      </w:pPr>
      <w:bookmarkStart w:id="9" w:name="_Hlk167314089"/>
      <w:r>
        <w:rPr>
          <w:sz w:val="24"/>
          <w:szCs w:val="28"/>
        </w:rPr>
        <w:t>（</w:t>
      </w:r>
      <w:r>
        <w:rPr>
          <w:sz w:val="24"/>
          <w:szCs w:val="28"/>
        </w:rPr>
        <w:t>1</w:t>
      </w:r>
      <w:r>
        <w:rPr>
          <w:sz w:val="24"/>
          <w:szCs w:val="28"/>
        </w:rPr>
        <w:t>）</w:t>
      </w:r>
      <w:r>
        <w:rPr>
          <w:rFonts w:hint="eastAsia"/>
          <w:sz w:val="24"/>
          <w:szCs w:val="28"/>
        </w:rPr>
        <w:t>供应商在取得合格的</w:t>
      </w:r>
      <w:bookmarkStart w:id="10" w:name="_Hlk167313900"/>
      <w:r>
        <w:rPr>
          <w:rFonts w:hint="eastAsia"/>
          <w:sz w:val="24"/>
          <w:szCs w:val="28"/>
        </w:rPr>
        <w:t>药理毒理试验用药样品</w:t>
      </w:r>
      <w:bookmarkEnd w:id="10"/>
      <w:r>
        <w:rPr>
          <w:rFonts w:hint="eastAsia"/>
          <w:sz w:val="24"/>
          <w:szCs w:val="28"/>
        </w:rPr>
        <w:t>后，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个月内完成本项目主要药效学研究、药代动力学与安全性评价研究，并提交研究报告</w:t>
      </w:r>
      <w:r>
        <w:rPr>
          <w:sz w:val="24"/>
          <w:szCs w:val="28"/>
        </w:rPr>
        <w:t>。</w:t>
      </w:r>
    </w:p>
    <w:bookmarkEnd w:id="9"/>
    <w:p w14:paraId="0C81BB64" w14:textId="77777777" w:rsidR="00684B1A" w:rsidRDefault="00000000">
      <w:pPr>
        <w:spacing w:after="0" w:line="360" w:lineRule="auto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</w:t>
      </w:r>
      <w:r>
        <w:rPr>
          <w:b/>
          <w:sz w:val="24"/>
          <w:szCs w:val="28"/>
        </w:rPr>
        <w:t>资料整理与注册申报：</w:t>
      </w:r>
    </w:p>
    <w:p w14:paraId="67FEB3DB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双</w:t>
      </w:r>
      <w:r>
        <w:rPr>
          <w:sz w:val="24"/>
          <w:szCs w:val="28"/>
        </w:rPr>
        <w:t>方约定，共同努力在</w:t>
      </w:r>
      <w:r>
        <w:rPr>
          <w:rFonts w:hint="eastAsia"/>
          <w:sz w:val="24"/>
          <w:szCs w:val="28"/>
        </w:rPr>
        <w:t>首款、试验必须材料到位</w:t>
      </w:r>
      <w:r>
        <w:rPr>
          <w:sz w:val="24"/>
          <w:szCs w:val="28"/>
        </w:rPr>
        <w:t>后</w:t>
      </w:r>
      <w:r>
        <w:rPr>
          <w:rFonts w:hint="eastAsia"/>
          <w:sz w:val="24"/>
          <w:szCs w:val="28"/>
        </w:rPr>
        <w:t>19</w:t>
      </w:r>
      <w:r>
        <w:rPr>
          <w:sz w:val="24"/>
          <w:szCs w:val="28"/>
        </w:rPr>
        <w:t>个月完成可用于</w:t>
      </w:r>
      <w:r>
        <w:rPr>
          <w:rFonts w:hint="eastAsia"/>
          <w:sz w:val="24"/>
          <w:szCs w:val="28"/>
        </w:rPr>
        <w:t xml:space="preserve">NMPA </w:t>
      </w:r>
      <w:r>
        <w:rPr>
          <w:rFonts w:hint="eastAsia"/>
          <w:sz w:val="24"/>
          <w:szCs w:val="28"/>
        </w:rPr>
        <w:t>Ⅰ期</w:t>
      </w:r>
      <w:r>
        <w:rPr>
          <w:sz w:val="24"/>
          <w:szCs w:val="28"/>
        </w:rPr>
        <w:t>临床试验许可申请的试验研究与申报资料整理工作。</w:t>
      </w:r>
      <w:r>
        <w:rPr>
          <w:rFonts w:hint="eastAsia"/>
          <w:sz w:val="24"/>
          <w:szCs w:val="28"/>
        </w:rPr>
        <w:t>说明：</w:t>
      </w:r>
      <w:r>
        <w:rPr>
          <w:rFonts w:hint="eastAsia"/>
          <w:sz w:val="24"/>
          <w:szCs w:val="28"/>
        </w:rPr>
        <w:t>Pre-IND</w:t>
      </w:r>
      <w:r>
        <w:rPr>
          <w:rFonts w:hint="eastAsia"/>
          <w:sz w:val="24"/>
          <w:szCs w:val="28"/>
        </w:rPr>
        <w:t>沟通交流会如延期召开，</w:t>
      </w:r>
      <w:r>
        <w:rPr>
          <w:rFonts w:hint="eastAsia"/>
          <w:sz w:val="24"/>
          <w:szCs w:val="28"/>
        </w:rPr>
        <w:t>IND</w:t>
      </w:r>
      <w:r>
        <w:rPr>
          <w:rFonts w:hint="eastAsia"/>
          <w:sz w:val="24"/>
          <w:szCs w:val="28"/>
        </w:rPr>
        <w:t>申报时间顺延。向我院申请验收。</w:t>
      </w:r>
    </w:p>
    <w:p w14:paraId="3146D22B" w14:textId="77777777" w:rsidR="00684B1A" w:rsidRDefault="00000000">
      <w:pPr>
        <w:pStyle w:val="aff0"/>
        <w:numPr>
          <w:ilvl w:val="0"/>
          <w:numId w:val="2"/>
        </w:numPr>
        <w:spacing w:line="360" w:lineRule="auto"/>
        <w:jc w:val="left"/>
        <w:rPr>
          <w:b/>
          <w:sz w:val="24"/>
        </w:rPr>
      </w:pPr>
      <w:r>
        <w:rPr>
          <w:rFonts w:asciiTheme="minorHAnsi" w:eastAsiaTheme="minorHAnsi" w:hAnsiTheme="minorHAnsi"/>
          <w:b/>
          <w:bCs/>
          <w:kern w:val="44"/>
          <w:sz w:val="32"/>
          <w:szCs w:val="32"/>
        </w:rPr>
        <w:t>技术开发质量要求</w:t>
      </w:r>
    </w:p>
    <w:p w14:paraId="04F98DE5" w14:textId="429B8D95" w:rsidR="00684B1A" w:rsidRDefault="00000000">
      <w:pPr>
        <w:spacing w:after="0" w:line="360" w:lineRule="auto"/>
        <w:ind w:firstLineChars="200" w:firstLine="480"/>
        <w:jc w:val="left"/>
        <w:rPr>
          <w:b/>
          <w:sz w:val="24"/>
        </w:rPr>
      </w:pPr>
      <w:r>
        <w:rPr>
          <w:rFonts w:hint="eastAsia"/>
          <w:sz w:val="24"/>
        </w:rPr>
        <w:t>符合现行《药品注册管理办法》（</w:t>
      </w:r>
      <w:proofErr w:type="gramStart"/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年局令第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号</w:t>
      </w:r>
      <w:proofErr w:type="gramEnd"/>
      <w:r>
        <w:rPr>
          <w:rFonts w:hint="eastAsia"/>
          <w:sz w:val="24"/>
        </w:rPr>
        <w:t>）、《化学药品注册分类及申报资料要求》（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年第</w:t>
      </w:r>
      <w:r>
        <w:rPr>
          <w:rFonts w:hint="eastAsia"/>
          <w:sz w:val="24"/>
        </w:rPr>
        <w:t>44</w:t>
      </w:r>
      <w:r>
        <w:rPr>
          <w:rFonts w:hint="eastAsia"/>
          <w:sz w:val="24"/>
        </w:rPr>
        <w:t>号）、《新药</w:t>
      </w:r>
      <w:bookmarkStart w:id="11" w:name="_Hlk167363739"/>
      <w:r>
        <w:rPr>
          <w:rFonts w:hint="eastAsia"/>
          <w:sz w:val="24"/>
        </w:rPr>
        <w:t>I</w:t>
      </w:r>
      <w:r>
        <w:rPr>
          <w:rFonts w:hint="eastAsia"/>
          <w:sz w:val="24"/>
        </w:rPr>
        <w:t>期</w:t>
      </w:r>
      <w:bookmarkEnd w:id="11"/>
      <w:r>
        <w:rPr>
          <w:rFonts w:hint="eastAsia"/>
          <w:sz w:val="24"/>
        </w:rPr>
        <w:t>临床试验申请技术指南》、《</w:t>
      </w:r>
      <w:r>
        <w:rPr>
          <w:rFonts w:hint="eastAsia"/>
          <w:sz w:val="24"/>
        </w:rPr>
        <w:t>M4</w:t>
      </w:r>
      <w:r>
        <w:rPr>
          <w:rFonts w:hint="eastAsia"/>
          <w:sz w:val="24"/>
        </w:rPr>
        <w:t>：人用药物注册申请通用技术文档（</w:t>
      </w:r>
      <w:r>
        <w:rPr>
          <w:rFonts w:hint="eastAsia"/>
          <w:sz w:val="24"/>
        </w:rPr>
        <w:t>CTD</w:t>
      </w:r>
      <w:r>
        <w:rPr>
          <w:rFonts w:hint="eastAsia"/>
          <w:sz w:val="24"/>
        </w:rPr>
        <w:t>）》</w:t>
      </w:r>
      <w:r w:rsidR="00912025">
        <w:rPr>
          <w:rFonts w:hint="eastAsia"/>
          <w:sz w:val="24"/>
        </w:rPr>
        <w:t>等</w:t>
      </w:r>
      <w:r>
        <w:rPr>
          <w:rFonts w:hint="eastAsia"/>
          <w:sz w:val="24"/>
        </w:rPr>
        <w:t>要求。</w:t>
      </w:r>
    </w:p>
    <w:p w14:paraId="74C54E99" w14:textId="77777777" w:rsidR="00684B1A" w:rsidRDefault="00000000">
      <w:pPr>
        <w:pStyle w:val="1"/>
        <w:numPr>
          <w:ilvl w:val="0"/>
          <w:numId w:val="2"/>
        </w:numPr>
        <w:spacing w:before="0" w:after="0"/>
        <w:rPr>
          <w:rFonts w:asciiTheme="minorHAnsi" w:eastAsiaTheme="minorHAnsi" w:hAnsiTheme="minorHAnsi" w:hint="eastAsia"/>
          <w:sz w:val="32"/>
          <w:szCs w:val="32"/>
        </w:rPr>
      </w:pPr>
      <w:r>
        <w:rPr>
          <w:rFonts w:asciiTheme="minorHAnsi" w:eastAsiaTheme="minorHAnsi" w:hAnsiTheme="minorHAnsi"/>
          <w:sz w:val="32"/>
          <w:szCs w:val="32"/>
        </w:rPr>
        <w:t>技术服务质量期限要求</w:t>
      </w:r>
    </w:p>
    <w:p w14:paraId="50653D91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本项目提交</w:t>
      </w:r>
      <w:r>
        <w:rPr>
          <w:rFonts w:hint="eastAsia"/>
          <w:sz w:val="24"/>
        </w:rPr>
        <w:t>临床前研究</w:t>
      </w:r>
      <w:r>
        <w:rPr>
          <w:sz w:val="24"/>
        </w:rPr>
        <w:t>注册申报资料起</w:t>
      </w:r>
      <w:r>
        <w:rPr>
          <w:sz w:val="24"/>
        </w:rPr>
        <w:t>5</w:t>
      </w:r>
      <w:r>
        <w:rPr>
          <w:sz w:val="24"/>
        </w:rPr>
        <w:t>年。</w:t>
      </w:r>
    </w:p>
    <w:p w14:paraId="56F7B26D" w14:textId="77777777" w:rsidR="00684B1A" w:rsidRDefault="00000000">
      <w:pPr>
        <w:pStyle w:val="1"/>
        <w:numPr>
          <w:ilvl w:val="0"/>
          <w:numId w:val="2"/>
        </w:numPr>
        <w:spacing w:before="0" w:after="0"/>
        <w:rPr>
          <w:rFonts w:asciiTheme="minorHAnsi" w:eastAsiaTheme="minorHAnsi" w:hAnsiTheme="minorHAnsi" w:hint="eastAsia"/>
          <w:sz w:val="32"/>
          <w:szCs w:val="32"/>
        </w:rPr>
      </w:pPr>
      <w:r>
        <w:rPr>
          <w:rFonts w:asciiTheme="minorHAnsi" w:eastAsiaTheme="minorHAnsi" w:hAnsiTheme="minorHAnsi"/>
          <w:sz w:val="32"/>
          <w:szCs w:val="32"/>
        </w:rPr>
        <w:t>原始资料保存期限</w:t>
      </w:r>
    </w:p>
    <w:p w14:paraId="7784D5C3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本项目全部资料甲方验收通过之日起</w:t>
      </w:r>
      <w:r>
        <w:rPr>
          <w:sz w:val="24"/>
        </w:rPr>
        <w:t>5</w:t>
      </w:r>
      <w:r>
        <w:rPr>
          <w:sz w:val="24"/>
        </w:rPr>
        <w:t>年。</w:t>
      </w:r>
    </w:p>
    <w:p w14:paraId="3E0995B2" w14:textId="77777777" w:rsidR="00684B1A" w:rsidRDefault="00000000">
      <w:pPr>
        <w:pStyle w:val="1"/>
        <w:numPr>
          <w:ilvl w:val="0"/>
          <w:numId w:val="2"/>
        </w:numPr>
        <w:spacing w:before="0" w:after="0"/>
        <w:rPr>
          <w:rFonts w:asciiTheme="minorHAnsi" w:eastAsiaTheme="minorHAnsi" w:hAnsiTheme="minorHAnsi" w:hint="eastAsia"/>
          <w:sz w:val="32"/>
          <w:szCs w:val="32"/>
        </w:rPr>
      </w:pPr>
      <w:r>
        <w:rPr>
          <w:rFonts w:asciiTheme="minorHAnsi" w:eastAsiaTheme="minorHAnsi" w:hAnsiTheme="minorHAnsi" w:hint="eastAsia"/>
          <w:sz w:val="32"/>
          <w:szCs w:val="32"/>
        </w:rPr>
        <w:lastRenderedPageBreak/>
        <w:t>合同款支付方式</w:t>
      </w:r>
    </w:p>
    <w:p w14:paraId="10C0B13F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本项目技术开发费用由</w:t>
      </w:r>
      <w:r>
        <w:rPr>
          <w:rFonts w:hint="eastAsia"/>
          <w:sz w:val="24"/>
        </w:rPr>
        <w:t>我院</w:t>
      </w:r>
      <w:r>
        <w:rPr>
          <w:sz w:val="24"/>
        </w:rPr>
        <w:t>分</w:t>
      </w:r>
      <w:r>
        <w:rPr>
          <w:sz w:val="24"/>
        </w:rPr>
        <w:t xml:space="preserve"> </w:t>
      </w:r>
      <w:r>
        <w:rPr>
          <w:sz w:val="24"/>
        </w:rPr>
        <w:t>陆期</w:t>
      </w:r>
      <w:r>
        <w:rPr>
          <w:sz w:val="24"/>
        </w:rPr>
        <w:t xml:space="preserve">  </w:t>
      </w:r>
      <w:r>
        <w:rPr>
          <w:sz w:val="24"/>
        </w:rPr>
        <w:t>支付给</w:t>
      </w:r>
      <w:r>
        <w:rPr>
          <w:rFonts w:hint="eastAsia"/>
          <w:sz w:val="24"/>
        </w:rPr>
        <w:t>供应商</w:t>
      </w:r>
      <w:r>
        <w:rPr>
          <w:sz w:val="24"/>
        </w:rPr>
        <w:t>，具体的支付方式和时间节点如下：</w:t>
      </w:r>
    </w:p>
    <w:p w14:paraId="4B5C80B9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）合同签订后</w:t>
      </w:r>
      <w:r>
        <w:rPr>
          <w:sz w:val="24"/>
        </w:rPr>
        <w:t>10</w:t>
      </w:r>
      <w:r>
        <w:rPr>
          <w:rFonts w:hint="eastAsia"/>
          <w:sz w:val="24"/>
        </w:rPr>
        <w:t>个工作日内，我院支付供应商</w:t>
      </w:r>
      <w:r>
        <w:rPr>
          <w:rFonts w:hint="eastAsia"/>
          <w:sz w:val="24"/>
        </w:rPr>
        <w:t>30%</w:t>
      </w:r>
      <w:r>
        <w:rPr>
          <w:rFonts w:hint="eastAsia"/>
          <w:sz w:val="24"/>
        </w:rPr>
        <w:t>技术开发费。</w:t>
      </w:r>
    </w:p>
    <w:p w14:paraId="36C313F2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）供应商完成制剂小试工艺研究后（提交小试工艺研究小结报告）</w:t>
      </w:r>
      <w:r>
        <w:rPr>
          <w:sz w:val="24"/>
        </w:rPr>
        <w:t>10</w:t>
      </w:r>
      <w:r>
        <w:rPr>
          <w:rFonts w:hint="eastAsia"/>
          <w:sz w:val="24"/>
        </w:rPr>
        <w:t>个工作日内，我院支付供应商</w:t>
      </w:r>
      <w:r>
        <w:rPr>
          <w:rFonts w:hint="eastAsia"/>
          <w:sz w:val="24"/>
        </w:rPr>
        <w:t>2</w:t>
      </w:r>
      <w:r>
        <w:rPr>
          <w:sz w:val="24"/>
        </w:rPr>
        <w:t>0%</w:t>
      </w:r>
      <w:r>
        <w:rPr>
          <w:rFonts w:hint="eastAsia"/>
          <w:sz w:val="24"/>
        </w:rPr>
        <w:t>技术开发费。</w:t>
      </w:r>
    </w:p>
    <w:p w14:paraId="74E1037A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）供应商开始本项目主要药效学</w:t>
      </w:r>
      <w:r>
        <w:rPr>
          <w:sz w:val="24"/>
        </w:rPr>
        <w:t>10</w:t>
      </w:r>
      <w:r>
        <w:rPr>
          <w:rFonts w:hint="eastAsia"/>
          <w:sz w:val="24"/>
        </w:rPr>
        <w:t>个工作日内，我院支付供应商约</w:t>
      </w:r>
      <w:r>
        <w:rPr>
          <w:rFonts w:hint="eastAsia"/>
          <w:sz w:val="24"/>
        </w:rPr>
        <w:t>2</w:t>
      </w:r>
      <w:r>
        <w:rPr>
          <w:sz w:val="24"/>
        </w:rPr>
        <w:t>0%</w:t>
      </w:r>
      <w:r>
        <w:rPr>
          <w:rFonts w:hint="eastAsia"/>
          <w:sz w:val="24"/>
        </w:rPr>
        <w:t>技术开发费。</w:t>
      </w:r>
    </w:p>
    <w:p w14:paraId="774F53FB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）供应商完成</w:t>
      </w:r>
      <w:r>
        <w:rPr>
          <w:rFonts w:hint="eastAsia"/>
          <w:sz w:val="24"/>
        </w:rPr>
        <w:t>SD</w:t>
      </w:r>
      <w:r>
        <w:rPr>
          <w:rFonts w:hint="eastAsia"/>
          <w:sz w:val="24"/>
        </w:rPr>
        <w:t>大鼠重复给药毒性研究，并提交初步报告（电子版）后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个工作日内，我院支付供应商</w:t>
      </w:r>
      <w:r>
        <w:rPr>
          <w:rFonts w:hint="eastAsia"/>
          <w:sz w:val="24"/>
        </w:rPr>
        <w:t>2</w:t>
      </w:r>
      <w:r>
        <w:rPr>
          <w:sz w:val="24"/>
        </w:rPr>
        <w:t>0%</w:t>
      </w:r>
      <w:r>
        <w:rPr>
          <w:rFonts w:hint="eastAsia"/>
          <w:sz w:val="24"/>
        </w:rPr>
        <w:t>技术开发费。</w:t>
      </w:r>
    </w:p>
    <w:p w14:paraId="3955BD58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）供应商完成本项目原料与制剂药学及非临床研究，完成</w:t>
      </w:r>
      <w:r>
        <w:rPr>
          <w:rFonts w:hint="eastAsia"/>
          <w:sz w:val="24"/>
        </w:rPr>
        <w:t>IND</w:t>
      </w:r>
      <w:r>
        <w:rPr>
          <w:rFonts w:hint="eastAsia"/>
          <w:sz w:val="24"/>
        </w:rPr>
        <w:t>申请注册申报资料的整理，向我院提交电子版资料，经我院审核通过后</w:t>
      </w:r>
      <w:r>
        <w:rPr>
          <w:sz w:val="24"/>
        </w:rPr>
        <w:t>10</w:t>
      </w:r>
      <w:r>
        <w:rPr>
          <w:rFonts w:hint="eastAsia"/>
          <w:sz w:val="24"/>
        </w:rPr>
        <w:t>个工作日内，我院支付供应商</w:t>
      </w:r>
      <w:r>
        <w:rPr>
          <w:sz w:val="24"/>
        </w:rPr>
        <w:t>5%</w:t>
      </w:r>
      <w:r>
        <w:rPr>
          <w:rFonts w:hint="eastAsia"/>
          <w:sz w:val="24"/>
        </w:rPr>
        <w:t>技术开发费。</w:t>
      </w:r>
    </w:p>
    <w:p w14:paraId="294DA7DF" w14:textId="77777777" w:rsidR="00684B1A" w:rsidRDefault="00000000">
      <w:pPr>
        <w:spacing w:after="0"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6</w:t>
      </w:r>
      <w:r>
        <w:rPr>
          <w:rFonts w:hint="eastAsia"/>
          <w:sz w:val="24"/>
        </w:rPr>
        <w:t>）本项目通过</w:t>
      </w:r>
      <w:r>
        <w:rPr>
          <w:rFonts w:hint="eastAsia"/>
          <w:sz w:val="24"/>
        </w:rPr>
        <w:t>CDE</w:t>
      </w:r>
      <w:r>
        <w:rPr>
          <w:rFonts w:hint="eastAsia"/>
          <w:sz w:val="24"/>
        </w:rPr>
        <w:t>临床技术审评，取得审批结果（临床试验默示许可）后</w:t>
      </w:r>
      <w:r>
        <w:rPr>
          <w:sz w:val="24"/>
        </w:rPr>
        <w:t>10</w:t>
      </w:r>
      <w:r>
        <w:rPr>
          <w:rFonts w:hint="eastAsia"/>
          <w:sz w:val="24"/>
        </w:rPr>
        <w:t>个工作日内，我院支付供应商</w:t>
      </w:r>
      <w:r>
        <w:rPr>
          <w:sz w:val="24"/>
        </w:rPr>
        <w:t>5%</w:t>
      </w:r>
      <w:r>
        <w:rPr>
          <w:rFonts w:hint="eastAsia"/>
          <w:sz w:val="24"/>
        </w:rPr>
        <w:t>技术开发费。</w:t>
      </w:r>
    </w:p>
    <w:p w14:paraId="232DD3C1" w14:textId="77777777" w:rsidR="00684B1A" w:rsidRDefault="00684B1A">
      <w:pPr>
        <w:spacing w:after="0" w:line="360" w:lineRule="auto"/>
        <w:ind w:firstLineChars="200" w:firstLine="480"/>
        <w:jc w:val="left"/>
        <w:rPr>
          <w:sz w:val="24"/>
        </w:rPr>
      </w:pPr>
    </w:p>
    <w:sectPr w:rsidR="00684B1A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34C2" w14:textId="77777777" w:rsidR="00C06FFE" w:rsidRDefault="00C06FFE">
      <w:pPr>
        <w:spacing w:line="240" w:lineRule="auto"/>
      </w:pPr>
      <w:r>
        <w:separator/>
      </w:r>
    </w:p>
  </w:endnote>
  <w:endnote w:type="continuationSeparator" w:id="0">
    <w:p w14:paraId="38DCCCCA" w14:textId="77777777" w:rsidR="00C06FFE" w:rsidRDefault="00C06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985D" w14:textId="77777777" w:rsidR="00684B1A" w:rsidRDefault="00000000">
    <w:pPr>
      <w:pStyle w:val="aa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2</w:t>
    </w:r>
    <w:r>
      <w:rPr>
        <w:caps/>
        <w:color w:val="5B9BD5"/>
      </w:rPr>
      <w:fldChar w:fldCharType="end"/>
    </w:r>
  </w:p>
  <w:p w14:paraId="2AF2EBBF" w14:textId="77777777" w:rsidR="00684B1A" w:rsidRDefault="00684B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4DD9" w14:textId="77777777" w:rsidR="00C06FFE" w:rsidRDefault="00C06FFE">
      <w:pPr>
        <w:spacing w:after="0"/>
      </w:pPr>
      <w:r>
        <w:separator/>
      </w:r>
    </w:p>
  </w:footnote>
  <w:footnote w:type="continuationSeparator" w:id="0">
    <w:p w14:paraId="570D45C7" w14:textId="77777777" w:rsidR="00C06FFE" w:rsidRDefault="00C06F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520708772">
    <w:abstractNumId w:val="0"/>
  </w:num>
  <w:num w:numId="2" w16cid:durableId="94387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  <w:docVar w:name="KSO_WPS_MARK_KEY" w:val="e9a7c2b1-b6cb-42b3-8a27-79708d26672f"/>
  </w:docVars>
  <w:rsids>
    <w:rsidRoot w:val="00303343"/>
    <w:rsid w:val="FDFF8DF1"/>
    <w:rsid w:val="00003FE0"/>
    <w:rsid w:val="000051D2"/>
    <w:rsid w:val="000079DD"/>
    <w:rsid w:val="00012DCC"/>
    <w:rsid w:val="00016B63"/>
    <w:rsid w:val="000345E2"/>
    <w:rsid w:val="00042DAC"/>
    <w:rsid w:val="0004334E"/>
    <w:rsid w:val="00046B39"/>
    <w:rsid w:val="0005397D"/>
    <w:rsid w:val="00054706"/>
    <w:rsid w:val="00060BCC"/>
    <w:rsid w:val="0006262B"/>
    <w:rsid w:val="0006392F"/>
    <w:rsid w:val="00066DE7"/>
    <w:rsid w:val="00067096"/>
    <w:rsid w:val="00074EDD"/>
    <w:rsid w:val="000757C1"/>
    <w:rsid w:val="000758B4"/>
    <w:rsid w:val="000771F0"/>
    <w:rsid w:val="00086AE0"/>
    <w:rsid w:val="0009064D"/>
    <w:rsid w:val="00090A18"/>
    <w:rsid w:val="000922D7"/>
    <w:rsid w:val="00092449"/>
    <w:rsid w:val="000957A2"/>
    <w:rsid w:val="000A105A"/>
    <w:rsid w:val="000B3C54"/>
    <w:rsid w:val="000B41B7"/>
    <w:rsid w:val="000B5140"/>
    <w:rsid w:val="000C43DA"/>
    <w:rsid w:val="000C4507"/>
    <w:rsid w:val="000C4987"/>
    <w:rsid w:val="000C6796"/>
    <w:rsid w:val="000C6F14"/>
    <w:rsid w:val="000D1030"/>
    <w:rsid w:val="000D5317"/>
    <w:rsid w:val="000E1EA8"/>
    <w:rsid w:val="000E276C"/>
    <w:rsid w:val="000E41AD"/>
    <w:rsid w:val="000F2EB8"/>
    <w:rsid w:val="000F4B02"/>
    <w:rsid w:val="000F76AD"/>
    <w:rsid w:val="000F7757"/>
    <w:rsid w:val="000F7F7B"/>
    <w:rsid w:val="00102A78"/>
    <w:rsid w:val="00106D68"/>
    <w:rsid w:val="001106CE"/>
    <w:rsid w:val="001107F8"/>
    <w:rsid w:val="001116F6"/>
    <w:rsid w:val="0011381D"/>
    <w:rsid w:val="00115944"/>
    <w:rsid w:val="001161EB"/>
    <w:rsid w:val="00116C11"/>
    <w:rsid w:val="00121E40"/>
    <w:rsid w:val="0012322D"/>
    <w:rsid w:val="00123CDF"/>
    <w:rsid w:val="00123FCC"/>
    <w:rsid w:val="00127709"/>
    <w:rsid w:val="00133B96"/>
    <w:rsid w:val="00135BF9"/>
    <w:rsid w:val="001365DD"/>
    <w:rsid w:val="00136606"/>
    <w:rsid w:val="00140E0C"/>
    <w:rsid w:val="001419B5"/>
    <w:rsid w:val="00143C41"/>
    <w:rsid w:val="0014437A"/>
    <w:rsid w:val="00144FC7"/>
    <w:rsid w:val="00147011"/>
    <w:rsid w:val="00147B36"/>
    <w:rsid w:val="001510F0"/>
    <w:rsid w:val="00153AB3"/>
    <w:rsid w:val="00156B1F"/>
    <w:rsid w:val="00157013"/>
    <w:rsid w:val="00162D29"/>
    <w:rsid w:val="00164878"/>
    <w:rsid w:val="00165091"/>
    <w:rsid w:val="00167CB4"/>
    <w:rsid w:val="00171903"/>
    <w:rsid w:val="00176E5D"/>
    <w:rsid w:val="001816ED"/>
    <w:rsid w:val="0018200C"/>
    <w:rsid w:val="001833B6"/>
    <w:rsid w:val="00184014"/>
    <w:rsid w:val="00190CD2"/>
    <w:rsid w:val="0019308A"/>
    <w:rsid w:val="00194BFE"/>
    <w:rsid w:val="001951A2"/>
    <w:rsid w:val="001968C9"/>
    <w:rsid w:val="001971D6"/>
    <w:rsid w:val="00197B45"/>
    <w:rsid w:val="001A22A1"/>
    <w:rsid w:val="001A4535"/>
    <w:rsid w:val="001B0279"/>
    <w:rsid w:val="001B32F6"/>
    <w:rsid w:val="001B33CE"/>
    <w:rsid w:val="001B4850"/>
    <w:rsid w:val="001B7966"/>
    <w:rsid w:val="001B7D79"/>
    <w:rsid w:val="001C23B3"/>
    <w:rsid w:val="001C2CB9"/>
    <w:rsid w:val="001C7BC6"/>
    <w:rsid w:val="001D4A68"/>
    <w:rsid w:val="001D7749"/>
    <w:rsid w:val="001E3B38"/>
    <w:rsid w:val="001E4247"/>
    <w:rsid w:val="001E666F"/>
    <w:rsid w:val="001E671F"/>
    <w:rsid w:val="001E674D"/>
    <w:rsid w:val="001F1AC8"/>
    <w:rsid w:val="00200054"/>
    <w:rsid w:val="002000DE"/>
    <w:rsid w:val="00202EFF"/>
    <w:rsid w:val="0020509F"/>
    <w:rsid w:val="00207A96"/>
    <w:rsid w:val="00214A6F"/>
    <w:rsid w:val="00215B23"/>
    <w:rsid w:val="002177E3"/>
    <w:rsid w:val="00217907"/>
    <w:rsid w:val="00221F1F"/>
    <w:rsid w:val="00222CE0"/>
    <w:rsid w:val="00223E47"/>
    <w:rsid w:val="00233E4E"/>
    <w:rsid w:val="00237630"/>
    <w:rsid w:val="00240194"/>
    <w:rsid w:val="00241D77"/>
    <w:rsid w:val="002509F5"/>
    <w:rsid w:val="002510C3"/>
    <w:rsid w:val="002535AA"/>
    <w:rsid w:val="00255C2E"/>
    <w:rsid w:val="00261CBC"/>
    <w:rsid w:val="00265DE7"/>
    <w:rsid w:val="0026755F"/>
    <w:rsid w:val="00270260"/>
    <w:rsid w:val="002714D4"/>
    <w:rsid w:val="002722CA"/>
    <w:rsid w:val="002747BF"/>
    <w:rsid w:val="002776CA"/>
    <w:rsid w:val="00280B9C"/>
    <w:rsid w:val="002834D3"/>
    <w:rsid w:val="002853BF"/>
    <w:rsid w:val="0028699D"/>
    <w:rsid w:val="00290FA9"/>
    <w:rsid w:val="0029123D"/>
    <w:rsid w:val="00292528"/>
    <w:rsid w:val="0029360B"/>
    <w:rsid w:val="0029386C"/>
    <w:rsid w:val="002948B1"/>
    <w:rsid w:val="002A01D6"/>
    <w:rsid w:val="002A25EB"/>
    <w:rsid w:val="002A4778"/>
    <w:rsid w:val="002A60D7"/>
    <w:rsid w:val="002A6C66"/>
    <w:rsid w:val="002B1BFB"/>
    <w:rsid w:val="002B2EC5"/>
    <w:rsid w:val="002B4A9C"/>
    <w:rsid w:val="002C53D1"/>
    <w:rsid w:val="002D0058"/>
    <w:rsid w:val="002D6BE1"/>
    <w:rsid w:val="002E180E"/>
    <w:rsid w:val="002E3653"/>
    <w:rsid w:val="002E669F"/>
    <w:rsid w:val="002E69EF"/>
    <w:rsid w:val="002F04A5"/>
    <w:rsid w:val="002F10DD"/>
    <w:rsid w:val="002F1F12"/>
    <w:rsid w:val="002F31F1"/>
    <w:rsid w:val="0030154D"/>
    <w:rsid w:val="003024F8"/>
    <w:rsid w:val="00303343"/>
    <w:rsid w:val="00303CAB"/>
    <w:rsid w:val="003042A2"/>
    <w:rsid w:val="00304636"/>
    <w:rsid w:val="00304705"/>
    <w:rsid w:val="00307A4E"/>
    <w:rsid w:val="0031083C"/>
    <w:rsid w:val="00311322"/>
    <w:rsid w:val="00314487"/>
    <w:rsid w:val="00314A5A"/>
    <w:rsid w:val="00322973"/>
    <w:rsid w:val="003255E6"/>
    <w:rsid w:val="00330A49"/>
    <w:rsid w:val="003325F0"/>
    <w:rsid w:val="00337D56"/>
    <w:rsid w:val="00341038"/>
    <w:rsid w:val="00341DE5"/>
    <w:rsid w:val="00343CDE"/>
    <w:rsid w:val="00352E7C"/>
    <w:rsid w:val="00353276"/>
    <w:rsid w:val="003533C1"/>
    <w:rsid w:val="00356F95"/>
    <w:rsid w:val="00360458"/>
    <w:rsid w:val="00366980"/>
    <w:rsid w:val="00370A5D"/>
    <w:rsid w:val="00375E8E"/>
    <w:rsid w:val="003802E2"/>
    <w:rsid w:val="00385E95"/>
    <w:rsid w:val="00385FED"/>
    <w:rsid w:val="003975FE"/>
    <w:rsid w:val="00397B7E"/>
    <w:rsid w:val="003A06F6"/>
    <w:rsid w:val="003A09A2"/>
    <w:rsid w:val="003A2DB4"/>
    <w:rsid w:val="003A6FEA"/>
    <w:rsid w:val="003A7269"/>
    <w:rsid w:val="003B08E0"/>
    <w:rsid w:val="003B0D0A"/>
    <w:rsid w:val="003C0FB7"/>
    <w:rsid w:val="003C6D81"/>
    <w:rsid w:val="003D0F80"/>
    <w:rsid w:val="003D2595"/>
    <w:rsid w:val="003D70AC"/>
    <w:rsid w:val="003E3B11"/>
    <w:rsid w:val="003E63CD"/>
    <w:rsid w:val="003E7083"/>
    <w:rsid w:val="003F3286"/>
    <w:rsid w:val="003F36C9"/>
    <w:rsid w:val="003F629F"/>
    <w:rsid w:val="00403938"/>
    <w:rsid w:val="004046D4"/>
    <w:rsid w:val="00413DA3"/>
    <w:rsid w:val="00414171"/>
    <w:rsid w:val="00415C5E"/>
    <w:rsid w:val="0041787F"/>
    <w:rsid w:val="00420F48"/>
    <w:rsid w:val="0042132C"/>
    <w:rsid w:val="00423450"/>
    <w:rsid w:val="00425578"/>
    <w:rsid w:val="004258F8"/>
    <w:rsid w:val="0042702D"/>
    <w:rsid w:val="00427D3C"/>
    <w:rsid w:val="00435AB6"/>
    <w:rsid w:val="00435C81"/>
    <w:rsid w:val="00437D90"/>
    <w:rsid w:val="0044060A"/>
    <w:rsid w:val="00440F72"/>
    <w:rsid w:val="00447DD9"/>
    <w:rsid w:val="00450580"/>
    <w:rsid w:val="004565AA"/>
    <w:rsid w:val="00456A2C"/>
    <w:rsid w:val="00460EC9"/>
    <w:rsid w:val="004630DC"/>
    <w:rsid w:val="00465665"/>
    <w:rsid w:val="0047013D"/>
    <w:rsid w:val="00474AE0"/>
    <w:rsid w:val="00475304"/>
    <w:rsid w:val="0047796F"/>
    <w:rsid w:val="0048165D"/>
    <w:rsid w:val="00482931"/>
    <w:rsid w:val="0049029F"/>
    <w:rsid w:val="004920B2"/>
    <w:rsid w:val="00495574"/>
    <w:rsid w:val="004A44FF"/>
    <w:rsid w:val="004A4846"/>
    <w:rsid w:val="004A7C3C"/>
    <w:rsid w:val="004B6B12"/>
    <w:rsid w:val="004B7B71"/>
    <w:rsid w:val="004C09E0"/>
    <w:rsid w:val="004C2C5B"/>
    <w:rsid w:val="004C312E"/>
    <w:rsid w:val="004C5D6F"/>
    <w:rsid w:val="004E2D8F"/>
    <w:rsid w:val="004E5E61"/>
    <w:rsid w:val="004F1410"/>
    <w:rsid w:val="004F4A66"/>
    <w:rsid w:val="00500264"/>
    <w:rsid w:val="00501952"/>
    <w:rsid w:val="00502591"/>
    <w:rsid w:val="0050505A"/>
    <w:rsid w:val="0050658F"/>
    <w:rsid w:val="00506850"/>
    <w:rsid w:val="00510B1E"/>
    <w:rsid w:val="00511C38"/>
    <w:rsid w:val="005120A9"/>
    <w:rsid w:val="0051558E"/>
    <w:rsid w:val="00515887"/>
    <w:rsid w:val="00517D7C"/>
    <w:rsid w:val="00520646"/>
    <w:rsid w:val="0052176F"/>
    <w:rsid w:val="00524EB8"/>
    <w:rsid w:val="0052604B"/>
    <w:rsid w:val="0053088D"/>
    <w:rsid w:val="00534BF6"/>
    <w:rsid w:val="00537CDE"/>
    <w:rsid w:val="005409FC"/>
    <w:rsid w:val="00540C64"/>
    <w:rsid w:val="005563D3"/>
    <w:rsid w:val="00560BB2"/>
    <w:rsid w:val="005737F3"/>
    <w:rsid w:val="00575827"/>
    <w:rsid w:val="00575F76"/>
    <w:rsid w:val="005766CE"/>
    <w:rsid w:val="00576E99"/>
    <w:rsid w:val="00580F0E"/>
    <w:rsid w:val="005848B0"/>
    <w:rsid w:val="005901A7"/>
    <w:rsid w:val="00591388"/>
    <w:rsid w:val="0059358B"/>
    <w:rsid w:val="005944F9"/>
    <w:rsid w:val="00596428"/>
    <w:rsid w:val="00596CC5"/>
    <w:rsid w:val="005A4D1C"/>
    <w:rsid w:val="005A6116"/>
    <w:rsid w:val="005B046D"/>
    <w:rsid w:val="005B33AE"/>
    <w:rsid w:val="005B7318"/>
    <w:rsid w:val="005C055A"/>
    <w:rsid w:val="005C49D7"/>
    <w:rsid w:val="005C503E"/>
    <w:rsid w:val="005C5598"/>
    <w:rsid w:val="005C60FB"/>
    <w:rsid w:val="005C7EF5"/>
    <w:rsid w:val="005D13FF"/>
    <w:rsid w:val="005D1C7F"/>
    <w:rsid w:val="005D20B9"/>
    <w:rsid w:val="005D2402"/>
    <w:rsid w:val="005D2BF6"/>
    <w:rsid w:val="005D2F0B"/>
    <w:rsid w:val="005D3A60"/>
    <w:rsid w:val="005D42CD"/>
    <w:rsid w:val="005D59A2"/>
    <w:rsid w:val="005D6828"/>
    <w:rsid w:val="005D6B7D"/>
    <w:rsid w:val="005E0994"/>
    <w:rsid w:val="005E7590"/>
    <w:rsid w:val="005E7C53"/>
    <w:rsid w:val="005F0356"/>
    <w:rsid w:val="005F5DD4"/>
    <w:rsid w:val="005F73BC"/>
    <w:rsid w:val="005F793A"/>
    <w:rsid w:val="00600923"/>
    <w:rsid w:val="00601AA8"/>
    <w:rsid w:val="0060388A"/>
    <w:rsid w:val="006053FC"/>
    <w:rsid w:val="00610864"/>
    <w:rsid w:val="00612F3F"/>
    <w:rsid w:val="00620E68"/>
    <w:rsid w:val="00623637"/>
    <w:rsid w:val="00625153"/>
    <w:rsid w:val="006279C6"/>
    <w:rsid w:val="0063555E"/>
    <w:rsid w:val="006356F2"/>
    <w:rsid w:val="00642733"/>
    <w:rsid w:val="00644F1D"/>
    <w:rsid w:val="0064558D"/>
    <w:rsid w:val="00646B59"/>
    <w:rsid w:val="00647BBF"/>
    <w:rsid w:val="006571CD"/>
    <w:rsid w:val="006604C2"/>
    <w:rsid w:val="00664C75"/>
    <w:rsid w:val="006652E8"/>
    <w:rsid w:val="0067328F"/>
    <w:rsid w:val="006732B3"/>
    <w:rsid w:val="00682A1B"/>
    <w:rsid w:val="00683A36"/>
    <w:rsid w:val="00684B1A"/>
    <w:rsid w:val="006861F5"/>
    <w:rsid w:val="006862A5"/>
    <w:rsid w:val="00696245"/>
    <w:rsid w:val="00697C24"/>
    <w:rsid w:val="00697FBB"/>
    <w:rsid w:val="006A0E29"/>
    <w:rsid w:val="006B2085"/>
    <w:rsid w:val="006B21B8"/>
    <w:rsid w:val="006B7B58"/>
    <w:rsid w:val="006C2640"/>
    <w:rsid w:val="006C36EB"/>
    <w:rsid w:val="006D203C"/>
    <w:rsid w:val="006D283C"/>
    <w:rsid w:val="006D4B15"/>
    <w:rsid w:val="006D59F7"/>
    <w:rsid w:val="006D5A8C"/>
    <w:rsid w:val="006D7F47"/>
    <w:rsid w:val="006E1055"/>
    <w:rsid w:val="006E5E07"/>
    <w:rsid w:val="006E6EB0"/>
    <w:rsid w:val="006F0434"/>
    <w:rsid w:val="006F3A6A"/>
    <w:rsid w:val="006F7E36"/>
    <w:rsid w:val="00701444"/>
    <w:rsid w:val="00701D12"/>
    <w:rsid w:val="00701EA2"/>
    <w:rsid w:val="0070239F"/>
    <w:rsid w:val="0070527D"/>
    <w:rsid w:val="007120D7"/>
    <w:rsid w:val="00715FD0"/>
    <w:rsid w:val="00721602"/>
    <w:rsid w:val="0072309C"/>
    <w:rsid w:val="00723B9A"/>
    <w:rsid w:val="00723F4B"/>
    <w:rsid w:val="0072695B"/>
    <w:rsid w:val="0073068C"/>
    <w:rsid w:val="007314D6"/>
    <w:rsid w:val="00736170"/>
    <w:rsid w:val="0074224C"/>
    <w:rsid w:val="0074334B"/>
    <w:rsid w:val="00745BBA"/>
    <w:rsid w:val="00750A70"/>
    <w:rsid w:val="00752595"/>
    <w:rsid w:val="00752912"/>
    <w:rsid w:val="00754C51"/>
    <w:rsid w:val="007556BE"/>
    <w:rsid w:val="00756CA3"/>
    <w:rsid w:val="007621CC"/>
    <w:rsid w:val="0076599F"/>
    <w:rsid w:val="0076668A"/>
    <w:rsid w:val="007669DA"/>
    <w:rsid w:val="00766AF1"/>
    <w:rsid w:val="00770221"/>
    <w:rsid w:val="0077300B"/>
    <w:rsid w:val="007744CD"/>
    <w:rsid w:val="00784C08"/>
    <w:rsid w:val="00785EDF"/>
    <w:rsid w:val="00786A29"/>
    <w:rsid w:val="007879E0"/>
    <w:rsid w:val="00790065"/>
    <w:rsid w:val="00791A35"/>
    <w:rsid w:val="00795F59"/>
    <w:rsid w:val="00796053"/>
    <w:rsid w:val="00796260"/>
    <w:rsid w:val="00796F7C"/>
    <w:rsid w:val="007A3997"/>
    <w:rsid w:val="007B0B1B"/>
    <w:rsid w:val="007C0A5B"/>
    <w:rsid w:val="007D1CE6"/>
    <w:rsid w:val="007D22AB"/>
    <w:rsid w:val="007E07F7"/>
    <w:rsid w:val="007E0955"/>
    <w:rsid w:val="007E1B88"/>
    <w:rsid w:val="007E6952"/>
    <w:rsid w:val="007E71E6"/>
    <w:rsid w:val="007F1DC0"/>
    <w:rsid w:val="007F23FA"/>
    <w:rsid w:val="007F38D2"/>
    <w:rsid w:val="007F5726"/>
    <w:rsid w:val="008010AD"/>
    <w:rsid w:val="0080798E"/>
    <w:rsid w:val="008168FB"/>
    <w:rsid w:val="00822BA6"/>
    <w:rsid w:val="00823955"/>
    <w:rsid w:val="008419E9"/>
    <w:rsid w:val="00842EB8"/>
    <w:rsid w:val="00843DDB"/>
    <w:rsid w:val="008453B7"/>
    <w:rsid w:val="008470A2"/>
    <w:rsid w:val="00850518"/>
    <w:rsid w:val="008522A5"/>
    <w:rsid w:val="00852CB1"/>
    <w:rsid w:val="0085377F"/>
    <w:rsid w:val="008548FB"/>
    <w:rsid w:val="008616B2"/>
    <w:rsid w:val="00861BFA"/>
    <w:rsid w:val="008623FD"/>
    <w:rsid w:val="0086386B"/>
    <w:rsid w:val="00866774"/>
    <w:rsid w:val="00873467"/>
    <w:rsid w:val="00873B97"/>
    <w:rsid w:val="008867FE"/>
    <w:rsid w:val="00886F08"/>
    <w:rsid w:val="00890B9E"/>
    <w:rsid w:val="00890FE6"/>
    <w:rsid w:val="008977D4"/>
    <w:rsid w:val="0089787E"/>
    <w:rsid w:val="008A62AC"/>
    <w:rsid w:val="008A7FF9"/>
    <w:rsid w:val="008B0C7F"/>
    <w:rsid w:val="008B2206"/>
    <w:rsid w:val="008B2807"/>
    <w:rsid w:val="008B5345"/>
    <w:rsid w:val="008C0962"/>
    <w:rsid w:val="008C0E51"/>
    <w:rsid w:val="008C1617"/>
    <w:rsid w:val="008C255D"/>
    <w:rsid w:val="008D3291"/>
    <w:rsid w:val="008D4874"/>
    <w:rsid w:val="008D49B0"/>
    <w:rsid w:val="008D59AA"/>
    <w:rsid w:val="008D6168"/>
    <w:rsid w:val="008E145D"/>
    <w:rsid w:val="008E1925"/>
    <w:rsid w:val="008E2B56"/>
    <w:rsid w:val="008E69C8"/>
    <w:rsid w:val="008E7A23"/>
    <w:rsid w:val="008F266A"/>
    <w:rsid w:val="00900232"/>
    <w:rsid w:val="00900BAA"/>
    <w:rsid w:val="00900F5D"/>
    <w:rsid w:val="00903734"/>
    <w:rsid w:val="00903878"/>
    <w:rsid w:val="00903CF6"/>
    <w:rsid w:val="009052C7"/>
    <w:rsid w:val="00905FFA"/>
    <w:rsid w:val="00912025"/>
    <w:rsid w:val="0091327D"/>
    <w:rsid w:val="00914925"/>
    <w:rsid w:val="00914A3A"/>
    <w:rsid w:val="0092017A"/>
    <w:rsid w:val="0092180D"/>
    <w:rsid w:val="0092185A"/>
    <w:rsid w:val="00922032"/>
    <w:rsid w:val="009251D9"/>
    <w:rsid w:val="00925C23"/>
    <w:rsid w:val="00927E08"/>
    <w:rsid w:val="009303FA"/>
    <w:rsid w:val="00931ECC"/>
    <w:rsid w:val="00941F0C"/>
    <w:rsid w:val="00943004"/>
    <w:rsid w:val="00944E69"/>
    <w:rsid w:val="00946F6D"/>
    <w:rsid w:val="00947101"/>
    <w:rsid w:val="00953130"/>
    <w:rsid w:val="00954523"/>
    <w:rsid w:val="00961916"/>
    <w:rsid w:val="00963A22"/>
    <w:rsid w:val="00966A88"/>
    <w:rsid w:val="00973A47"/>
    <w:rsid w:val="00981ED8"/>
    <w:rsid w:val="009821A7"/>
    <w:rsid w:val="009822C7"/>
    <w:rsid w:val="00982AA3"/>
    <w:rsid w:val="0098487B"/>
    <w:rsid w:val="00985DCB"/>
    <w:rsid w:val="009863EF"/>
    <w:rsid w:val="00986A41"/>
    <w:rsid w:val="0098719A"/>
    <w:rsid w:val="00991FF2"/>
    <w:rsid w:val="0099315B"/>
    <w:rsid w:val="00995DD9"/>
    <w:rsid w:val="009A004C"/>
    <w:rsid w:val="009A1CB6"/>
    <w:rsid w:val="009A1E88"/>
    <w:rsid w:val="009A3B97"/>
    <w:rsid w:val="009B40CF"/>
    <w:rsid w:val="009B4476"/>
    <w:rsid w:val="009B6ACF"/>
    <w:rsid w:val="009C1F02"/>
    <w:rsid w:val="009C3783"/>
    <w:rsid w:val="009C3B24"/>
    <w:rsid w:val="009C4E7E"/>
    <w:rsid w:val="009D023F"/>
    <w:rsid w:val="009D3033"/>
    <w:rsid w:val="009D6951"/>
    <w:rsid w:val="009D7DD1"/>
    <w:rsid w:val="009E0351"/>
    <w:rsid w:val="009E0896"/>
    <w:rsid w:val="009E214B"/>
    <w:rsid w:val="009E53AF"/>
    <w:rsid w:val="009F0270"/>
    <w:rsid w:val="009F4F43"/>
    <w:rsid w:val="009F6070"/>
    <w:rsid w:val="009F61FA"/>
    <w:rsid w:val="00A04052"/>
    <w:rsid w:val="00A05796"/>
    <w:rsid w:val="00A11C0E"/>
    <w:rsid w:val="00A12352"/>
    <w:rsid w:val="00A13CB0"/>
    <w:rsid w:val="00A14FD8"/>
    <w:rsid w:val="00A15D53"/>
    <w:rsid w:val="00A22271"/>
    <w:rsid w:val="00A22CA1"/>
    <w:rsid w:val="00A249CC"/>
    <w:rsid w:val="00A329EC"/>
    <w:rsid w:val="00A33A19"/>
    <w:rsid w:val="00A34D46"/>
    <w:rsid w:val="00A35A56"/>
    <w:rsid w:val="00A37B9E"/>
    <w:rsid w:val="00A4169F"/>
    <w:rsid w:val="00A4595D"/>
    <w:rsid w:val="00A51146"/>
    <w:rsid w:val="00A54422"/>
    <w:rsid w:val="00A564B2"/>
    <w:rsid w:val="00A61D3A"/>
    <w:rsid w:val="00A6581B"/>
    <w:rsid w:val="00A66833"/>
    <w:rsid w:val="00A70B4C"/>
    <w:rsid w:val="00A70DCF"/>
    <w:rsid w:val="00A72437"/>
    <w:rsid w:val="00A73FDF"/>
    <w:rsid w:val="00A76CE0"/>
    <w:rsid w:val="00A824B9"/>
    <w:rsid w:val="00A82905"/>
    <w:rsid w:val="00A85EE4"/>
    <w:rsid w:val="00A8654B"/>
    <w:rsid w:val="00A86786"/>
    <w:rsid w:val="00A870DD"/>
    <w:rsid w:val="00A94FD3"/>
    <w:rsid w:val="00A96157"/>
    <w:rsid w:val="00A969AF"/>
    <w:rsid w:val="00A9729E"/>
    <w:rsid w:val="00AA0C31"/>
    <w:rsid w:val="00AA1F69"/>
    <w:rsid w:val="00AA2D2D"/>
    <w:rsid w:val="00AA4863"/>
    <w:rsid w:val="00AA5B9B"/>
    <w:rsid w:val="00AA6357"/>
    <w:rsid w:val="00AA71BA"/>
    <w:rsid w:val="00AB1A67"/>
    <w:rsid w:val="00AB348F"/>
    <w:rsid w:val="00AB3ED0"/>
    <w:rsid w:val="00AB7D36"/>
    <w:rsid w:val="00AC1390"/>
    <w:rsid w:val="00AC4663"/>
    <w:rsid w:val="00AD750C"/>
    <w:rsid w:val="00AE1C37"/>
    <w:rsid w:val="00AE1DD2"/>
    <w:rsid w:val="00AE4106"/>
    <w:rsid w:val="00AF414E"/>
    <w:rsid w:val="00AF4ED4"/>
    <w:rsid w:val="00B11AE2"/>
    <w:rsid w:val="00B12138"/>
    <w:rsid w:val="00B17749"/>
    <w:rsid w:val="00B17AE9"/>
    <w:rsid w:val="00B17C05"/>
    <w:rsid w:val="00B20334"/>
    <w:rsid w:val="00B20819"/>
    <w:rsid w:val="00B225B9"/>
    <w:rsid w:val="00B24AB1"/>
    <w:rsid w:val="00B262EB"/>
    <w:rsid w:val="00B303FD"/>
    <w:rsid w:val="00B36BD9"/>
    <w:rsid w:val="00B41A4C"/>
    <w:rsid w:val="00B43095"/>
    <w:rsid w:val="00B4345B"/>
    <w:rsid w:val="00B435C3"/>
    <w:rsid w:val="00B446CA"/>
    <w:rsid w:val="00B44931"/>
    <w:rsid w:val="00B460A9"/>
    <w:rsid w:val="00B4632F"/>
    <w:rsid w:val="00B5093C"/>
    <w:rsid w:val="00B54356"/>
    <w:rsid w:val="00B55FE5"/>
    <w:rsid w:val="00B607BE"/>
    <w:rsid w:val="00B62917"/>
    <w:rsid w:val="00B6380B"/>
    <w:rsid w:val="00B73A96"/>
    <w:rsid w:val="00B74609"/>
    <w:rsid w:val="00B7496A"/>
    <w:rsid w:val="00B752B2"/>
    <w:rsid w:val="00B75E80"/>
    <w:rsid w:val="00B777C4"/>
    <w:rsid w:val="00B80E39"/>
    <w:rsid w:val="00B824A5"/>
    <w:rsid w:val="00B84998"/>
    <w:rsid w:val="00B8588F"/>
    <w:rsid w:val="00B858F1"/>
    <w:rsid w:val="00B8684C"/>
    <w:rsid w:val="00B96ED6"/>
    <w:rsid w:val="00BA322E"/>
    <w:rsid w:val="00BA5219"/>
    <w:rsid w:val="00BA5A2D"/>
    <w:rsid w:val="00BA5B8F"/>
    <w:rsid w:val="00BB2B54"/>
    <w:rsid w:val="00BC2866"/>
    <w:rsid w:val="00BC36D6"/>
    <w:rsid w:val="00BC3CA1"/>
    <w:rsid w:val="00BC49E5"/>
    <w:rsid w:val="00BC6DB1"/>
    <w:rsid w:val="00BD2F42"/>
    <w:rsid w:val="00BD3194"/>
    <w:rsid w:val="00BD5FA8"/>
    <w:rsid w:val="00BE23E5"/>
    <w:rsid w:val="00BE31E6"/>
    <w:rsid w:val="00BE4C60"/>
    <w:rsid w:val="00BF6701"/>
    <w:rsid w:val="00BF757E"/>
    <w:rsid w:val="00BF7C0E"/>
    <w:rsid w:val="00BF7F5A"/>
    <w:rsid w:val="00C06612"/>
    <w:rsid w:val="00C06FFE"/>
    <w:rsid w:val="00C13B4B"/>
    <w:rsid w:val="00C17719"/>
    <w:rsid w:val="00C20730"/>
    <w:rsid w:val="00C214C4"/>
    <w:rsid w:val="00C2470A"/>
    <w:rsid w:val="00C255EF"/>
    <w:rsid w:val="00C25F47"/>
    <w:rsid w:val="00C26A7D"/>
    <w:rsid w:val="00C30135"/>
    <w:rsid w:val="00C308D6"/>
    <w:rsid w:val="00C308ED"/>
    <w:rsid w:val="00C335D8"/>
    <w:rsid w:val="00C3437E"/>
    <w:rsid w:val="00C3720D"/>
    <w:rsid w:val="00C41164"/>
    <w:rsid w:val="00C50E12"/>
    <w:rsid w:val="00C54491"/>
    <w:rsid w:val="00C56026"/>
    <w:rsid w:val="00C56841"/>
    <w:rsid w:val="00C57B2F"/>
    <w:rsid w:val="00C61A25"/>
    <w:rsid w:val="00C705C7"/>
    <w:rsid w:val="00C71B43"/>
    <w:rsid w:val="00C74D8F"/>
    <w:rsid w:val="00C751A9"/>
    <w:rsid w:val="00C754FF"/>
    <w:rsid w:val="00C766DD"/>
    <w:rsid w:val="00C76BDF"/>
    <w:rsid w:val="00C775CE"/>
    <w:rsid w:val="00C8030E"/>
    <w:rsid w:val="00C8535E"/>
    <w:rsid w:val="00C86C9E"/>
    <w:rsid w:val="00C91697"/>
    <w:rsid w:val="00C92EAA"/>
    <w:rsid w:val="00C935A4"/>
    <w:rsid w:val="00CA148F"/>
    <w:rsid w:val="00CA29F9"/>
    <w:rsid w:val="00CA7B4E"/>
    <w:rsid w:val="00CA7D3D"/>
    <w:rsid w:val="00CB0116"/>
    <w:rsid w:val="00CB6B73"/>
    <w:rsid w:val="00CC218D"/>
    <w:rsid w:val="00CC6334"/>
    <w:rsid w:val="00CC677A"/>
    <w:rsid w:val="00CD008E"/>
    <w:rsid w:val="00CD03A4"/>
    <w:rsid w:val="00CD49B4"/>
    <w:rsid w:val="00CD6EDC"/>
    <w:rsid w:val="00CE2D1F"/>
    <w:rsid w:val="00CE78D5"/>
    <w:rsid w:val="00CF1561"/>
    <w:rsid w:val="00CF1A40"/>
    <w:rsid w:val="00CF36EF"/>
    <w:rsid w:val="00CF4AE2"/>
    <w:rsid w:val="00D010CE"/>
    <w:rsid w:val="00D037E1"/>
    <w:rsid w:val="00D0532F"/>
    <w:rsid w:val="00D05CAC"/>
    <w:rsid w:val="00D05FB1"/>
    <w:rsid w:val="00D1110F"/>
    <w:rsid w:val="00D12828"/>
    <w:rsid w:val="00D159F9"/>
    <w:rsid w:val="00D15B10"/>
    <w:rsid w:val="00D20296"/>
    <w:rsid w:val="00D23E20"/>
    <w:rsid w:val="00D26878"/>
    <w:rsid w:val="00D30FA6"/>
    <w:rsid w:val="00D32842"/>
    <w:rsid w:val="00D341E7"/>
    <w:rsid w:val="00D407EB"/>
    <w:rsid w:val="00D454AB"/>
    <w:rsid w:val="00D47DBA"/>
    <w:rsid w:val="00D5319F"/>
    <w:rsid w:val="00D536AB"/>
    <w:rsid w:val="00D54E0C"/>
    <w:rsid w:val="00D5537A"/>
    <w:rsid w:val="00D554B6"/>
    <w:rsid w:val="00D62314"/>
    <w:rsid w:val="00D70CF0"/>
    <w:rsid w:val="00D71136"/>
    <w:rsid w:val="00D77F36"/>
    <w:rsid w:val="00D86954"/>
    <w:rsid w:val="00D87649"/>
    <w:rsid w:val="00D876C0"/>
    <w:rsid w:val="00D9057D"/>
    <w:rsid w:val="00D9215E"/>
    <w:rsid w:val="00D9732E"/>
    <w:rsid w:val="00DA026E"/>
    <w:rsid w:val="00DA03B1"/>
    <w:rsid w:val="00DA4083"/>
    <w:rsid w:val="00DA576E"/>
    <w:rsid w:val="00DB0420"/>
    <w:rsid w:val="00DB0A86"/>
    <w:rsid w:val="00DB2B7E"/>
    <w:rsid w:val="00DB57B7"/>
    <w:rsid w:val="00DC33CF"/>
    <w:rsid w:val="00DC3415"/>
    <w:rsid w:val="00DC46A2"/>
    <w:rsid w:val="00DD26C9"/>
    <w:rsid w:val="00DD2B87"/>
    <w:rsid w:val="00DD3DE6"/>
    <w:rsid w:val="00DD7DA4"/>
    <w:rsid w:val="00DE4534"/>
    <w:rsid w:val="00DF0264"/>
    <w:rsid w:val="00DF1565"/>
    <w:rsid w:val="00DF3D3A"/>
    <w:rsid w:val="00DF4228"/>
    <w:rsid w:val="00E06670"/>
    <w:rsid w:val="00E14FC1"/>
    <w:rsid w:val="00E16E1A"/>
    <w:rsid w:val="00E17266"/>
    <w:rsid w:val="00E2273F"/>
    <w:rsid w:val="00E35B98"/>
    <w:rsid w:val="00E47752"/>
    <w:rsid w:val="00E52801"/>
    <w:rsid w:val="00E53030"/>
    <w:rsid w:val="00E56652"/>
    <w:rsid w:val="00E616E0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86E92"/>
    <w:rsid w:val="00E9364C"/>
    <w:rsid w:val="00E94940"/>
    <w:rsid w:val="00E95892"/>
    <w:rsid w:val="00E97354"/>
    <w:rsid w:val="00EA3385"/>
    <w:rsid w:val="00EA636A"/>
    <w:rsid w:val="00EA6408"/>
    <w:rsid w:val="00EA6F23"/>
    <w:rsid w:val="00EB330C"/>
    <w:rsid w:val="00EC0483"/>
    <w:rsid w:val="00EC1211"/>
    <w:rsid w:val="00EC33A4"/>
    <w:rsid w:val="00EC428C"/>
    <w:rsid w:val="00ED0897"/>
    <w:rsid w:val="00ED15BE"/>
    <w:rsid w:val="00ED24E7"/>
    <w:rsid w:val="00ED73FF"/>
    <w:rsid w:val="00ED7F01"/>
    <w:rsid w:val="00EE19F4"/>
    <w:rsid w:val="00EE2341"/>
    <w:rsid w:val="00EE4612"/>
    <w:rsid w:val="00EE51DE"/>
    <w:rsid w:val="00EE53B5"/>
    <w:rsid w:val="00EE609F"/>
    <w:rsid w:val="00EE798A"/>
    <w:rsid w:val="00EF19BF"/>
    <w:rsid w:val="00EF5E01"/>
    <w:rsid w:val="00EF6EC0"/>
    <w:rsid w:val="00EF7BB5"/>
    <w:rsid w:val="00F0114C"/>
    <w:rsid w:val="00F02058"/>
    <w:rsid w:val="00F0343C"/>
    <w:rsid w:val="00F04CE5"/>
    <w:rsid w:val="00F05B0F"/>
    <w:rsid w:val="00F13514"/>
    <w:rsid w:val="00F1360F"/>
    <w:rsid w:val="00F16AA8"/>
    <w:rsid w:val="00F213AB"/>
    <w:rsid w:val="00F21791"/>
    <w:rsid w:val="00F3226A"/>
    <w:rsid w:val="00F33DB0"/>
    <w:rsid w:val="00F37975"/>
    <w:rsid w:val="00F41153"/>
    <w:rsid w:val="00F413B1"/>
    <w:rsid w:val="00F4241B"/>
    <w:rsid w:val="00F432D0"/>
    <w:rsid w:val="00F44213"/>
    <w:rsid w:val="00F45DB8"/>
    <w:rsid w:val="00F54D29"/>
    <w:rsid w:val="00F62BCD"/>
    <w:rsid w:val="00F66889"/>
    <w:rsid w:val="00F6782B"/>
    <w:rsid w:val="00F7237E"/>
    <w:rsid w:val="00F73DF5"/>
    <w:rsid w:val="00F74B77"/>
    <w:rsid w:val="00F764FE"/>
    <w:rsid w:val="00F80625"/>
    <w:rsid w:val="00F81FA6"/>
    <w:rsid w:val="00F827B6"/>
    <w:rsid w:val="00F840E7"/>
    <w:rsid w:val="00F90D4B"/>
    <w:rsid w:val="00F92BE5"/>
    <w:rsid w:val="00FA0574"/>
    <w:rsid w:val="00FA16A6"/>
    <w:rsid w:val="00FA5A08"/>
    <w:rsid w:val="00FA662B"/>
    <w:rsid w:val="00FB3A89"/>
    <w:rsid w:val="00FB4C5A"/>
    <w:rsid w:val="00FB68D3"/>
    <w:rsid w:val="00FC4B75"/>
    <w:rsid w:val="00FD56F6"/>
    <w:rsid w:val="00FE0FCA"/>
    <w:rsid w:val="00FE7554"/>
    <w:rsid w:val="00FE7CC1"/>
    <w:rsid w:val="00FF17FE"/>
    <w:rsid w:val="0B9B4D22"/>
    <w:rsid w:val="0BFD55B2"/>
    <w:rsid w:val="111545E4"/>
    <w:rsid w:val="19317AC6"/>
    <w:rsid w:val="19A90B8D"/>
    <w:rsid w:val="23AB72AF"/>
    <w:rsid w:val="27E15995"/>
    <w:rsid w:val="2AF14141"/>
    <w:rsid w:val="3316125F"/>
    <w:rsid w:val="33B55ED3"/>
    <w:rsid w:val="357419CE"/>
    <w:rsid w:val="391A0C9B"/>
    <w:rsid w:val="42200080"/>
    <w:rsid w:val="474E5C08"/>
    <w:rsid w:val="488C513A"/>
    <w:rsid w:val="4C963A9B"/>
    <w:rsid w:val="4EFB5672"/>
    <w:rsid w:val="50190217"/>
    <w:rsid w:val="55410F72"/>
    <w:rsid w:val="58B57CAD"/>
    <w:rsid w:val="59C77C98"/>
    <w:rsid w:val="5A832034"/>
    <w:rsid w:val="5ECF4213"/>
    <w:rsid w:val="61D4389A"/>
    <w:rsid w:val="6745578A"/>
    <w:rsid w:val="678341BF"/>
    <w:rsid w:val="71123A97"/>
    <w:rsid w:val="736019CA"/>
    <w:rsid w:val="73BB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1A573"/>
  <w15:docId w15:val="{5F32DE02-9477-4515-A1D5-960248FF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qFormat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ind w:left="2142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20" w:lineRule="auto"/>
      <w:ind w:left="1152" w:hanging="1152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ind w:left="1440" w:hanging="1440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ind w:left="1584" w:hanging="1584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iPriority w:val="99"/>
    <w:qFormat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paragraph" w:styleId="a5">
    <w:name w:val="annotation text"/>
    <w:basedOn w:val="a"/>
    <w:link w:val="11"/>
    <w:unhideWhenUsed/>
    <w:qFormat/>
    <w:pPr>
      <w:jc w:val="left"/>
    </w:pPr>
    <w:rPr>
      <w:kern w:val="0"/>
      <w:sz w:val="20"/>
    </w:rPr>
  </w:style>
  <w:style w:type="paragraph" w:styleId="a6">
    <w:name w:val="Plain Text"/>
    <w:basedOn w:val="a"/>
    <w:link w:val="a7"/>
    <w:qFormat/>
    <w:rPr>
      <w:rFonts w:ascii="Calibri" w:hAnsi="Courier New"/>
      <w:szCs w:val="20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qFormat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qFormat/>
    <w:rPr>
      <w:color w:val="0563C1"/>
      <w:u w:val="single"/>
    </w:rPr>
  </w:style>
  <w:style w:type="character" w:styleId="af5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rPr>
      <w:rFonts w:ascii="等线 Light" w:eastAsia="等线 Light" w:hAnsi="等线 Light"/>
      <w:kern w:val="2"/>
      <w:sz w:val="21"/>
      <w:szCs w:val="21"/>
    </w:rPr>
  </w:style>
  <w:style w:type="character" w:customStyle="1" w:styleId="a4">
    <w:name w:val="正文缩进 字符"/>
    <w:link w:val="a3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5"/>
    <w:rPr>
      <w:szCs w:val="24"/>
    </w:rPr>
  </w:style>
  <w:style w:type="character" w:customStyle="1" w:styleId="a7">
    <w:name w:val="纯文本 字符"/>
    <w:link w:val="a6"/>
    <w:qFormat/>
    <w:rPr>
      <w:rFonts w:ascii="Calibri" w:hAnsi="Courier New"/>
      <w:kern w:val="2"/>
      <w:sz w:val="21"/>
    </w:rPr>
  </w:style>
  <w:style w:type="character" w:customStyle="1" w:styleId="a9">
    <w:name w:val="批注框文本 字符"/>
    <w:link w:val="a8"/>
    <w:qFormat/>
    <w:rPr>
      <w:kern w:val="2"/>
      <w:sz w:val="18"/>
      <w:szCs w:val="18"/>
    </w:rPr>
  </w:style>
  <w:style w:type="character" w:customStyle="1" w:styleId="12">
    <w:name w:val="页脚 字符1"/>
    <w:link w:val="aa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"/>
    <w:link w:val="2Char"/>
    <w:qFormat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6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6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7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7">
    <w:name w:val="正文（安华金和）"/>
    <w:link w:val="Char"/>
    <w:qFormat/>
    <w:pPr>
      <w:widowControl w:val="0"/>
      <w:spacing w:after="160"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8">
    <w:name w:val="页脚 字符"/>
    <w:uiPriority w:val="99"/>
    <w:qFormat/>
  </w:style>
  <w:style w:type="character" w:customStyle="1" w:styleId="af9">
    <w:name w:val="列表段落 字符"/>
    <w:link w:val="13"/>
    <w:uiPriority w:val="99"/>
    <w:qFormat/>
    <w:rPr>
      <w:rFonts w:ascii="等线" w:eastAsia="等线" w:hAnsi="等线"/>
      <w:kern w:val="2"/>
      <w:sz w:val="21"/>
      <w:szCs w:val="22"/>
    </w:rPr>
  </w:style>
  <w:style w:type="paragraph" w:customStyle="1" w:styleId="13">
    <w:name w:val="列表段落1"/>
    <w:basedOn w:val="a"/>
    <w:link w:val="af9"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a">
    <w:name w:val="插图标注（安华金和）"/>
    <w:next w:val="a"/>
    <w:qFormat/>
    <w:pPr>
      <w:spacing w:after="156" w:line="259" w:lineRule="auto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"/>
    <w:qFormat/>
    <w:pPr>
      <w:spacing w:line="415" w:lineRule="auto"/>
      <w:ind w:leftChars="200" w:left="794" w:hanging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"/>
    <w:next w:val="13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1">
    <w:name w:val="标题 6（有编号）（安华金和）"/>
    <w:basedOn w:val="a"/>
    <w:next w:val="a"/>
    <w:qFormat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"/>
    <w:qFormat/>
    <w:pPr>
      <w:widowControl/>
      <w:spacing w:after="156"/>
      <w:ind w:leftChars="200" w:left="200" w:hanging="42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"/>
    <w:qFormat/>
    <w:pPr>
      <w:tabs>
        <w:tab w:val="left" w:pos="960"/>
      </w:tabs>
      <w:spacing w:line="415" w:lineRule="auto"/>
      <w:ind w:leftChars="200" w:left="200" w:hanging="907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"/>
    <w:qFormat/>
    <w:pPr>
      <w:pageBreakBefore/>
      <w:numPr>
        <w:numId w:val="0"/>
      </w:numPr>
      <w:pBdr>
        <w:bottom w:val="single" w:sz="48" w:space="1" w:color="auto"/>
      </w:pBdr>
      <w:spacing w:before="600" w:line="576" w:lineRule="auto"/>
      <w:ind w:leftChars="200" w:left="200" w:hanging="42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fb">
    <w:name w:val="表格标注（安华金和）"/>
    <w:basedOn w:val="afa"/>
    <w:next w:val="a"/>
    <w:qFormat/>
  </w:style>
  <w:style w:type="paragraph" w:customStyle="1" w:styleId="51">
    <w:name w:val="标题 5（有编号）（安华金和）"/>
    <w:basedOn w:val="a"/>
    <w:next w:val="a"/>
    <w:qFormat/>
    <w:pPr>
      <w:keepNext/>
      <w:keepLines/>
      <w:spacing w:before="280" w:after="156" w:line="377" w:lineRule="auto"/>
      <w:ind w:hanging="1134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"/>
    <w:next w:val="a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c">
    <w:name w:val="批注文字 字符"/>
    <w:uiPriority w:val="99"/>
    <w:qFormat/>
    <w:rPr>
      <w:kern w:val="2"/>
      <w:sz w:val="21"/>
      <w:szCs w:val="24"/>
    </w:rPr>
  </w:style>
  <w:style w:type="character" w:customStyle="1" w:styleId="ae">
    <w:name w:val="副标题 字符"/>
    <w:link w:val="ad"/>
    <w:qFormat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fd">
    <w:name w:val="表格文字"/>
    <w:basedOn w:val="a"/>
    <w:qFormat/>
    <w:pPr>
      <w:spacing w:before="25" w:after="25"/>
      <w:jc w:val="left"/>
    </w:pPr>
    <w:rPr>
      <w:rFonts w:asciiTheme="minorHAnsi" w:eastAsiaTheme="minorEastAsia" w:hAnsiTheme="minorHAnsi" w:cstheme="minorBidi"/>
      <w:bCs/>
      <w:spacing w:val="10"/>
      <w:kern w:val="0"/>
      <w:szCs w:val="20"/>
    </w:rPr>
  </w:style>
  <w:style w:type="paragraph" w:customStyle="1" w:styleId="14">
    <w:name w:val="列出段落1"/>
    <w:basedOn w:val="a"/>
    <w:link w:val="afe"/>
    <w:uiPriority w:val="34"/>
    <w:qFormat/>
    <w:pPr>
      <w:ind w:firstLineChars="200" w:firstLine="420"/>
    </w:pPr>
    <w:rPr>
      <w:rFonts w:ascii="Calibri" w:hAnsi="Calibri"/>
      <w:szCs w:val="22"/>
      <w:lang w:val="zh-CN"/>
    </w:rPr>
  </w:style>
  <w:style w:type="character" w:customStyle="1" w:styleId="afe">
    <w:name w:val="列出段落 字符"/>
    <w:link w:val="14"/>
    <w:uiPriority w:val="34"/>
    <w:qFormat/>
    <w:rPr>
      <w:rFonts w:ascii="Calibri" w:hAnsi="Calibri"/>
      <w:kern w:val="2"/>
      <w:sz w:val="21"/>
      <w:szCs w:val="22"/>
      <w:lang w:val="zh-CN"/>
    </w:rPr>
  </w:style>
  <w:style w:type="table" w:customStyle="1" w:styleId="15">
    <w:name w:val="网格型1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Pr>
      <w:rFonts w:ascii="宋体" w:hAnsi="宋体" w:cs="宋体"/>
      <w:lang w:val="zh-CN" w:bidi="zh-CN"/>
    </w:rPr>
  </w:style>
  <w:style w:type="paragraph" w:customStyle="1" w:styleId="Aff">
    <w:name w:val="正文 A"/>
    <w:qFormat/>
    <w:pPr>
      <w:widowControl w:val="0"/>
      <w:spacing w:after="160" w:line="360" w:lineRule="atLeast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110">
    <w:name w:val="列表段落11"/>
    <w:basedOn w:val="a"/>
    <w:uiPriority w:val="99"/>
    <w:unhideWhenUsed/>
    <w:qFormat/>
    <w:pPr>
      <w:spacing w:line="300" w:lineRule="exact"/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 w:line="300" w:lineRule="exact"/>
      <w:jc w:val="left"/>
    </w:pPr>
    <w:rPr>
      <w:rFonts w:ascii="宋体" w:hAnsi="宋体" w:cs="宋体"/>
      <w:color w:val="000000"/>
      <w:kern w:val="0"/>
      <w:sz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Revision"/>
    <w:hidden/>
    <w:uiPriority w:val="99"/>
    <w:unhideWhenUsed/>
    <w:rsid w:val="001B33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A050-64F3-42DB-9FA6-DB7955B1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yejinqi</dc:creator>
  <cp:lastModifiedBy>Administrator</cp:lastModifiedBy>
  <cp:revision>5</cp:revision>
  <dcterms:created xsi:type="dcterms:W3CDTF">2025-06-24T02:09:00Z</dcterms:created>
  <dcterms:modified xsi:type="dcterms:W3CDTF">2025-06-25T00:39:00Z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BA66B4A844FF4E13AE07219C0D23FC3B_13</vt:lpwstr>
  </property>
  <property fmtid="{D5CDD505-2E9C-101B-9397-08002B2CF9AE}" pid="4" name="KSOTemplateDocerSaveRecord">
    <vt:lpwstr>eyJoZGlkIjoiNzBlODFhNTU1N2ZjZTQyNjU4OWE2ZWZmZDJmY2M5N2MiLCJ1c2VySWQiOiIxMzUzNzA5OTY1In0=</vt:lpwstr>
  </property>
</Properties>
</file>