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404B4">
      <w:pPr>
        <w:pStyle w:val="40"/>
        <w:spacing w:line="360" w:lineRule="auto"/>
        <w:jc w:val="left"/>
        <w:rPr>
          <w:rFonts w:ascii="Times New Roman" w:hAnsi="Times New Roman"/>
          <w:bCs/>
          <w:sz w:val="24"/>
          <w:szCs w:val="24"/>
          <w:u w:val="single"/>
        </w:rPr>
      </w:pPr>
    </w:p>
    <w:p w14:paraId="2CBA92B0">
      <w:pPr>
        <w:pStyle w:val="2"/>
        <w:jc w:val="center"/>
        <w:rPr>
          <w:rFonts w:hint="eastAsia"/>
          <w:color w:val="auto"/>
          <w:sz w:val="52"/>
        </w:rPr>
      </w:pPr>
      <w:r>
        <w:rPr>
          <w:rFonts w:hint="eastAsia"/>
          <w:color w:val="auto"/>
          <w:sz w:val="52"/>
        </w:rPr>
        <w:t>咨询服务协议书</w:t>
      </w:r>
    </w:p>
    <w:p w14:paraId="461D4A13">
      <w:pPr>
        <w:rPr>
          <w:rFonts w:hint="eastAsia"/>
          <w:color w:val="auto"/>
          <w:sz w:val="32"/>
        </w:rPr>
      </w:pPr>
    </w:p>
    <w:p w14:paraId="305E2AAD">
      <w:pPr>
        <w:rPr>
          <w:rFonts w:eastAsia="楷体_GB2312"/>
          <w:color w:val="auto"/>
          <w:sz w:val="36"/>
        </w:rPr>
      </w:pPr>
    </w:p>
    <w:p w14:paraId="19EC46BC">
      <w:pPr>
        <w:rPr>
          <w:rFonts w:hint="eastAsia" w:ascii="楷体_GB2312" w:eastAsia="楷体_GB2312"/>
          <w:color w:val="auto"/>
          <w:sz w:val="36"/>
        </w:rPr>
      </w:pPr>
    </w:p>
    <w:p w14:paraId="4E6DC4C4">
      <w:pPr>
        <w:rPr>
          <w:rFonts w:hint="eastAsia" w:ascii="楷体_GB2312" w:eastAsia="楷体_GB2312"/>
          <w:color w:val="auto"/>
          <w:sz w:val="36"/>
        </w:rPr>
      </w:pPr>
    </w:p>
    <w:p w14:paraId="572A9537">
      <w:pPr>
        <w:ind w:left="2880" w:hanging="2880" w:hangingChars="800"/>
        <w:rPr>
          <w:rFonts w:hint="eastAsia" w:ascii="楷体_GB2312" w:eastAsia="楷体_GB2312"/>
          <w:color w:val="auto"/>
          <w:sz w:val="36"/>
          <w:u w:val="single"/>
        </w:rPr>
      </w:pPr>
      <w:r>
        <w:rPr>
          <w:rFonts w:hint="eastAsia" w:ascii="楷体_GB2312" w:eastAsia="楷体_GB2312"/>
          <w:color w:val="auto"/>
          <w:sz w:val="36"/>
        </w:rPr>
        <w:t>项</w:t>
      </w:r>
      <w:r>
        <w:rPr>
          <w:rFonts w:hint="eastAsia" w:ascii="楷体_GB2312" w:eastAsia="楷体_GB2312"/>
          <w:color w:val="auto"/>
          <w:sz w:val="36"/>
          <w:lang w:val="en-US" w:eastAsia="zh-CN"/>
        </w:rPr>
        <w:t xml:space="preserve">  </w:t>
      </w:r>
      <w:r>
        <w:rPr>
          <w:rFonts w:hint="eastAsia" w:ascii="楷体_GB2312" w:eastAsia="楷体_GB2312"/>
          <w:color w:val="auto"/>
          <w:sz w:val="36"/>
        </w:rPr>
        <w:t>目</w:t>
      </w:r>
      <w:r>
        <w:rPr>
          <w:rFonts w:hint="eastAsia" w:ascii="楷体_GB2312" w:eastAsia="楷体_GB2312"/>
          <w:color w:val="auto"/>
          <w:sz w:val="36"/>
          <w:lang w:val="en-US" w:eastAsia="zh-CN"/>
        </w:rPr>
        <w:t xml:space="preserve">  </w:t>
      </w:r>
      <w:r>
        <w:rPr>
          <w:rFonts w:hint="eastAsia" w:ascii="楷体_GB2312" w:eastAsia="楷体_GB2312"/>
          <w:color w:val="auto"/>
          <w:sz w:val="36"/>
        </w:rPr>
        <w:t>名</w:t>
      </w:r>
      <w:r>
        <w:rPr>
          <w:rFonts w:hint="eastAsia" w:ascii="楷体_GB2312" w:eastAsia="楷体_GB2312"/>
          <w:color w:val="auto"/>
          <w:sz w:val="36"/>
          <w:lang w:val="en-US" w:eastAsia="zh-CN"/>
        </w:rPr>
        <w:t xml:space="preserve">  </w:t>
      </w:r>
      <w:r>
        <w:rPr>
          <w:rFonts w:hint="eastAsia" w:ascii="楷体_GB2312" w:eastAsia="楷体_GB2312"/>
          <w:color w:val="auto"/>
          <w:sz w:val="36"/>
        </w:rPr>
        <w:t>称：</w:t>
      </w:r>
      <w:r>
        <w:rPr>
          <w:rFonts w:hint="eastAsia" w:ascii="楷体_GB2312" w:eastAsia="楷体_GB2312"/>
          <w:color w:val="auto"/>
          <w:sz w:val="36"/>
          <w:u w:val="single"/>
        </w:rPr>
        <w:t>广东省医学科学院建设项目（二期）</w:t>
      </w:r>
      <w:r>
        <w:rPr>
          <w:rFonts w:hint="eastAsia" w:ascii="楷体_GB2312" w:eastAsia="楷体_GB2312"/>
          <w:color w:val="auto"/>
          <w:sz w:val="36"/>
          <w:u w:val="single"/>
          <w:lang w:eastAsia="zh-CN"/>
        </w:rPr>
        <w:t>、广东省精神卫生中心建设项目</w:t>
      </w:r>
      <w:r>
        <w:rPr>
          <w:rFonts w:hint="eastAsia" w:ascii="楷体_GB2312" w:eastAsia="楷体_GB2312"/>
          <w:color w:val="auto"/>
          <w:sz w:val="36"/>
          <w:u w:val="single"/>
        </w:rPr>
        <w:t>树木保护专章编制服务</w:t>
      </w:r>
    </w:p>
    <w:p w14:paraId="115D5276">
      <w:pPr>
        <w:ind w:left="630" w:firstLine="1800" w:firstLineChars="500"/>
        <w:rPr>
          <w:rFonts w:ascii="楷体_GB2312" w:eastAsia="楷体_GB2312"/>
          <w:color w:val="auto"/>
          <w:sz w:val="36"/>
          <w:u w:val="single"/>
        </w:rPr>
      </w:pPr>
    </w:p>
    <w:p w14:paraId="47CDA134">
      <w:pPr>
        <w:rPr>
          <w:rFonts w:eastAsia="楷体_GB2312"/>
          <w:b w:val="0"/>
          <w:bCs w:val="0"/>
          <w:color w:val="auto"/>
          <w:sz w:val="36"/>
          <w:u w:val="single"/>
        </w:rPr>
      </w:pPr>
      <w:r>
        <w:rPr>
          <w:rFonts w:hint="eastAsia" w:eastAsia="楷体_GB2312"/>
          <w:color w:val="auto"/>
          <w:sz w:val="36"/>
        </w:rPr>
        <w:t>委托方（甲方）：</w:t>
      </w:r>
      <w:r>
        <w:rPr>
          <w:rFonts w:hint="eastAsia" w:eastAsia="楷体_GB2312"/>
          <w:b w:val="0"/>
          <w:bCs w:val="0"/>
          <w:color w:val="auto"/>
          <w:sz w:val="36"/>
          <w:u w:val="single"/>
        </w:rPr>
        <w:t xml:space="preserve"> 广东省人民医院 </w:t>
      </w:r>
    </w:p>
    <w:p w14:paraId="37BAED83">
      <w:pPr>
        <w:rPr>
          <w:rFonts w:eastAsia="楷体_GB2312"/>
          <w:color w:val="auto"/>
          <w:sz w:val="36"/>
        </w:rPr>
      </w:pPr>
    </w:p>
    <w:p w14:paraId="3D858639">
      <w:pPr>
        <w:rPr>
          <w:rFonts w:hint="default" w:eastAsia="楷体_GB2312"/>
          <w:color w:val="auto"/>
          <w:sz w:val="36"/>
          <w:lang w:val="en-US" w:eastAsia="zh-CN"/>
        </w:rPr>
      </w:pPr>
      <w:r>
        <w:rPr>
          <w:rFonts w:hint="eastAsia" w:eastAsia="楷体_GB2312"/>
          <w:color w:val="auto"/>
          <w:sz w:val="36"/>
        </w:rPr>
        <w:t>顾问方（乙方）：</w:t>
      </w:r>
      <w:r>
        <w:rPr>
          <w:rFonts w:hint="eastAsia" w:eastAsia="楷体_GB2312"/>
          <w:color w:val="auto"/>
          <w:sz w:val="36"/>
          <w:u w:val="single"/>
          <w:lang w:val="en-US" w:eastAsia="zh-CN"/>
        </w:rPr>
        <w:t xml:space="preserve">                 </w:t>
      </w:r>
    </w:p>
    <w:p w14:paraId="2ED4A24D">
      <w:pPr>
        <w:rPr>
          <w:rFonts w:hint="eastAsia" w:eastAsia="楷体_GB2312"/>
          <w:color w:val="auto"/>
          <w:sz w:val="36"/>
        </w:rPr>
      </w:pPr>
    </w:p>
    <w:p w14:paraId="22549AC6">
      <w:pPr>
        <w:rPr>
          <w:rFonts w:hint="eastAsia" w:eastAsia="楷体_GB2312"/>
          <w:color w:val="auto"/>
          <w:sz w:val="36"/>
        </w:rPr>
      </w:pPr>
    </w:p>
    <w:p w14:paraId="6E935F0D">
      <w:pPr>
        <w:rPr>
          <w:rFonts w:hint="eastAsia" w:eastAsia="楷体_GB2312"/>
          <w:color w:val="auto"/>
          <w:sz w:val="36"/>
        </w:rPr>
      </w:pPr>
    </w:p>
    <w:p w14:paraId="742F897F">
      <w:pPr>
        <w:rPr>
          <w:rFonts w:hint="eastAsia" w:eastAsia="楷体_GB2312"/>
          <w:color w:val="auto"/>
          <w:sz w:val="36"/>
        </w:rPr>
      </w:pPr>
    </w:p>
    <w:p w14:paraId="0D47B642">
      <w:pPr>
        <w:rPr>
          <w:rFonts w:hint="eastAsia" w:eastAsia="楷体_GB2312"/>
          <w:color w:val="auto"/>
          <w:sz w:val="36"/>
        </w:rPr>
      </w:pPr>
      <w:r>
        <w:rPr>
          <w:rFonts w:hint="eastAsia" w:eastAsia="楷体_GB2312"/>
          <w:color w:val="auto"/>
          <w:sz w:val="36"/>
        </w:rPr>
        <w:t>签订地点：广东省广州市</w:t>
      </w:r>
    </w:p>
    <w:p w14:paraId="634569C0">
      <w:pPr>
        <w:rPr>
          <w:rFonts w:hint="eastAsia" w:eastAsia="楷体_GB2312"/>
          <w:color w:val="auto"/>
          <w:sz w:val="36"/>
        </w:rPr>
      </w:pPr>
      <w:r>
        <w:rPr>
          <w:rFonts w:hint="eastAsia" w:eastAsia="楷体_GB2312"/>
          <w:color w:val="auto"/>
          <w:sz w:val="36"/>
        </w:rPr>
        <w:t>签订日期：</w:t>
      </w:r>
      <w:r>
        <w:rPr>
          <w:rFonts w:eastAsia="楷体_GB2312"/>
          <w:color w:val="auto"/>
          <w:sz w:val="36"/>
        </w:rPr>
        <w:t>20</w:t>
      </w:r>
      <w:r>
        <w:rPr>
          <w:rFonts w:hint="eastAsia" w:eastAsia="楷体_GB2312"/>
          <w:color w:val="auto"/>
          <w:sz w:val="36"/>
        </w:rPr>
        <w:t>2</w:t>
      </w:r>
      <w:r>
        <w:rPr>
          <w:rFonts w:hint="eastAsia" w:eastAsia="楷体_GB2312"/>
          <w:color w:val="auto"/>
          <w:sz w:val="36"/>
          <w:lang w:val="en-US" w:eastAsia="zh-CN"/>
        </w:rPr>
        <w:t>5</w:t>
      </w:r>
      <w:r>
        <w:rPr>
          <w:rFonts w:hint="eastAsia" w:eastAsia="楷体_GB2312"/>
          <w:color w:val="auto"/>
          <w:sz w:val="36"/>
        </w:rPr>
        <w:t>年</w:t>
      </w:r>
      <w:r>
        <w:rPr>
          <w:rFonts w:eastAsia="楷体_GB2312"/>
          <w:color w:val="auto"/>
          <w:sz w:val="36"/>
        </w:rPr>
        <w:t xml:space="preserve">  </w:t>
      </w:r>
      <w:r>
        <w:rPr>
          <w:rFonts w:hint="eastAsia" w:eastAsia="楷体_GB2312"/>
          <w:color w:val="auto"/>
          <w:sz w:val="36"/>
        </w:rPr>
        <w:t xml:space="preserve">月 </w:t>
      </w:r>
      <w:r>
        <w:rPr>
          <w:rFonts w:eastAsia="楷体_GB2312"/>
          <w:color w:val="auto"/>
          <w:sz w:val="36"/>
        </w:rPr>
        <w:t xml:space="preserve"> </w:t>
      </w:r>
      <w:r>
        <w:rPr>
          <w:rFonts w:hint="eastAsia" w:eastAsia="楷体_GB2312"/>
          <w:color w:val="auto"/>
          <w:sz w:val="36"/>
        </w:rPr>
        <w:t xml:space="preserve"> 日</w:t>
      </w:r>
    </w:p>
    <w:p w14:paraId="7300ACB4">
      <w:pPr>
        <w:pStyle w:val="39"/>
        <w:spacing w:line="360" w:lineRule="auto"/>
        <w:rPr>
          <w:bCs/>
          <w:spacing w:val="72"/>
          <w:sz w:val="24"/>
        </w:rPr>
      </w:pPr>
    </w:p>
    <w:p w14:paraId="13CC1521">
      <w:pPr>
        <w:pStyle w:val="39"/>
        <w:spacing w:line="360" w:lineRule="auto"/>
        <w:rPr>
          <w:bCs/>
          <w:spacing w:val="72"/>
          <w:sz w:val="24"/>
        </w:rPr>
      </w:pPr>
    </w:p>
    <w:p w14:paraId="08BD218C">
      <w:pPr>
        <w:pStyle w:val="39"/>
        <w:spacing w:line="360" w:lineRule="auto"/>
        <w:rPr>
          <w:bCs/>
          <w:spacing w:val="72"/>
          <w:sz w:val="24"/>
        </w:rPr>
      </w:pPr>
    </w:p>
    <w:p w14:paraId="17D270DA">
      <w:pPr>
        <w:pStyle w:val="39"/>
        <w:spacing w:line="360" w:lineRule="auto"/>
        <w:rPr>
          <w:bCs/>
          <w:spacing w:val="72"/>
          <w:sz w:val="24"/>
        </w:rPr>
      </w:pPr>
    </w:p>
    <w:p w14:paraId="37A27E86">
      <w:pPr>
        <w:spacing w:line="360" w:lineRule="auto"/>
        <w:ind w:firstLine="480" w:firstLineChars="200"/>
        <w:rPr>
          <w:rFonts w:ascii="宋体" w:hAnsi="宋体" w:cs="宋体"/>
          <w:sz w:val="24"/>
          <w:szCs w:val="24"/>
        </w:rPr>
      </w:pPr>
      <w:r>
        <w:rPr>
          <w:rFonts w:hint="eastAsia" w:ascii="宋体" w:hAnsi="宋体" w:cs="宋体"/>
          <w:sz w:val="24"/>
          <w:szCs w:val="24"/>
        </w:rPr>
        <w:t>甲方委托乙方就</w:t>
      </w:r>
      <w:r>
        <w:rPr>
          <w:rFonts w:hint="eastAsia" w:ascii="宋体" w:hAnsi="宋体" w:cs="宋体"/>
          <w:sz w:val="24"/>
          <w:szCs w:val="24"/>
          <w:u w:val="single"/>
        </w:rPr>
        <w:t xml:space="preserve"> 广东省医学科学院建设项目（二期）</w:t>
      </w:r>
      <w:r>
        <w:rPr>
          <w:rFonts w:hint="eastAsia" w:ascii="宋体" w:hAnsi="宋体" w:cs="宋体"/>
          <w:sz w:val="24"/>
          <w:szCs w:val="24"/>
          <w:u w:val="single"/>
          <w:lang w:eastAsia="zh-CN"/>
        </w:rPr>
        <w:t>、广东省精神卫生中心建设项目</w:t>
      </w:r>
      <w:r>
        <w:rPr>
          <w:rFonts w:hint="eastAsia" w:ascii="宋体" w:hAnsi="宋体" w:cs="宋体"/>
          <w:sz w:val="24"/>
          <w:szCs w:val="24"/>
          <w:u w:val="single"/>
        </w:rPr>
        <w:t xml:space="preserve">树木保护专章编制 </w:t>
      </w:r>
      <w:r>
        <w:rPr>
          <w:rFonts w:hint="eastAsia" w:ascii="宋体" w:hAnsi="宋体" w:cs="宋体"/>
          <w:sz w:val="24"/>
          <w:szCs w:val="24"/>
        </w:rPr>
        <w:t>项目进行</w:t>
      </w:r>
      <w:bookmarkStart w:id="0" w:name="_Hlk93266625"/>
      <w:r>
        <w:rPr>
          <w:rFonts w:hint="eastAsia" w:ascii="宋体" w:hAnsi="宋体" w:cs="宋体"/>
          <w:sz w:val="24"/>
          <w:szCs w:val="24"/>
        </w:rPr>
        <w:t>技术服务，并支付相应的服务费用</w:t>
      </w:r>
      <w:bookmarkEnd w:id="0"/>
      <w:r>
        <w:rPr>
          <w:rFonts w:hint="eastAsia" w:ascii="宋体" w:hAnsi="宋体" w:cs="宋体"/>
          <w:sz w:val="24"/>
          <w:szCs w:val="24"/>
        </w:rPr>
        <w:t>。根据《中华人民共和国民法典》及相关法律法规的规定，双方经过平等协商，达成如下合同条款，共同遵守。</w:t>
      </w:r>
    </w:p>
    <w:p w14:paraId="45DFB943">
      <w:pPr>
        <w:pStyle w:val="2"/>
        <w:numPr>
          <w:ilvl w:val="0"/>
          <w:numId w:val="1"/>
        </w:numPr>
        <w:tabs>
          <w:tab w:val="left" w:pos="360"/>
        </w:tabs>
        <w:spacing w:before="312" w:beforeLines="100" w:after="156" w:afterLines="50" w:line="360" w:lineRule="auto"/>
        <w:ind w:left="0" w:firstLine="0"/>
        <w:rPr>
          <w:rFonts w:ascii="宋体" w:hAnsi="宋体" w:cs="宋体"/>
          <w:sz w:val="24"/>
          <w:szCs w:val="24"/>
        </w:rPr>
      </w:pPr>
      <w:bookmarkStart w:id="1" w:name="_Toc301352977"/>
      <w:r>
        <w:rPr>
          <w:rFonts w:hint="eastAsia" w:ascii="宋体" w:hAnsi="宋体" w:cs="宋体"/>
          <w:sz w:val="24"/>
          <w:szCs w:val="24"/>
        </w:rPr>
        <w:t>项目概况：</w:t>
      </w:r>
    </w:p>
    <w:p w14:paraId="0AAC53B8">
      <w:pPr>
        <w:spacing w:line="360" w:lineRule="auto"/>
        <w:ind w:firstLine="480" w:firstLineChars="200"/>
        <w:rPr>
          <w:rFonts w:ascii="宋体" w:hAnsi="宋体" w:cs="宋体"/>
          <w:sz w:val="24"/>
          <w:szCs w:val="24"/>
        </w:rPr>
      </w:pPr>
      <w:r>
        <w:rPr>
          <w:rFonts w:hint="eastAsia" w:ascii="宋体" w:hAnsi="宋体" w:cs="宋体"/>
          <w:sz w:val="24"/>
          <w:szCs w:val="24"/>
        </w:rPr>
        <w:t>1.1建设地点：</w:t>
      </w:r>
      <w:r>
        <w:rPr>
          <w:rFonts w:hint="eastAsia" w:ascii="宋体" w:hAnsi="宋体" w:cs="宋体"/>
          <w:sz w:val="24"/>
          <w:szCs w:val="24"/>
          <w:lang w:val="en-US" w:eastAsia="zh-CN"/>
        </w:rPr>
        <w:t>佛山</w:t>
      </w:r>
      <w:r>
        <w:rPr>
          <w:rFonts w:hint="eastAsia" w:ascii="宋体" w:hAnsi="宋体" w:cs="宋体"/>
          <w:sz w:val="24"/>
          <w:szCs w:val="24"/>
        </w:rPr>
        <w:t>市</w:t>
      </w:r>
      <w:r>
        <w:rPr>
          <w:rFonts w:hint="eastAsia" w:ascii="宋体" w:hAnsi="宋体" w:cs="宋体"/>
          <w:sz w:val="24"/>
          <w:szCs w:val="24"/>
          <w:lang w:val="en-US" w:eastAsia="zh-CN"/>
        </w:rPr>
        <w:t>南海</w:t>
      </w:r>
      <w:r>
        <w:rPr>
          <w:rFonts w:hint="eastAsia" w:ascii="宋体" w:hAnsi="宋体" w:cs="宋体"/>
          <w:sz w:val="24"/>
          <w:szCs w:val="24"/>
        </w:rPr>
        <w:t>区。</w:t>
      </w:r>
    </w:p>
    <w:p w14:paraId="48DD182D">
      <w:pPr>
        <w:spacing w:line="360" w:lineRule="auto"/>
        <w:ind w:firstLine="480" w:firstLineChars="200"/>
        <w:rPr>
          <w:rFonts w:ascii="宋体" w:hAnsi="宋体" w:cs="宋体"/>
          <w:sz w:val="24"/>
          <w:szCs w:val="24"/>
        </w:rPr>
      </w:pPr>
      <w:r>
        <w:rPr>
          <w:rFonts w:hint="eastAsia" w:ascii="宋体" w:hAnsi="宋体" w:cs="宋体"/>
          <w:sz w:val="24"/>
          <w:szCs w:val="24"/>
        </w:rPr>
        <w:t>1.2项目概况：</w:t>
      </w:r>
      <w:bookmarkEnd w:id="1"/>
      <w:r>
        <w:rPr>
          <w:rFonts w:hint="eastAsia" w:ascii="宋体" w:hAnsi="宋体" w:cs="宋体"/>
          <w:sz w:val="24"/>
          <w:szCs w:val="24"/>
        </w:rPr>
        <w:t>广东省医学科学院建设项目（二期）总用地面积</w:t>
      </w:r>
      <w:r>
        <w:rPr>
          <w:rFonts w:hint="eastAsia" w:ascii="宋体" w:hAnsi="宋体" w:cs="宋体"/>
          <w:sz w:val="24"/>
          <w:szCs w:val="24"/>
          <w:lang w:val="en-US" w:eastAsia="zh-CN"/>
        </w:rPr>
        <w:t>约</w:t>
      </w:r>
      <w:r>
        <w:rPr>
          <w:rFonts w:hint="eastAsia" w:ascii="宋体" w:hAnsi="宋体" w:cs="宋体"/>
          <w:sz w:val="24"/>
          <w:szCs w:val="24"/>
        </w:rPr>
        <w:t>为63779㎡，建设地点为永安中路54号（</w:t>
      </w:r>
      <w:r>
        <w:rPr>
          <w:rFonts w:hint="eastAsia" w:ascii="宋体" w:hAnsi="宋体" w:cs="宋体"/>
          <w:sz w:val="24"/>
          <w:szCs w:val="24"/>
          <w:lang w:val="en-US" w:eastAsia="zh-CN"/>
        </w:rPr>
        <w:t>约</w:t>
      </w:r>
      <w:r>
        <w:rPr>
          <w:rFonts w:hint="eastAsia" w:ascii="宋体" w:hAnsi="宋体" w:cs="宋体"/>
          <w:sz w:val="24"/>
          <w:szCs w:val="24"/>
        </w:rPr>
        <w:t>50248㎡）和康乐街13号（</w:t>
      </w:r>
      <w:r>
        <w:rPr>
          <w:rFonts w:hint="eastAsia" w:ascii="宋体" w:hAnsi="宋体" w:cs="宋体"/>
          <w:sz w:val="24"/>
          <w:szCs w:val="24"/>
          <w:lang w:val="en-US" w:eastAsia="zh-CN"/>
        </w:rPr>
        <w:t>约</w:t>
      </w:r>
      <w:r>
        <w:rPr>
          <w:rFonts w:hint="eastAsia" w:ascii="宋体" w:hAnsi="宋体" w:cs="宋体"/>
          <w:sz w:val="24"/>
          <w:szCs w:val="24"/>
        </w:rPr>
        <w:t>13531㎡）两地块；广东省精神卫生中心建设项目用地面积</w:t>
      </w:r>
      <w:r>
        <w:rPr>
          <w:rFonts w:hint="eastAsia" w:ascii="宋体" w:hAnsi="宋体" w:cs="宋体"/>
          <w:sz w:val="24"/>
          <w:szCs w:val="24"/>
          <w:lang w:val="en-US" w:eastAsia="zh-CN"/>
        </w:rPr>
        <w:t>约</w:t>
      </w:r>
      <w:r>
        <w:rPr>
          <w:rFonts w:hint="eastAsia" w:ascii="宋体" w:hAnsi="宋体" w:cs="宋体"/>
          <w:sz w:val="24"/>
          <w:szCs w:val="24"/>
        </w:rPr>
        <w:t>为16335㎡，建设地点为永安中路54号。两项目总用地面积</w:t>
      </w:r>
      <w:r>
        <w:rPr>
          <w:rFonts w:hint="eastAsia" w:ascii="宋体" w:hAnsi="宋体" w:cs="宋体"/>
          <w:sz w:val="24"/>
          <w:szCs w:val="24"/>
          <w:lang w:val="en-US" w:eastAsia="zh-CN"/>
        </w:rPr>
        <w:t>约</w:t>
      </w:r>
      <w:r>
        <w:rPr>
          <w:rFonts w:hint="eastAsia" w:ascii="宋体" w:hAnsi="宋体" w:cs="宋体"/>
          <w:sz w:val="24"/>
          <w:szCs w:val="24"/>
        </w:rPr>
        <w:t>为80114㎡</w:t>
      </w:r>
      <w:r>
        <w:rPr>
          <w:rFonts w:hint="eastAsia" w:ascii="宋体" w:hAnsi="宋体" w:cs="宋体"/>
          <w:sz w:val="24"/>
          <w:szCs w:val="24"/>
          <w:lang w:eastAsia="zh-CN"/>
        </w:rPr>
        <w:t>。</w:t>
      </w:r>
    </w:p>
    <w:p w14:paraId="3879C5A9">
      <w:pPr>
        <w:pStyle w:val="23"/>
        <w:ind w:firstLine="480" w:firstLineChars="200"/>
      </w:pPr>
      <w:r>
        <w:rPr>
          <w:rFonts w:hint="eastAsia"/>
          <w:sz w:val="24"/>
          <w:szCs w:val="24"/>
        </w:rPr>
        <w:t>上述范围为暂定，最终范围以项目实施方案确定的实施范围为准。</w:t>
      </w:r>
    </w:p>
    <w:p w14:paraId="04A19171">
      <w:pPr>
        <w:pStyle w:val="2"/>
        <w:spacing w:before="312" w:beforeLines="100" w:after="156" w:afterLines="50" w:line="360" w:lineRule="auto"/>
        <w:rPr>
          <w:rFonts w:ascii="宋体" w:hAnsi="宋体" w:cs="宋体"/>
          <w:sz w:val="24"/>
          <w:szCs w:val="24"/>
        </w:rPr>
      </w:pPr>
      <w:bookmarkStart w:id="2" w:name="_Toc301352978"/>
      <w:r>
        <w:rPr>
          <w:rFonts w:hint="eastAsia" w:ascii="宋体" w:hAnsi="宋体" w:cs="宋体"/>
          <w:sz w:val="24"/>
          <w:szCs w:val="24"/>
        </w:rPr>
        <w:t>第二条 技术</w:t>
      </w:r>
      <w:bookmarkStart w:id="3" w:name="_Hlk93238708"/>
      <w:r>
        <w:rPr>
          <w:rFonts w:hint="eastAsia" w:ascii="宋体" w:hAnsi="宋体" w:cs="宋体"/>
          <w:sz w:val="24"/>
          <w:szCs w:val="24"/>
        </w:rPr>
        <w:t>服务</w:t>
      </w:r>
      <w:bookmarkEnd w:id="3"/>
      <w:r>
        <w:rPr>
          <w:rFonts w:hint="eastAsia" w:ascii="宋体" w:hAnsi="宋体" w:cs="宋体"/>
          <w:sz w:val="24"/>
          <w:szCs w:val="24"/>
        </w:rPr>
        <w:t>内容和要求</w:t>
      </w:r>
      <w:bookmarkEnd w:id="2"/>
    </w:p>
    <w:p w14:paraId="72B6F9C3">
      <w:pPr>
        <w:spacing w:line="360" w:lineRule="auto"/>
        <w:ind w:firstLine="480" w:firstLineChars="200"/>
        <w:rPr>
          <w:rFonts w:ascii="宋体" w:hAnsi="宋体" w:cs="宋体"/>
          <w:sz w:val="24"/>
          <w:szCs w:val="24"/>
        </w:rPr>
      </w:pPr>
      <w:r>
        <w:rPr>
          <w:rFonts w:hint="eastAsia" w:ascii="宋体" w:hAnsi="宋体" w:cs="宋体"/>
          <w:sz w:val="24"/>
          <w:szCs w:val="24"/>
        </w:rPr>
        <w:t>2.1 技术服务内容：</w:t>
      </w:r>
    </w:p>
    <w:p w14:paraId="6E19A3EB">
      <w:pPr>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（1）工作内容</w:t>
      </w:r>
    </w:p>
    <w:p w14:paraId="2F41E7A2">
      <w:pPr>
        <w:spacing w:line="360" w:lineRule="auto"/>
        <w:ind w:firstLine="480" w:firstLineChars="200"/>
        <w:rPr>
          <w:rFonts w:ascii="宋体" w:hAnsi="宋体" w:cs="宋体"/>
          <w:sz w:val="24"/>
          <w:szCs w:val="24"/>
        </w:rPr>
      </w:pPr>
      <w:r>
        <w:rPr>
          <w:rFonts w:hint="eastAsia" w:ascii="宋体" w:hAnsi="宋体" w:cs="宋体"/>
          <w:sz w:val="24"/>
          <w:szCs w:val="24"/>
        </w:rPr>
        <w:t>根据目前</w:t>
      </w:r>
      <w:r>
        <w:rPr>
          <w:rFonts w:hint="eastAsia" w:ascii="宋体" w:hAnsi="宋体" w:cs="宋体"/>
          <w:sz w:val="24"/>
          <w:szCs w:val="24"/>
          <w:lang w:val="en-US" w:eastAsia="zh-CN"/>
        </w:rPr>
        <w:t>省、</w:t>
      </w:r>
      <w:r>
        <w:rPr>
          <w:rFonts w:hint="eastAsia" w:ascii="宋体" w:hAnsi="宋体" w:cs="宋体"/>
          <w:sz w:val="24"/>
          <w:szCs w:val="24"/>
        </w:rPr>
        <w:t>市、区关于绿化审批、评审的要求，开展树木保护专章编制：</w:t>
      </w:r>
    </w:p>
    <w:p w14:paraId="0795BC4A">
      <w:pPr>
        <w:spacing w:line="360" w:lineRule="auto"/>
        <w:ind w:firstLine="480" w:firstLineChars="200"/>
        <w:rPr>
          <w:rFonts w:ascii="宋体" w:hAnsi="宋体" w:cs="宋体"/>
          <w:sz w:val="24"/>
          <w:szCs w:val="24"/>
        </w:rPr>
      </w:pPr>
      <w:r>
        <w:rPr>
          <w:rFonts w:hint="eastAsia" w:ascii="宋体" w:hAnsi="宋体" w:cs="宋体"/>
          <w:sz w:val="24"/>
          <w:szCs w:val="24"/>
        </w:rPr>
        <w:t>①项目范围内的树木资源调查。包括所有树木的胸径测量、种类、数量、树木位置落图核实、生长状况、立地条件、保护设施现状、全景及特征照片拍摄等，分类编制树木信息汇总表。</w:t>
      </w:r>
    </w:p>
    <w:p w14:paraId="35E7753D">
      <w:pPr>
        <w:spacing w:line="360" w:lineRule="auto"/>
        <w:ind w:firstLine="480" w:firstLineChars="200"/>
        <w:rPr>
          <w:rFonts w:ascii="宋体" w:hAnsi="宋体" w:cs="宋体"/>
          <w:sz w:val="24"/>
          <w:szCs w:val="24"/>
        </w:rPr>
      </w:pPr>
      <w:r>
        <w:rPr>
          <w:rFonts w:hint="eastAsia" w:ascii="宋体" w:hAnsi="宋体" w:cs="宋体"/>
          <w:sz w:val="24"/>
          <w:szCs w:val="24"/>
        </w:rPr>
        <w:t>②树木评估：对现状树木情况进行摸查评估，明确树木保护范围，提出采取合理的避让和保护措施。</w:t>
      </w:r>
    </w:p>
    <w:p w14:paraId="1DABFAE4">
      <w:pPr>
        <w:spacing w:line="360" w:lineRule="auto"/>
        <w:ind w:firstLine="480" w:firstLineChars="200"/>
        <w:rPr>
          <w:rFonts w:ascii="宋体" w:hAnsi="宋体" w:cs="宋体"/>
          <w:sz w:val="24"/>
          <w:szCs w:val="24"/>
        </w:rPr>
      </w:pPr>
      <w:r>
        <w:rPr>
          <w:rFonts w:hint="eastAsia" w:ascii="宋体" w:hAnsi="宋体" w:cs="宋体"/>
          <w:sz w:val="24"/>
          <w:szCs w:val="24"/>
        </w:rPr>
        <w:t>③对项目范围内涉及的古树名木、古树后续资源</w:t>
      </w:r>
      <w:r>
        <w:rPr>
          <w:rFonts w:hint="eastAsia" w:ascii="宋体" w:hAnsi="宋体" w:cs="宋体"/>
          <w:sz w:val="24"/>
          <w:szCs w:val="24"/>
          <w:lang w:eastAsia="zh-CN"/>
        </w:rPr>
        <w:t>（</w:t>
      </w:r>
      <w:r>
        <w:rPr>
          <w:rFonts w:hint="eastAsia" w:ascii="宋体" w:hAnsi="宋体" w:cs="宋体"/>
          <w:sz w:val="24"/>
          <w:szCs w:val="24"/>
          <w:lang w:val="en-US" w:eastAsia="zh-CN"/>
        </w:rPr>
        <w:t>如有</w:t>
      </w:r>
      <w:r>
        <w:rPr>
          <w:rFonts w:hint="eastAsia" w:ascii="宋体" w:hAnsi="宋体" w:cs="宋体"/>
          <w:sz w:val="24"/>
          <w:szCs w:val="24"/>
          <w:lang w:eastAsia="zh-CN"/>
        </w:rPr>
        <w:t>）</w:t>
      </w:r>
      <w:r>
        <w:rPr>
          <w:rFonts w:hint="eastAsia" w:ascii="宋体" w:hAnsi="宋体" w:cs="宋体"/>
          <w:sz w:val="24"/>
          <w:szCs w:val="24"/>
        </w:rPr>
        <w:t>进行健康状况及安全性综合评估。并按照《</w:t>
      </w:r>
      <w:r>
        <w:rPr>
          <w:rFonts w:hint="eastAsia" w:ascii="宋体" w:hAnsi="宋体" w:cs="宋体"/>
          <w:sz w:val="24"/>
          <w:szCs w:val="24"/>
          <w:lang w:val="en-US" w:eastAsia="zh-CN"/>
        </w:rPr>
        <w:t>广东省</w:t>
      </w:r>
      <w:r>
        <w:rPr>
          <w:rFonts w:hint="eastAsia" w:ascii="宋体" w:hAnsi="宋体" w:cs="宋体"/>
          <w:sz w:val="24"/>
          <w:szCs w:val="24"/>
        </w:rPr>
        <w:t xml:space="preserve">绿化条例》要求划定保护范围，根据树木生长状况和保护现状编制原址保护措施。 </w:t>
      </w:r>
    </w:p>
    <w:p w14:paraId="31861262">
      <w:pPr>
        <w:spacing w:line="360" w:lineRule="auto"/>
        <w:ind w:firstLine="480" w:firstLineChars="200"/>
        <w:rPr>
          <w:rFonts w:ascii="宋体" w:hAnsi="宋体" w:cs="宋体"/>
          <w:sz w:val="24"/>
          <w:szCs w:val="24"/>
        </w:rPr>
      </w:pPr>
      <w:r>
        <w:rPr>
          <w:rFonts w:hint="eastAsia" w:ascii="宋体" w:hAnsi="宋体" w:cs="宋体"/>
          <w:sz w:val="24"/>
          <w:szCs w:val="24"/>
        </w:rPr>
        <w:t>④根据项目范围内树木与工程建设的关系综合分析，提出相关树木保护措施与处理建议，编制树木保护专章，内容应包括一图、一表、一方案及其它必要文件。</w:t>
      </w:r>
    </w:p>
    <w:p w14:paraId="537B8ACE">
      <w:pPr>
        <w:spacing w:line="360" w:lineRule="auto"/>
        <w:ind w:firstLine="480" w:firstLineChars="200"/>
        <w:rPr>
          <w:rFonts w:ascii="宋体" w:hAnsi="宋体" w:cs="宋体"/>
          <w:sz w:val="24"/>
          <w:szCs w:val="24"/>
        </w:rPr>
      </w:pPr>
      <w:r>
        <w:rPr>
          <w:rFonts w:hint="eastAsia" w:ascii="宋体" w:hAnsi="宋体" w:cs="宋体"/>
          <w:sz w:val="24"/>
          <w:szCs w:val="24"/>
        </w:rPr>
        <w:t>⑤树龄鉴定、病虫害检测、土壤检测等</w:t>
      </w:r>
      <w:r>
        <w:rPr>
          <w:rFonts w:hint="eastAsia" w:ascii="宋体" w:hAnsi="宋体" w:cs="宋体"/>
          <w:sz w:val="24"/>
          <w:szCs w:val="24"/>
          <w:lang w:eastAsia="zh-CN"/>
        </w:rPr>
        <w:t>（</w:t>
      </w:r>
      <w:r>
        <w:rPr>
          <w:rFonts w:hint="eastAsia" w:ascii="宋体" w:hAnsi="宋体" w:cs="宋体"/>
          <w:sz w:val="24"/>
          <w:szCs w:val="24"/>
          <w:lang w:val="en-US" w:eastAsia="zh-CN"/>
        </w:rPr>
        <w:t>如需</w:t>
      </w:r>
      <w:r>
        <w:rPr>
          <w:rFonts w:hint="eastAsia" w:ascii="宋体" w:hAnsi="宋体" w:cs="宋体"/>
          <w:sz w:val="24"/>
          <w:szCs w:val="24"/>
          <w:lang w:eastAsia="zh-CN"/>
        </w:rPr>
        <w:t>）</w:t>
      </w:r>
      <w:r>
        <w:rPr>
          <w:rFonts w:hint="eastAsia" w:ascii="宋体" w:hAnsi="宋体" w:cs="宋体"/>
          <w:sz w:val="24"/>
          <w:szCs w:val="24"/>
        </w:rPr>
        <w:t>。</w:t>
      </w:r>
    </w:p>
    <w:p w14:paraId="48159CFA">
      <w:pPr>
        <w:pStyle w:val="23"/>
        <w:spacing w:line="360" w:lineRule="auto"/>
        <w:ind w:firstLine="480" w:firstLineChars="200"/>
        <w:rPr>
          <w:rFonts w:ascii="宋体" w:hAnsi="宋体" w:cs="宋体"/>
          <w:sz w:val="24"/>
          <w:szCs w:val="24"/>
        </w:rPr>
      </w:pPr>
      <w:r>
        <w:rPr>
          <w:rFonts w:hint="eastAsia" w:ascii="宋体" w:hAnsi="宋体" w:cs="宋体"/>
          <w:sz w:val="24"/>
          <w:szCs w:val="24"/>
        </w:rPr>
        <w:t>具体编制内容以</w:t>
      </w:r>
      <w:r>
        <w:rPr>
          <w:rFonts w:hint="eastAsia" w:ascii="宋体" w:hAnsi="宋体" w:cs="宋体"/>
          <w:sz w:val="24"/>
          <w:szCs w:val="24"/>
          <w:lang w:val="en-US" w:eastAsia="zh-CN"/>
        </w:rPr>
        <w:t>相关政策文件</w:t>
      </w:r>
      <w:r>
        <w:rPr>
          <w:rFonts w:hint="eastAsia" w:ascii="宋体" w:hAnsi="宋体" w:cs="宋体"/>
          <w:sz w:val="24"/>
          <w:szCs w:val="24"/>
        </w:rPr>
        <w:t>为准。</w:t>
      </w:r>
    </w:p>
    <w:p w14:paraId="713FAC1C">
      <w:pPr>
        <w:spacing w:line="360" w:lineRule="auto"/>
        <w:ind w:firstLine="480" w:firstLineChars="200"/>
        <w:rPr>
          <w:rFonts w:ascii="宋体" w:hAnsi="宋体" w:cs="宋体"/>
          <w:sz w:val="24"/>
          <w:szCs w:val="24"/>
        </w:rPr>
      </w:pPr>
      <w:r>
        <w:rPr>
          <w:rFonts w:hint="eastAsia" w:ascii="宋体" w:hAnsi="宋体" w:cs="宋体"/>
          <w:sz w:val="24"/>
          <w:szCs w:val="24"/>
          <w:shd w:val="clear" w:color="auto" w:fill="FFFFFF"/>
        </w:rPr>
        <w:t>（2）工作成果</w:t>
      </w:r>
    </w:p>
    <w:p w14:paraId="09496E98">
      <w:pPr>
        <w:spacing w:line="360" w:lineRule="auto"/>
        <w:ind w:firstLine="480" w:firstLineChars="200"/>
        <w:rPr>
          <w:rFonts w:ascii="宋体" w:hAnsi="宋体" w:cs="宋体"/>
          <w:sz w:val="24"/>
          <w:szCs w:val="24"/>
        </w:rPr>
      </w:pPr>
      <w:r>
        <w:rPr>
          <w:rFonts w:hint="eastAsia" w:ascii="宋体" w:hAnsi="宋体" w:cs="宋体"/>
          <w:sz w:val="24"/>
          <w:szCs w:val="24"/>
        </w:rPr>
        <w:t>提交《广东省医学科学院建设项目（二期）树木保护专章》</w:t>
      </w:r>
      <w:ins w:id="0" w:author="林y" w:date="2025-06-27T11:33:46Z">
        <w:r>
          <w:rPr>
            <w:rFonts w:hint="eastAsia" w:ascii="宋体" w:hAnsi="宋体" w:cs="宋体"/>
            <w:sz w:val="24"/>
            <w:szCs w:val="24"/>
            <w:lang w:eastAsia="zh-CN"/>
          </w:rPr>
          <w:t>、</w:t>
        </w:r>
      </w:ins>
      <w:ins w:id="1" w:author="林y" w:date="2025-06-27T11:34:02Z">
        <w:r>
          <w:rPr>
            <w:rFonts w:hint="eastAsia" w:ascii="宋体" w:hAnsi="宋体" w:cs="宋体"/>
            <w:sz w:val="24"/>
            <w:szCs w:val="24"/>
            <w:lang w:eastAsia="zh-CN"/>
          </w:rPr>
          <w:t>《</w:t>
        </w:r>
      </w:ins>
      <w:ins w:id="2" w:author="林y" w:date="2025-06-27T11:34:04Z">
        <w:r>
          <w:rPr>
            <w:rFonts w:hint="eastAsia" w:ascii="宋体" w:hAnsi="宋体" w:cs="宋体"/>
            <w:sz w:val="24"/>
            <w:szCs w:val="24"/>
            <w:u w:val="single"/>
            <w:lang w:eastAsia="zh-CN"/>
          </w:rPr>
          <w:t>广东省精神卫生中心建设项目</w:t>
        </w:r>
      </w:ins>
      <w:ins w:id="3" w:author="林y" w:date="2025-06-27T11:34:04Z">
        <w:r>
          <w:rPr>
            <w:rFonts w:hint="eastAsia" w:ascii="宋体" w:hAnsi="宋体" w:cs="宋体"/>
            <w:sz w:val="24"/>
            <w:szCs w:val="24"/>
            <w:u w:val="single"/>
          </w:rPr>
          <w:t>树木保护专章</w:t>
        </w:r>
      </w:ins>
      <w:ins w:id="4" w:author="林y" w:date="2025-06-27T11:34:02Z">
        <w:r>
          <w:rPr>
            <w:rFonts w:hint="eastAsia" w:ascii="宋体" w:hAnsi="宋体" w:cs="宋体"/>
            <w:sz w:val="24"/>
            <w:szCs w:val="24"/>
            <w:lang w:eastAsia="zh-CN"/>
          </w:rPr>
          <w:t>》</w:t>
        </w:r>
      </w:ins>
      <w:r>
        <w:rPr>
          <w:rFonts w:hint="eastAsia" w:ascii="宋体" w:hAnsi="宋体" w:cs="宋体"/>
          <w:sz w:val="24"/>
          <w:szCs w:val="24"/>
        </w:rPr>
        <w:t>成果报告</w:t>
      </w:r>
      <w:r>
        <w:rPr>
          <w:rFonts w:hint="eastAsia" w:ascii="宋体" w:hAnsi="宋体" w:cs="宋体"/>
          <w:sz w:val="24"/>
          <w:szCs w:val="24"/>
          <w:lang w:eastAsia="zh-CN"/>
        </w:rPr>
        <w:t>，</w:t>
      </w:r>
      <w:r>
        <w:rPr>
          <w:rFonts w:hint="eastAsia" w:ascii="宋体" w:hAnsi="宋体" w:cs="宋体"/>
          <w:sz w:val="24"/>
          <w:szCs w:val="24"/>
          <w:lang w:val="en-US" w:eastAsia="zh-CN"/>
        </w:rPr>
        <w:t>并取得主管部门批复</w:t>
      </w:r>
      <w:r>
        <w:rPr>
          <w:rFonts w:hint="eastAsia" w:ascii="宋体" w:hAnsi="宋体" w:cs="宋体"/>
          <w:sz w:val="24"/>
          <w:szCs w:val="24"/>
        </w:rPr>
        <w:t>。</w:t>
      </w:r>
    </w:p>
    <w:p w14:paraId="22D7BA6D">
      <w:pPr>
        <w:widowControl/>
        <w:topLinePunct/>
        <w:spacing w:line="360" w:lineRule="auto"/>
        <w:ind w:firstLine="489" w:firstLineChars="204"/>
        <w:jc w:val="left"/>
        <w:rPr>
          <w:rFonts w:ascii="宋体" w:hAnsi="宋体" w:cs="宋体"/>
          <w:sz w:val="24"/>
          <w:szCs w:val="24"/>
        </w:rPr>
      </w:pPr>
      <w:r>
        <w:rPr>
          <w:rFonts w:hint="eastAsia" w:ascii="宋体" w:hAnsi="宋体" w:cs="宋体"/>
          <w:sz w:val="24"/>
          <w:szCs w:val="24"/>
        </w:rPr>
        <w:t>2.2 技术服务要求：</w:t>
      </w:r>
    </w:p>
    <w:p w14:paraId="041CD639">
      <w:pPr>
        <w:widowControl/>
        <w:topLinePunct/>
        <w:spacing w:line="360" w:lineRule="auto"/>
        <w:ind w:firstLine="489" w:firstLineChars="204"/>
        <w:jc w:val="left"/>
        <w:rPr>
          <w:rFonts w:ascii="宋体" w:hAnsi="宋体" w:cs="宋体"/>
          <w:sz w:val="24"/>
          <w:szCs w:val="24"/>
          <w:shd w:val="clear" w:color="auto" w:fill="FFFFFF"/>
        </w:rPr>
      </w:pPr>
      <w:r>
        <w:rPr>
          <w:rFonts w:hint="eastAsia" w:ascii="宋体" w:hAnsi="宋体" w:cs="宋体"/>
          <w:kern w:val="0"/>
          <w:sz w:val="24"/>
          <w:szCs w:val="24"/>
          <w:shd w:val="clear" w:color="auto" w:fill="FFFFFF"/>
        </w:rPr>
        <w:t>（1）树木保护专章编制：中选人应在成交通知书发出后</w:t>
      </w:r>
      <w:r>
        <w:rPr>
          <w:rFonts w:hint="eastAsia" w:ascii="宋体" w:hAnsi="宋体" w:cs="宋体"/>
          <w:kern w:val="0"/>
          <w:sz w:val="24"/>
          <w:szCs w:val="24"/>
          <w:u w:val="single"/>
          <w:shd w:val="clear" w:color="auto" w:fill="FFFFFF"/>
        </w:rPr>
        <w:t xml:space="preserve"> 30 </w:t>
      </w:r>
      <w:r>
        <w:rPr>
          <w:rFonts w:hint="eastAsia" w:ascii="宋体" w:hAnsi="宋体" w:cs="宋体"/>
          <w:kern w:val="0"/>
          <w:sz w:val="24"/>
          <w:szCs w:val="24"/>
          <w:shd w:val="clear" w:color="auto" w:fill="FFFFFF"/>
        </w:rPr>
        <w:t>个日历天内完成该成果。</w:t>
      </w:r>
    </w:p>
    <w:p w14:paraId="60A3AC61">
      <w:pPr>
        <w:spacing w:line="360" w:lineRule="auto"/>
        <w:ind w:firstLine="480" w:firstLineChars="20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（2）树木保护专章修改：在有关部门组织专家评审后</w:t>
      </w:r>
      <w:r>
        <w:rPr>
          <w:rFonts w:hint="eastAsia" w:ascii="宋体" w:hAnsi="宋体" w:cs="宋体"/>
          <w:kern w:val="0"/>
          <w:sz w:val="24"/>
          <w:szCs w:val="24"/>
          <w:u w:val="single"/>
          <w:shd w:val="clear" w:color="auto" w:fill="FFFFFF"/>
        </w:rPr>
        <w:t>7</w:t>
      </w:r>
      <w:r>
        <w:rPr>
          <w:rFonts w:hint="eastAsia" w:ascii="宋体" w:hAnsi="宋体" w:cs="宋体"/>
          <w:kern w:val="0"/>
          <w:sz w:val="24"/>
          <w:szCs w:val="24"/>
          <w:shd w:val="clear" w:color="auto" w:fill="FFFFFF"/>
        </w:rPr>
        <w:t>个日历天内完成树木保护专章修改。期限结束后，若发现树木保护专章仍需修改、调整，乙方应继续提供有关服务。</w:t>
      </w:r>
    </w:p>
    <w:p w14:paraId="50D07E84">
      <w:pPr>
        <w:spacing w:line="360" w:lineRule="auto"/>
        <w:ind w:firstLine="480" w:firstLineChars="200"/>
        <w:rPr>
          <w:rFonts w:ascii="宋体" w:hAnsi="宋体" w:cs="宋体"/>
          <w:kern w:val="44"/>
          <w:sz w:val="24"/>
          <w:szCs w:val="24"/>
          <w:u w:val="single"/>
        </w:rPr>
      </w:pPr>
      <w:r>
        <w:rPr>
          <w:rFonts w:hint="eastAsia" w:ascii="宋体" w:hAnsi="宋体" w:cs="宋体"/>
          <w:sz w:val="24"/>
          <w:szCs w:val="24"/>
        </w:rPr>
        <w:t>2.3 技术服务方式：</w:t>
      </w:r>
      <w:r>
        <w:rPr>
          <w:rFonts w:hint="eastAsia" w:ascii="宋体" w:hAnsi="宋体" w:cs="宋体"/>
          <w:b/>
          <w:bCs/>
          <w:kern w:val="44"/>
          <w:sz w:val="24"/>
          <w:szCs w:val="24"/>
          <w:u w:val="single"/>
        </w:rPr>
        <w:t>开展</w:t>
      </w:r>
      <w:r>
        <w:rPr>
          <w:rFonts w:hint="eastAsia" w:ascii="宋体" w:hAnsi="宋体" w:cs="宋体"/>
          <w:b/>
          <w:bCs/>
          <w:kern w:val="44"/>
          <w:sz w:val="24"/>
          <w:szCs w:val="24"/>
          <w:u w:val="single"/>
          <w:lang w:val="en-US" w:eastAsia="zh-CN"/>
        </w:rPr>
        <w:t>项目建设过程所需的</w:t>
      </w:r>
      <w:r>
        <w:rPr>
          <w:rFonts w:hint="eastAsia" w:ascii="宋体" w:hAnsi="宋体" w:cs="宋体"/>
          <w:b/>
          <w:bCs/>
          <w:kern w:val="44"/>
          <w:sz w:val="24"/>
          <w:szCs w:val="24"/>
          <w:u w:val="single"/>
        </w:rPr>
        <w:t>树木保护专章的编制工作，结合树木现状摸查结果，提出树木评估和保护措施。</w:t>
      </w:r>
    </w:p>
    <w:p w14:paraId="451B0517">
      <w:pPr>
        <w:pStyle w:val="2"/>
        <w:spacing w:before="312" w:beforeLines="100" w:after="156" w:afterLines="50" w:line="360" w:lineRule="auto"/>
        <w:rPr>
          <w:rFonts w:ascii="Times New Roman" w:hAnsi="Times New Roman"/>
          <w:sz w:val="24"/>
          <w:szCs w:val="24"/>
        </w:rPr>
      </w:pPr>
      <w:r>
        <w:rPr>
          <w:rFonts w:ascii="Times New Roman" w:hAnsi="Times New Roman"/>
          <w:sz w:val="24"/>
          <w:szCs w:val="24"/>
        </w:rPr>
        <w:t>第三条 成果及交付时间</w:t>
      </w:r>
    </w:p>
    <w:p w14:paraId="63E0F6CB">
      <w:pPr>
        <w:autoSpaceDE w:val="0"/>
        <w:autoSpaceDN w:val="0"/>
        <w:adjustRightInd w:val="0"/>
        <w:spacing w:line="360" w:lineRule="auto"/>
        <w:ind w:firstLine="480" w:firstLineChars="200"/>
        <w:rPr>
          <w:rFonts w:ascii="Times New Roman" w:hAnsi="Times New Roman"/>
          <w:sz w:val="24"/>
          <w:szCs w:val="24"/>
        </w:rPr>
      </w:pPr>
      <w:r>
        <w:rPr>
          <w:rFonts w:ascii="Times New Roman" w:hAnsi="Times New Roman"/>
          <w:sz w:val="24"/>
          <w:szCs w:val="24"/>
        </w:rPr>
        <w:t>乙方应在成交通知书生效之日起</w:t>
      </w:r>
      <w:r>
        <w:rPr>
          <w:rFonts w:ascii="Times New Roman" w:hAnsi="Times New Roman"/>
          <w:sz w:val="24"/>
          <w:szCs w:val="24"/>
          <w:u w:val="single"/>
        </w:rPr>
        <w:t xml:space="preserve">    </w:t>
      </w:r>
      <w:r>
        <w:rPr>
          <w:rFonts w:ascii="Times New Roman" w:hAnsi="Times New Roman"/>
          <w:sz w:val="24"/>
          <w:szCs w:val="24"/>
        </w:rPr>
        <w:t>日内编制技术成果、通过专家评审及相关部门审核，并根据修改意见提交最终成果。</w:t>
      </w:r>
    </w:p>
    <w:p w14:paraId="2948A792">
      <w:pPr>
        <w:pStyle w:val="2"/>
        <w:spacing w:before="312" w:beforeLines="100" w:after="156" w:afterLines="50" w:line="360" w:lineRule="auto"/>
        <w:rPr>
          <w:rFonts w:ascii="Times New Roman" w:hAnsi="Times New Roman"/>
          <w:sz w:val="24"/>
          <w:szCs w:val="24"/>
        </w:rPr>
      </w:pPr>
      <w:r>
        <w:rPr>
          <w:rFonts w:ascii="Times New Roman" w:hAnsi="Times New Roman"/>
          <w:sz w:val="24"/>
          <w:szCs w:val="24"/>
        </w:rPr>
        <w:t>第四条 技术人员组成</w:t>
      </w:r>
    </w:p>
    <w:p w14:paraId="59499B2E">
      <w:pPr>
        <w:autoSpaceDE w:val="0"/>
        <w:autoSpaceDN w:val="0"/>
        <w:adjustRightInd w:val="0"/>
        <w:spacing w:line="360" w:lineRule="auto"/>
        <w:ind w:firstLine="480" w:firstLineChars="200"/>
        <w:rPr>
          <w:rFonts w:ascii="Times New Roman" w:hAnsi="Times New Roman"/>
          <w:sz w:val="24"/>
          <w:szCs w:val="24"/>
        </w:rPr>
      </w:pPr>
      <w:r>
        <w:rPr>
          <w:rFonts w:ascii="Times New Roman" w:hAnsi="Times New Roman"/>
          <w:sz w:val="24"/>
          <w:szCs w:val="24"/>
        </w:rPr>
        <w:t>乙方指派</w:t>
      </w:r>
      <w:r>
        <w:rPr>
          <w:rFonts w:ascii="Times New Roman" w:hAnsi="Times New Roman"/>
          <w:sz w:val="24"/>
          <w:szCs w:val="24"/>
          <w:u w:val="single"/>
        </w:rPr>
        <w:tab/>
      </w:r>
      <w:r>
        <w:rPr>
          <w:rFonts w:ascii="Times New Roman" w:hAnsi="Times New Roman"/>
          <w:sz w:val="24"/>
          <w:szCs w:val="24"/>
          <w:u w:val="single"/>
        </w:rPr>
        <w:t xml:space="preserve">   </w:t>
      </w:r>
      <w:r>
        <w:rPr>
          <w:rFonts w:ascii="Times New Roman" w:hAnsi="Times New Roman"/>
          <w:sz w:val="24"/>
          <w:szCs w:val="24"/>
        </w:rPr>
        <w:t>作为本项目的负责人，联系方式</w:t>
      </w:r>
      <w:r>
        <w:rPr>
          <w:rFonts w:ascii="Times New Roman" w:hAnsi="Times New Roman"/>
          <w:sz w:val="24"/>
          <w:szCs w:val="24"/>
          <w:u w:val="single"/>
        </w:rPr>
        <w:t xml:space="preserve">            </w:t>
      </w:r>
      <w:r>
        <w:rPr>
          <w:rFonts w:ascii="Times New Roman" w:hAnsi="Times New Roman"/>
          <w:sz w:val="24"/>
          <w:szCs w:val="24"/>
        </w:rPr>
        <w:t>。未经甲方同意，乙方不得随意更换技术人员。如果甲方认为乙方指派的技术人员不能胜任的，乙方应当及时更换。乙方指派的项目负责人和技术人员应实际参与本合同的技术工作。</w:t>
      </w:r>
    </w:p>
    <w:p w14:paraId="1F3FD04B">
      <w:pPr>
        <w:pStyle w:val="2"/>
        <w:spacing w:before="312" w:beforeLines="100" w:after="156" w:afterLines="50" w:line="360" w:lineRule="auto"/>
        <w:rPr>
          <w:rFonts w:ascii="Times New Roman" w:hAnsi="Times New Roman"/>
          <w:sz w:val="24"/>
          <w:szCs w:val="24"/>
        </w:rPr>
      </w:pPr>
      <w:r>
        <w:rPr>
          <w:rFonts w:ascii="Times New Roman" w:hAnsi="Times New Roman"/>
          <w:sz w:val="24"/>
          <w:szCs w:val="24"/>
        </w:rPr>
        <w:t>第五条 技术服务期限</w:t>
      </w:r>
    </w:p>
    <w:p w14:paraId="5C34BFB8">
      <w:pPr>
        <w:spacing w:line="360" w:lineRule="auto"/>
        <w:ind w:firstLine="480" w:firstLineChars="200"/>
        <w:rPr>
          <w:rFonts w:ascii="Times New Roman" w:hAnsi="Times New Roman"/>
          <w:sz w:val="24"/>
          <w:szCs w:val="24"/>
        </w:rPr>
      </w:pPr>
      <w:bookmarkStart w:id="4" w:name="_Toc301352980"/>
      <w:r>
        <w:rPr>
          <w:rFonts w:ascii="Times New Roman" w:hAnsi="Times New Roman"/>
          <w:sz w:val="24"/>
          <w:szCs w:val="24"/>
          <w:u w:val="single"/>
        </w:rPr>
        <w:t>从合同生效之日起至合同权利义务履行完毕止</w:t>
      </w:r>
      <w:r>
        <w:rPr>
          <w:rFonts w:ascii="Times New Roman" w:hAnsi="Times New Roman"/>
          <w:sz w:val="24"/>
          <w:szCs w:val="24"/>
        </w:rPr>
        <w:t>。</w:t>
      </w:r>
    </w:p>
    <w:p w14:paraId="02372843">
      <w:pPr>
        <w:pStyle w:val="2"/>
        <w:spacing w:before="312" w:beforeLines="100" w:after="156" w:afterLines="50" w:line="360" w:lineRule="auto"/>
        <w:rPr>
          <w:rFonts w:ascii="Times New Roman" w:hAnsi="Times New Roman"/>
          <w:sz w:val="24"/>
          <w:szCs w:val="24"/>
        </w:rPr>
      </w:pPr>
      <w:r>
        <w:rPr>
          <w:rFonts w:ascii="Times New Roman" w:hAnsi="Times New Roman"/>
          <w:sz w:val="24"/>
          <w:szCs w:val="24"/>
        </w:rPr>
        <w:t>第六条 技术资料</w:t>
      </w:r>
      <w:bookmarkEnd w:id="4"/>
    </w:p>
    <w:p w14:paraId="72C3FCFE">
      <w:pPr>
        <w:snapToGrid w:val="0"/>
        <w:spacing w:before="120" w:line="360" w:lineRule="auto"/>
        <w:ind w:firstLine="480" w:firstLineChars="200"/>
        <w:rPr>
          <w:rFonts w:ascii="Times New Roman" w:hAnsi="Times New Roman"/>
          <w:kern w:val="0"/>
          <w:sz w:val="24"/>
          <w:szCs w:val="24"/>
        </w:rPr>
      </w:pPr>
      <w:bookmarkStart w:id="5" w:name="_Toc301352981"/>
      <w:r>
        <w:rPr>
          <w:rFonts w:ascii="Times New Roman" w:hAnsi="Times New Roman"/>
          <w:sz w:val="24"/>
          <w:szCs w:val="24"/>
        </w:rPr>
        <w:t>6.1 甲方应向乙方</w:t>
      </w:r>
      <w:r>
        <w:rPr>
          <w:rFonts w:ascii="Times New Roman" w:hAnsi="Times New Roman"/>
          <w:kern w:val="0"/>
          <w:sz w:val="24"/>
          <w:szCs w:val="24"/>
        </w:rPr>
        <w:t>提供的技术资料如下：</w:t>
      </w:r>
    </w:p>
    <w:p w14:paraId="31F0C598">
      <w:pPr>
        <w:spacing w:line="360" w:lineRule="auto"/>
        <w:ind w:firstLine="480" w:firstLineChars="200"/>
        <w:rPr>
          <w:rFonts w:ascii="Times New Roman" w:hAnsi="Times New Roman"/>
          <w:sz w:val="24"/>
          <w:szCs w:val="24"/>
        </w:rPr>
      </w:pPr>
      <w:r>
        <w:rPr>
          <w:rFonts w:ascii="Times New Roman" w:hAnsi="Times New Roman"/>
          <w:sz w:val="24"/>
          <w:szCs w:val="24"/>
        </w:rPr>
        <w:t>（1）本项目研究有关技术基础资料；</w:t>
      </w:r>
    </w:p>
    <w:p w14:paraId="7C645BDB">
      <w:pPr>
        <w:adjustRightInd w:val="0"/>
        <w:snapToGrid w:val="0"/>
        <w:spacing w:before="60" w:line="360" w:lineRule="auto"/>
        <w:ind w:firstLine="480" w:firstLineChars="200"/>
        <w:textAlignment w:val="baseline"/>
        <w:rPr>
          <w:rFonts w:ascii="Times New Roman" w:hAnsi="Times New Roman"/>
          <w:kern w:val="0"/>
          <w:sz w:val="24"/>
          <w:szCs w:val="24"/>
        </w:rPr>
      </w:pPr>
      <w:r>
        <w:rPr>
          <w:rFonts w:ascii="Times New Roman" w:hAnsi="Times New Roman"/>
          <w:kern w:val="0"/>
          <w:sz w:val="24"/>
          <w:szCs w:val="24"/>
        </w:rPr>
        <w:t>甲方应</w:t>
      </w:r>
      <w:r>
        <w:rPr>
          <w:rFonts w:hint="eastAsia" w:ascii="Times New Roman" w:hAnsi="Times New Roman"/>
          <w:kern w:val="0"/>
          <w:sz w:val="24"/>
          <w:szCs w:val="24"/>
        </w:rPr>
        <w:t>在成交通知书发出</w:t>
      </w:r>
      <w:r>
        <w:rPr>
          <w:rFonts w:ascii="Times New Roman" w:hAnsi="Times New Roman"/>
          <w:kern w:val="0"/>
          <w:sz w:val="24"/>
          <w:szCs w:val="24"/>
        </w:rPr>
        <w:t>后</w:t>
      </w:r>
      <w:r>
        <w:rPr>
          <w:rFonts w:ascii="Times New Roman" w:hAnsi="Times New Roman"/>
          <w:kern w:val="0"/>
          <w:sz w:val="24"/>
          <w:szCs w:val="24"/>
          <w:u w:val="single"/>
        </w:rPr>
        <w:t xml:space="preserve"> </w:t>
      </w:r>
      <w:r>
        <w:rPr>
          <w:rFonts w:hint="eastAsia" w:ascii="Times New Roman" w:hAnsi="Times New Roman"/>
          <w:kern w:val="0"/>
          <w:sz w:val="24"/>
          <w:szCs w:val="24"/>
          <w:u w:val="single"/>
        </w:rPr>
        <w:t>5</w:t>
      </w:r>
      <w:r>
        <w:rPr>
          <w:rFonts w:ascii="Times New Roman" w:hAnsi="Times New Roman"/>
          <w:kern w:val="0"/>
          <w:sz w:val="24"/>
          <w:szCs w:val="24"/>
          <w:u w:val="single"/>
        </w:rPr>
        <w:t xml:space="preserve"> </w:t>
      </w:r>
      <w:r>
        <w:rPr>
          <w:rFonts w:ascii="Times New Roman" w:hAnsi="Times New Roman"/>
          <w:kern w:val="0"/>
          <w:sz w:val="24"/>
          <w:szCs w:val="24"/>
        </w:rPr>
        <w:t>日内将上述资料提供给乙方。若在甲方提供资料后</w:t>
      </w:r>
      <w:r>
        <w:rPr>
          <w:rFonts w:ascii="Times New Roman" w:hAnsi="Times New Roman"/>
          <w:kern w:val="0"/>
          <w:sz w:val="24"/>
          <w:szCs w:val="24"/>
          <w:u w:val="single"/>
        </w:rPr>
        <w:t xml:space="preserve"> 3 </w:t>
      </w:r>
      <w:r>
        <w:rPr>
          <w:rFonts w:ascii="Times New Roman" w:hAnsi="Times New Roman"/>
          <w:kern w:val="0"/>
          <w:sz w:val="24"/>
          <w:szCs w:val="24"/>
        </w:rPr>
        <w:t>个工作日内，乙方未提出书面异议，视为甲方提交的资料完整而准确，乙方不得事后以甲方提供资料不完整或不准确为由主张交付时间顺延。</w:t>
      </w:r>
    </w:p>
    <w:p w14:paraId="7943A906">
      <w:pPr>
        <w:tabs>
          <w:tab w:val="left" w:pos="540"/>
        </w:tabs>
        <w:spacing w:line="360" w:lineRule="auto"/>
        <w:ind w:firstLine="480" w:firstLineChars="200"/>
        <w:rPr>
          <w:rFonts w:ascii="Times New Roman" w:hAnsi="Times New Roman"/>
          <w:sz w:val="24"/>
          <w:szCs w:val="24"/>
        </w:rPr>
      </w:pPr>
      <w:r>
        <w:rPr>
          <w:rFonts w:ascii="Times New Roman" w:hAnsi="Times New Roman"/>
          <w:sz w:val="24"/>
          <w:szCs w:val="24"/>
        </w:rPr>
        <w:t>6.2乙方根据需要，可要求甲方补充必要的技术背景材料、技术资料及数据，甲方审核确认后提供。</w:t>
      </w:r>
    </w:p>
    <w:p w14:paraId="786C0E08">
      <w:pPr>
        <w:tabs>
          <w:tab w:val="left" w:pos="540"/>
        </w:tabs>
        <w:spacing w:line="360" w:lineRule="auto"/>
        <w:ind w:firstLine="480" w:firstLineChars="200"/>
        <w:rPr>
          <w:rFonts w:ascii="Times New Roman" w:hAnsi="Times New Roman"/>
          <w:sz w:val="24"/>
          <w:szCs w:val="24"/>
          <w:u w:val="single"/>
        </w:rPr>
      </w:pPr>
      <w:r>
        <w:rPr>
          <w:rFonts w:ascii="Times New Roman" w:hAnsi="Times New Roman"/>
          <w:sz w:val="24"/>
          <w:szCs w:val="24"/>
        </w:rPr>
        <w:t>6.3 双方联系人应在确认的资料移交清单上签字，清单应注明移交时间和方式。</w:t>
      </w:r>
    </w:p>
    <w:p w14:paraId="404574C7">
      <w:pPr>
        <w:spacing w:line="360" w:lineRule="auto"/>
        <w:ind w:firstLine="480" w:firstLineChars="200"/>
        <w:rPr>
          <w:rFonts w:ascii="Times New Roman" w:hAnsi="Times New Roman"/>
          <w:sz w:val="24"/>
          <w:szCs w:val="24"/>
        </w:rPr>
      </w:pPr>
      <w:r>
        <w:rPr>
          <w:rFonts w:ascii="Times New Roman" w:hAnsi="Times New Roman"/>
          <w:sz w:val="24"/>
          <w:szCs w:val="24"/>
        </w:rPr>
        <w:t>6.4 乙方对于甲方提供的技术背景材料、技术资料、数据应当妥善保管，本合同履行完毕后，乙方应当将上述技术背景材料、技术资料、数据全部退还给甲方，并不得以复制、扫描等任何方式保存甲方的资料信息。</w:t>
      </w:r>
    </w:p>
    <w:p w14:paraId="5DC9F258">
      <w:pPr>
        <w:spacing w:line="360" w:lineRule="auto"/>
        <w:ind w:firstLine="480" w:firstLineChars="200"/>
        <w:rPr>
          <w:rFonts w:ascii="Times New Roman" w:hAnsi="Times New Roman"/>
          <w:sz w:val="24"/>
          <w:szCs w:val="24"/>
        </w:rPr>
      </w:pPr>
      <w:r>
        <w:rPr>
          <w:rFonts w:ascii="Times New Roman" w:hAnsi="Times New Roman"/>
          <w:sz w:val="24"/>
          <w:szCs w:val="24"/>
        </w:rPr>
        <w:t>6.5 未经甲方同意，乙方不得将因为本合同项目而了解、取得的甲方资料及文件擅自修改或用于本合同项目外的其他用途。</w:t>
      </w:r>
    </w:p>
    <w:p w14:paraId="4F1AF16D">
      <w:pPr>
        <w:pStyle w:val="2"/>
        <w:spacing w:before="312" w:beforeLines="100" w:after="156" w:afterLines="50" w:line="360" w:lineRule="auto"/>
        <w:rPr>
          <w:rFonts w:ascii="Times New Roman" w:hAnsi="Times New Roman"/>
          <w:sz w:val="24"/>
          <w:szCs w:val="24"/>
        </w:rPr>
      </w:pPr>
      <w:bookmarkStart w:id="6" w:name="_Toc301352982"/>
      <w:r>
        <w:rPr>
          <w:rFonts w:ascii="Times New Roman" w:hAnsi="Times New Roman"/>
          <w:sz w:val="24"/>
          <w:szCs w:val="24"/>
        </w:rPr>
        <w:t xml:space="preserve">第七条 </w:t>
      </w:r>
      <w:bookmarkStart w:id="7" w:name="_Hlk93238588"/>
      <w:r>
        <w:rPr>
          <w:rFonts w:ascii="Times New Roman" w:hAnsi="Times New Roman"/>
          <w:sz w:val="24"/>
          <w:szCs w:val="24"/>
        </w:rPr>
        <w:t>服务费用</w:t>
      </w:r>
      <w:bookmarkEnd w:id="6"/>
      <w:bookmarkEnd w:id="7"/>
    </w:p>
    <w:p w14:paraId="586EC474">
      <w:pPr>
        <w:spacing w:line="360" w:lineRule="auto"/>
        <w:ind w:firstLine="480" w:firstLineChars="200"/>
        <w:rPr>
          <w:rFonts w:ascii="Times New Roman" w:hAnsi="Times New Roman"/>
          <w:sz w:val="24"/>
          <w:szCs w:val="24"/>
        </w:rPr>
      </w:pPr>
      <w:r>
        <w:rPr>
          <w:rFonts w:ascii="Times New Roman" w:hAnsi="Times New Roman"/>
          <w:sz w:val="24"/>
          <w:szCs w:val="24"/>
        </w:rPr>
        <w:t>7.1 本项目的费用总额为</w:t>
      </w:r>
      <w:r>
        <w:rPr>
          <w:rFonts w:ascii="Times New Roman" w:hAnsi="Times New Roman"/>
          <w:sz w:val="24"/>
          <w:szCs w:val="24"/>
          <w:highlight w:val="none"/>
          <w:u w:val="single"/>
        </w:rPr>
        <w:t>¥</w:t>
      </w:r>
      <w:r>
        <w:rPr>
          <w:rFonts w:hint="eastAsia" w:ascii="Times New Roman" w:hAnsi="Times New Roman"/>
          <w:sz w:val="24"/>
          <w:szCs w:val="24"/>
          <w:highlight w:val="none"/>
          <w:u w:val="single"/>
          <w:lang w:val="en-US" w:eastAsia="zh-CN"/>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（大写：</w:t>
      </w:r>
      <w:r>
        <w:rPr>
          <w:rFonts w:ascii="Times New Roman" w:hAnsi="Times New Roman"/>
          <w:sz w:val="24"/>
          <w:szCs w:val="24"/>
          <w:highlight w:val="none"/>
          <w:u w:val="single"/>
        </w:rPr>
        <w:t xml:space="preserve">人民币  </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u w:val="single"/>
          <w:lang w:val="en-US" w:eastAsia="zh-CN"/>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lang w:eastAsia="zh-CN"/>
        </w:rPr>
        <w:t>，</w:t>
      </w:r>
      <w:r>
        <w:rPr>
          <w:rFonts w:hint="eastAsia" w:ascii="Times New Roman" w:hAnsi="Times New Roman"/>
          <w:sz w:val="24"/>
          <w:szCs w:val="24"/>
          <w:highlight w:val="none"/>
          <w:u w:val="single"/>
          <w:lang w:val="en-US" w:eastAsia="zh-CN"/>
        </w:rPr>
        <w:t>其中</w:t>
      </w:r>
      <w:r>
        <w:rPr>
          <w:rFonts w:hint="eastAsia" w:ascii="宋体" w:hAnsi="宋体" w:cs="宋体"/>
          <w:sz w:val="24"/>
          <w:szCs w:val="24"/>
        </w:rPr>
        <w:t>广东省医学科学院建设项目（二期）</w:t>
      </w:r>
      <w:r>
        <w:rPr>
          <w:rFonts w:hint="eastAsia" w:ascii="宋体" w:hAnsi="宋体" w:cs="宋体"/>
          <w:sz w:val="24"/>
          <w:szCs w:val="24"/>
          <w:lang w:val="en-US" w:eastAsia="zh-CN"/>
        </w:rPr>
        <w:t>费用为：</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，广东省精神卫生中心建设项目：</w:t>
      </w:r>
      <w:r>
        <w:rPr>
          <w:rFonts w:hint="eastAsia" w:ascii="宋体" w:hAnsi="宋体" w:cs="宋体"/>
          <w:sz w:val="24"/>
          <w:szCs w:val="24"/>
          <w:u w:val="single"/>
          <w:lang w:val="en-US" w:eastAsia="zh-CN"/>
        </w:rPr>
        <w:t xml:space="preserve">     </w:t>
      </w:r>
      <w:r>
        <w:rPr>
          <w:rFonts w:ascii="Times New Roman" w:hAnsi="Times New Roman"/>
          <w:sz w:val="24"/>
          <w:szCs w:val="24"/>
        </w:rPr>
        <w:t>。该费用为包干费用，</w:t>
      </w:r>
      <w:r>
        <w:rPr>
          <w:rFonts w:hint="eastAsia" w:ascii="Times New Roman" w:hAnsi="Times New Roman"/>
          <w:sz w:val="24"/>
          <w:szCs w:val="24"/>
          <w:lang w:val="en-US" w:eastAsia="zh-CN"/>
        </w:rPr>
        <w:t>该费用</w:t>
      </w:r>
      <w:r>
        <w:rPr>
          <w:rFonts w:ascii="Times New Roman" w:hAnsi="Times New Roman"/>
          <w:sz w:val="24"/>
          <w:szCs w:val="24"/>
        </w:rPr>
        <w:t>包括但不限于乙方完成本合同项下工作所需的一切人工、交通、文印、成本、税费、专家评审费、公示费、展板等涉及专章编制的全部费用，除此之外，甲方不再向乙方支付本条款明示以外的其他任何费用。</w:t>
      </w:r>
    </w:p>
    <w:p w14:paraId="20F18D26">
      <w:pPr>
        <w:spacing w:line="360" w:lineRule="auto"/>
        <w:ind w:firstLine="570"/>
        <w:rPr>
          <w:rFonts w:hint="default" w:ascii="Times New Roman" w:hAnsi="Times New Roman" w:eastAsia="宋体"/>
          <w:sz w:val="24"/>
          <w:szCs w:val="24"/>
          <w:lang w:val="en-US" w:eastAsia="zh-CN"/>
        </w:rPr>
      </w:pPr>
      <w:r>
        <w:rPr>
          <w:rFonts w:ascii="Times New Roman" w:hAnsi="Times New Roman"/>
          <w:sz w:val="24"/>
          <w:szCs w:val="24"/>
        </w:rPr>
        <w:t>7.2 服务费用由甲方</w:t>
      </w:r>
      <w:r>
        <w:rPr>
          <w:rFonts w:hint="eastAsia" w:ascii="Times New Roman" w:hAnsi="Times New Roman"/>
          <w:sz w:val="24"/>
          <w:szCs w:val="24"/>
          <w:lang w:val="en-US" w:eastAsia="zh-CN"/>
        </w:rPr>
        <w:t>按各项目进展分别支付给乙方，</w:t>
      </w:r>
      <w:r>
        <w:rPr>
          <w:rFonts w:ascii="Times New Roman" w:hAnsi="Times New Roman"/>
          <w:sz w:val="24"/>
          <w:szCs w:val="24"/>
        </w:rPr>
        <w:t>具体支付方式和时间为：</w:t>
      </w:r>
    </w:p>
    <w:p w14:paraId="03E561F8">
      <w:pPr>
        <w:spacing w:line="360" w:lineRule="auto"/>
        <w:ind w:firstLine="57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合同生效后，甲方收到乙方支付申请和发票后，10个工作日内向乙方支付</w:t>
      </w:r>
      <w:del w:id="5" w:author="林y" w:date="2025-06-27T11:40:19Z">
        <w:r>
          <w:rPr>
            <w:rFonts w:hint="eastAsia" w:ascii="Times New Roman" w:hAnsi="Times New Roman"/>
            <w:sz w:val="24"/>
            <w:szCs w:val="24"/>
          </w:rPr>
          <w:delText>对应</w:delText>
        </w:r>
      </w:del>
      <w:del w:id="6" w:author="林y" w:date="2025-06-27T11:40:19Z">
        <w:r>
          <w:rPr>
            <w:rFonts w:hint="eastAsia" w:ascii="Times New Roman" w:hAnsi="Times New Roman"/>
            <w:sz w:val="24"/>
            <w:szCs w:val="24"/>
            <w:lang w:val="en-US" w:eastAsia="zh-CN"/>
          </w:rPr>
          <w:delText>服务</w:delText>
        </w:r>
      </w:del>
      <w:r>
        <w:rPr>
          <w:rFonts w:hint="eastAsia" w:ascii="Times New Roman" w:hAnsi="Times New Roman"/>
          <w:sz w:val="24"/>
          <w:szCs w:val="24"/>
        </w:rPr>
        <w:t>费用</w:t>
      </w:r>
      <w:ins w:id="7" w:author="林y" w:date="2025-06-27T11:40:23Z">
        <w:r>
          <w:rPr>
            <w:rFonts w:hint="eastAsia" w:ascii="Times New Roman" w:hAnsi="Times New Roman"/>
            <w:sz w:val="24"/>
            <w:szCs w:val="24"/>
            <w:lang w:val="en-US" w:eastAsia="zh-CN"/>
          </w:rPr>
          <w:t>总额</w:t>
        </w:r>
      </w:ins>
      <w:del w:id="8" w:author="林y" w:date="2025-06-27T11:34:48Z">
        <w:bookmarkStart w:id="17" w:name="_GoBack"/>
        <w:bookmarkEnd w:id="17"/>
        <w:r>
          <w:rPr>
            <w:rFonts w:hint="eastAsia" w:ascii="Times New Roman" w:hAnsi="Times New Roman"/>
            <w:sz w:val="24"/>
            <w:szCs w:val="24"/>
          </w:rPr>
          <w:delText>的</w:delText>
        </w:r>
      </w:del>
      <w:r>
        <w:rPr>
          <w:rFonts w:hint="eastAsia" w:ascii="Times New Roman" w:hAnsi="Times New Roman"/>
          <w:sz w:val="24"/>
          <w:szCs w:val="24"/>
        </w:rPr>
        <w:t xml:space="preserve">的 </w:t>
      </w:r>
      <w:r>
        <w:rPr>
          <w:rFonts w:hint="eastAsia" w:ascii="Times New Roman" w:hAnsi="Times New Roman"/>
          <w:sz w:val="24"/>
          <w:szCs w:val="24"/>
          <w:u w:val="single"/>
          <w:lang w:val="en-US" w:eastAsia="zh-CN"/>
        </w:rPr>
        <w:t>3</w:t>
      </w:r>
      <w:r>
        <w:rPr>
          <w:rFonts w:hint="eastAsia" w:ascii="Times New Roman" w:hAnsi="Times New Roman"/>
          <w:sz w:val="24"/>
          <w:szCs w:val="24"/>
          <w:u w:val="single"/>
        </w:rPr>
        <w:t>0 %</w:t>
      </w:r>
      <w:r>
        <w:rPr>
          <w:rFonts w:ascii="Times New Roman" w:hAnsi="Times New Roman"/>
          <w:sz w:val="24"/>
          <w:szCs w:val="24"/>
        </w:rPr>
        <w:t>；</w:t>
      </w:r>
    </w:p>
    <w:p w14:paraId="7490ED9F">
      <w:pPr>
        <w:spacing w:line="360" w:lineRule="auto"/>
        <w:ind w:firstLine="57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乙方向甲方提交初步成果报告并经甲方确认后</w:t>
      </w:r>
      <w:r>
        <w:rPr>
          <w:rFonts w:hint="eastAsia" w:ascii="Times New Roman" w:hAnsi="Times New Roman"/>
          <w:sz w:val="24"/>
          <w:szCs w:val="24"/>
          <w:lang w:eastAsia="zh-CN"/>
        </w:rPr>
        <w:t>，</w:t>
      </w:r>
      <w:r>
        <w:rPr>
          <w:rFonts w:hint="eastAsia" w:ascii="Times New Roman" w:hAnsi="Times New Roman"/>
          <w:sz w:val="24"/>
          <w:szCs w:val="24"/>
        </w:rPr>
        <w:t>甲方收到乙方支付申请和发票后10个工作日</w:t>
      </w:r>
      <w:r>
        <w:rPr>
          <w:rFonts w:hint="eastAsia" w:ascii="Times New Roman" w:hAnsi="Times New Roman"/>
          <w:sz w:val="24"/>
          <w:szCs w:val="24"/>
          <w:lang w:val="en-US" w:eastAsia="zh-CN"/>
        </w:rPr>
        <w:t>内</w:t>
      </w:r>
      <w:r>
        <w:rPr>
          <w:rFonts w:hint="eastAsia" w:ascii="Times New Roman" w:hAnsi="Times New Roman"/>
          <w:sz w:val="24"/>
          <w:szCs w:val="24"/>
        </w:rPr>
        <w:t>累计可支付至</w:t>
      </w:r>
      <w:ins w:id="9" w:author="林y" w:date="2025-06-27T11:39:39Z">
        <w:r>
          <w:rPr>
            <w:rFonts w:hint="eastAsia" w:ascii="Times New Roman" w:hAnsi="Times New Roman"/>
            <w:sz w:val="24"/>
            <w:szCs w:val="24"/>
            <w:lang w:val="en-US" w:eastAsia="zh-CN"/>
          </w:rPr>
          <w:t>该</w:t>
        </w:r>
      </w:ins>
      <w:ins w:id="10" w:author="林y" w:date="2025-06-27T11:34:55Z">
        <w:r>
          <w:rPr>
            <w:rFonts w:hint="eastAsia" w:ascii="Times New Roman" w:hAnsi="Times New Roman"/>
            <w:sz w:val="24"/>
            <w:szCs w:val="24"/>
            <w:lang w:val="en-US" w:eastAsia="zh-CN"/>
          </w:rPr>
          <w:t>项目</w:t>
        </w:r>
      </w:ins>
      <w:ins w:id="11" w:author="林y" w:date="2025-06-27T11:34:55Z">
        <w:r>
          <w:rPr>
            <w:rFonts w:hint="eastAsia" w:ascii="Times New Roman" w:hAnsi="Times New Roman"/>
            <w:sz w:val="24"/>
            <w:szCs w:val="24"/>
          </w:rPr>
          <w:t>对应</w:t>
        </w:r>
      </w:ins>
      <w:ins w:id="12" w:author="林y" w:date="2025-06-27T11:34:55Z">
        <w:r>
          <w:rPr>
            <w:rFonts w:hint="eastAsia" w:ascii="Times New Roman" w:hAnsi="Times New Roman"/>
            <w:sz w:val="24"/>
            <w:szCs w:val="24"/>
            <w:lang w:val="en-US" w:eastAsia="zh-CN"/>
          </w:rPr>
          <w:t>服务</w:t>
        </w:r>
      </w:ins>
      <w:ins w:id="13" w:author="林y" w:date="2025-06-27T11:34:55Z">
        <w:r>
          <w:rPr>
            <w:rFonts w:hint="eastAsia" w:ascii="Times New Roman" w:hAnsi="Times New Roman"/>
            <w:sz w:val="24"/>
            <w:szCs w:val="24"/>
          </w:rPr>
          <w:t>费用</w:t>
        </w:r>
      </w:ins>
      <w:del w:id="14" w:author="林y" w:date="2025-06-27T11:34:55Z">
        <w:r>
          <w:rPr>
            <w:rFonts w:hint="eastAsia" w:ascii="Times New Roman" w:hAnsi="Times New Roman"/>
            <w:sz w:val="24"/>
            <w:szCs w:val="24"/>
          </w:rPr>
          <w:delText>合同总金额</w:delText>
        </w:r>
      </w:del>
      <w:r>
        <w:rPr>
          <w:rFonts w:hint="eastAsia" w:ascii="Times New Roman" w:hAnsi="Times New Roman"/>
          <w:sz w:val="24"/>
          <w:szCs w:val="24"/>
        </w:rPr>
        <w:t>的</w:t>
      </w:r>
      <w:r>
        <w:rPr>
          <w:rFonts w:hint="eastAsia" w:ascii="Times New Roman" w:hAnsi="Times New Roman"/>
          <w:sz w:val="24"/>
          <w:szCs w:val="24"/>
          <w:u w:val="single"/>
        </w:rPr>
        <w:t xml:space="preserve"> </w:t>
      </w:r>
      <w:r>
        <w:rPr>
          <w:rFonts w:hint="eastAsia" w:ascii="Times New Roman" w:hAnsi="Times New Roman"/>
          <w:sz w:val="24"/>
          <w:szCs w:val="24"/>
          <w:u w:val="single"/>
          <w:lang w:val="en-US" w:eastAsia="zh-CN"/>
        </w:rPr>
        <w:t>7</w:t>
      </w:r>
      <w:r>
        <w:rPr>
          <w:rFonts w:hint="eastAsia" w:ascii="Times New Roman" w:hAnsi="Times New Roman"/>
          <w:sz w:val="24"/>
          <w:szCs w:val="24"/>
          <w:u w:val="single"/>
        </w:rPr>
        <w:t>0 %</w:t>
      </w:r>
      <w:r>
        <w:rPr>
          <w:rFonts w:ascii="Times New Roman" w:hAnsi="Times New Roman"/>
          <w:sz w:val="24"/>
          <w:szCs w:val="24"/>
        </w:rPr>
        <w:t>；</w:t>
      </w:r>
    </w:p>
    <w:p w14:paraId="22192D76">
      <w:pPr>
        <w:spacing w:line="360" w:lineRule="auto"/>
        <w:ind w:firstLine="570"/>
      </w:pPr>
      <w:r>
        <w:rPr>
          <w:rFonts w:ascii="Times New Roman" w:hAnsi="Times New Roman"/>
          <w:sz w:val="24"/>
          <w:szCs w:val="24"/>
        </w:rPr>
        <w:t>（3）</w:t>
      </w:r>
      <w:r>
        <w:rPr>
          <w:rFonts w:hint="eastAsia" w:ascii="Times New Roman" w:hAnsi="Times New Roman"/>
          <w:sz w:val="24"/>
          <w:szCs w:val="24"/>
        </w:rPr>
        <w:t>成果报告</w:t>
      </w:r>
      <w:r>
        <w:rPr>
          <w:rFonts w:hint="eastAsia" w:ascii="Times New Roman" w:hAnsi="Times New Roman"/>
          <w:sz w:val="24"/>
          <w:szCs w:val="24"/>
          <w:lang w:val="en-US" w:eastAsia="zh-CN"/>
        </w:rPr>
        <w:t>经</w:t>
      </w:r>
      <w:r>
        <w:rPr>
          <w:rFonts w:hint="eastAsia" w:ascii="Times New Roman" w:hAnsi="Times New Roman"/>
          <w:sz w:val="24"/>
          <w:szCs w:val="24"/>
        </w:rPr>
        <w:t>专家评审，</w:t>
      </w:r>
      <w:r>
        <w:rPr>
          <w:rFonts w:hint="eastAsia" w:ascii="Times New Roman" w:hAnsi="Times New Roman"/>
          <w:sz w:val="24"/>
          <w:szCs w:val="24"/>
          <w:lang w:val="en-US" w:eastAsia="zh-CN"/>
        </w:rPr>
        <w:t>并根据</w:t>
      </w:r>
      <w:r>
        <w:rPr>
          <w:rFonts w:hint="eastAsia" w:ascii="Times New Roman" w:hAnsi="Times New Roman"/>
          <w:sz w:val="24"/>
          <w:szCs w:val="24"/>
        </w:rPr>
        <w:t>专家评审意见修改、通过有关部门审批</w:t>
      </w:r>
      <w:r>
        <w:rPr>
          <w:rFonts w:hint="eastAsia" w:ascii="Times New Roman" w:hAnsi="Times New Roman"/>
          <w:sz w:val="24"/>
          <w:szCs w:val="24"/>
          <w:lang w:val="en-US" w:eastAsia="zh-CN"/>
        </w:rPr>
        <w:t>后</w:t>
      </w:r>
      <w:r>
        <w:rPr>
          <w:rFonts w:hint="eastAsia" w:ascii="Times New Roman" w:hAnsi="Times New Roman"/>
          <w:sz w:val="24"/>
          <w:szCs w:val="24"/>
        </w:rPr>
        <w:t>，经甲方确认</w:t>
      </w:r>
      <w:r>
        <w:rPr>
          <w:rFonts w:hint="eastAsia" w:ascii="Times New Roman" w:hAnsi="Times New Roman"/>
          <w:sz w:val="24"/>
          <w:szCs w:val="24"/>
          <w:lang w:val="en-US" w:eastAsia="zh-CN"/>
        </w:rPr>
        <w:t>，</w:t>
      </w:r>
      <w:r>
        <w:rPr>
          <w:rFonts w:hint="eastAsia" w:ascii="Times New Roman" w:hAnsi="Times New Roman"/>
          <w:sz w:val="24"/>
          <w:szCs w:val="24"/>
        </w:rPr>
        <w:t>提交结算资料及尾款资金申请资料，经审核后，甲方收到乙方支付申请和发票10个工作日内一次性付清</w:t>
      </w:r>
      <w:ins w:id="15" w:author="林y" w:date="2025-06-27T11:35:16Z">
        <w:r>
          <w:rPr>
            <w:rFonts w:hint="eastAsia" w:ascii="Times New Roman" w:hAnsi="Times New Roman"/>
            <w:sz w:val="24"/>
            <w:szCs w:val="24"/>
            <w:lang w:val="en-US" w:eastAsia="zh-CN"/>
          </w:rPr>
          <w:t>该</w:t>
        </w:r>
      </w:ins>
      <w:ins w:id="16" w:author="林y" w:date="2025-06-27T11:35:03Z">
        <w:r>
          <w:rPr>
            <w:rFonts w:hint="eastAsia" w:ascii="Times New Roman" w:hAnsi="Times New Roman"/>
            <w:sz w:val="24"/>
            <w:szCs w:val="24"/>
            <w:lang w:val="en-US" w:eastAsia="zh-CN"/>
          </w:rPr>
          <w:t>项目</w:t>
        </w:r>
      </w:ins>
      <w:ins w:id="17" w:author="林y" w:date="2025-06-27T11:35:03Z">
        <w:r>
          <w:rPr>
            <w:rFonts w:hint="eastAsia" w:ascii="Times New Roman" w:hAnsi="Times New Roman"/>
            <w:sz w:val="24"/>
            <w:szCs w:val="24"/>
          </w:rPr>
          <w:t>对应</w:t>
        </w:r>
      </w:ins>
      <w:ins w:id="18" w:author="林y" w:date="2025-06-27T11:35:03Z">
        <w:r>
          <w:rPr>
            <w:rFonts w:hint="eastAsia" w:ascii="Times New Roman" w:hAnsi="Times New Roman"/>
            <w:sz w:val="24"/>
            <w:szCs w:val="24"/>
            <w:lang w:val="en-US" w:eastAsia="zh-CN"/>
          </w:rPr>
          <w:t>服务</w:t>
        </w:r>
      </w:ins>
      <w:ins w:id="19" w:author="林y" w:date="2025-06-27T11:35:03Z">
        <w:r>
          <w:rPr>
            <w:rFonts w:hint="eastAsia" w:ascii="Times New Roman" w:hAnsi="Times New Roman"/>
            <w:sz w:val="24"/>
            <w:szCs w:val="24"/>
          </w:rPr>
          <w:t>费</w:t>
        </w:r>
      </w:ins>
      <w:r>
        <w:rPr>
          <w:rFonts w:hint="eastAsia" w:ascii="Times New Roman" w:hAnsi="Times New Roman"/>
          <w:sz w:val="24"/>
          <w:szCs w:val="24"/>
        </w:rPr>
        <w:t>余额</w:t>
      </w:r>
      <w:r>
        <w:rPr>
          <w:rFonts w:ascii="Times New Roman" w:hAnsi="Times New Roman"/>
          <w:sz w:val="24"/>
          <w:szCs w:val="24"/>
        </w:rPr>
        <w:t>。</w:t>
      </w:r>
    </w:p>
    <w:p w14:paraId="03DB8543">
      <w:pPr>
        <w:spacing w:line="360" w:lineRule="auto"/>
        <w:ind w:firstLine="480" w:firstLineChars="200"/>
        <w:rPr>
          <w:rFonts w:ascii="Times New Roman" w:hAnsi="Times New Roman"/>
          <w:sz w:val="24"/>
          <w:szCs w:val="24"/>
        </w:rPr>
      </w:pPr>
      <w:r>
        <w:rPr>
          <w:rFonts w:ascii="Times New Roman" w:hAnsi="Times New Roman"/>
          <w:sz w:val="24"/>
          <w:szCs w:val="24"/>
        </w:rPr>
        <w:t>乙方收款账户信息如下：</w:t>
      </w:r>
    </w:p>
    <w:p w14:paraId="6FDC2EE9">
      <w:pPr>
        <w:spacing w:line="360" w:lineRule="auto"/>
        <w:ind w:firstLine="480" w:firstLineChars="200"/>
        <w:rPr>
          <w:rFonts w:ascii="Times New Roman" w:hAnsi="Times New Roman"/>
          <w:sz w:val="24"/>
          <w:szCs w:val="24"/>
          <w:u w:val="single"/>
        </w:rPr>
      </w:pPr>
      <w:r>
        <w:rPr>
          <w:rFonts w:ascii="Times New Roman" w:hAnsi="Times New Roman"/>
          <w:sz w:val="24"/>
          <w:szCs w:val="24"/>
        </w:rPr>
        <w:t>账户名称：</w:t>
      </w:r>
      <w:r>
        <w:rPr>
          <w:rFonts w:ascii="Times New Roman" w:hAnsi="Times New Roman"/>
          <w:sz w:val="24"/>
          <w:szCs w:val="24"/>
          <w:u w:val="single"/>
        </w:rPr>
        <w:t xml:space="preserve">                                                </w:t>
      </w:r>
    </w:p>
    <w:p w14:paraId="63FACE9D">
      <w:pPr>
        <w:spacing w:line="360" w:lineRule="auto"/>
        <w:ind w:firstLine="480" w:firstLineChars="200"/>
        <w:rPr>
          <w:rFonts w:ascii="Times New Roman" w:hAnsi="Times New Roman"/>
          <w:sz w:val="24"/>
          <w:szCs w:val="24"/>
        </w:rPr>
      </w:pPr>
      <w:r>
        <w:rPr>
          <w:rFonts w:ascii="Times New Roman" w:hAnsi="Times New Roman"/>
          <w:sz w:val="24"/>
          <w:szCs w:val="24"/>
        </w:rPr>
        <w:t xml:space="preserve">开户行： </w:t>
      </w:r>
      <w:r>
        <w:rPr>
          <w:rFonts w:ascii="Times New Roman" w:hAnsi="Times New Roman"/>
          <w:sz w:val="24"/>
          <w:szCs w:val="24"/>
          <w:u w:val="single"/>
        </w:rPr>
        <w:t xml:space="preserve">                                                  </w:t>
      </w:r>
      <w:r>
        <w:rPr>
          <w:rFonts w:ascii="Times New Roman" w:hAnsi="Times New Roman"/>
          <w:sz w:val="24"/>
          <w:szCs w:val="24"/>
        </w:rPr>
        <w:t xml:space="preserve">   </w:t>
      </w:r>
    </w:p>
    <w:p w14:paraId="0CF7510D">
      <w:pPr>
        <w:spacing w:line="360" w:lineRule="auto"/>
        <w:ind w:firstLine="480" w:firstLineChars="200"/>
        <w:rPr>
          <w:rFonts w:ascii="Times New Roman" w:hAnsi="Times New Roman"/>
          <w:sz w:val="24"/>
          <w:szCs w:val="24"/>
        </w:rPr>
      </w:pPr>
      <w:r>
        <w:rPr>
          <w:rFonts w:hint="eastAsia" w:ascii="Times New Roman" w:hAnsi="Times New Roman"/>
          <w:sz w:val="24"/>
          <w:szCs w:val="24"/>
        </w:rPr>
        <w:t>银行账号</w:t>
      </w:r>
      <w:r>
        <w:rPr>
          <w:rFonts w:ascii="Times New Roman" w:hAnsi="Times New Roman"/>
          <w:sz w:val="24"/>
          <w:szCs w:val="24"/>
        </w:rPr>
        <w:t>：</w:t>
      </w:r>
      <w:r>
        <w:rPr>
          <w:rFonts w:ascii="Times New Roman" w:hAnsi="Times New Roman"/>
          <w:sz w:val="24"/>
          <w:szCs w:val="24"/>
          <w:u w:val="single"/>
        </w:rPr>
        <w:t xml:space="preserve">                                                 </w:t>
      </w:r>
      <w:r>
        <w:rPr>
          <w:rFonts w:ascii="Times New Roman" w:hAnsi="Times New Roman"/>
          <w:sz w:val="24"/>
          <w:szCs w:val="24"/>
        </w:rPr>
        <w:t xml:space="preserve">   </w:t>
      </w:r>
    </w:p>
    <w:p w14:paraId="5785D8CE">
      <w:pPr>
        <w:pStyle w:val="23"/>
        <w:spacing w:line="360" w:lineRule="auto"/>
        <w:ind w:firstLine="480" w:firstLineChars="200"/>
        <w:rPr>
          <w:sz w:val="24"/>
          <w:szCs w:val="24"/>
        </w:rPr>
      </w:pPr>
      <w:bookmarkStart w:id="8" w:name="_Hlk93266674"/>
      <w:r>
        <w:rPr>
          <w:sz w:val="24"/>
          <w:szCs w:val="24"/>
        </w:rPr>
        <w:t>7.3 乙方应在甲方支付各笔技术服务费用前，向甲方开具该笔服务费用的等额发票及其他甲方需要的财务资料，否则甲方可相应的迟延付款。</w:t>
      </w:r>
      <w:bookmarkEnd w:id="8"/>
      <w:r>
        <w:rPr>
          <w:sz w:val="24"/>
          <w:szCs w:val="24"/>
        </w:rPr>
        <w:t xml:space="preserve">  </w:t>
      </w:r>
    </w:p>
    <w:p w14:paraId="37486034">
      <w:pPr>
        <w:pStyle w:val="23"/>
        <w:spacing w:line="360" w:lineRule="auto"/>
        <w:ind w:firstLine="480" w:firstLineChars="200"/>
        <w:rPr>
          <w:b w:val="0"/>
          <w:bCs w:val="0"/>
          <w:sz w:val="24"/>
          <w:szCs w:val="24"/>
        </w:rPr>
      </w:pPr>
      <w:r>
        <w:rPr>
          <w:rFonts w:hint="eastAsia"/>
          <w:b w:val="0"/>
          <w:bCs w:val="0"/>
          <w:sz w:val="24"/>
          <w:szCs w:val="24"/>
        </w:rPr>
        <w:t xml:space="preserve">7.4 </w:t>
      </w:r>
      <w:r>
        <w:rPr>
          <w:b w:val="0"/>
          <w:bCs w:val="0"/>
          <w:sz w:val="24"/>
          <w:szCs w:val="24"/>
        </w:rPr>
        <w:t>上述条款中的付款时间，均是指甲方为向财政申请支付而办理申请手续的时间，而非指实际付款时间，具体付款时间以财政拨款时间为准，若因财政审批或财政支付程序原因导致支付迟延的，不属甲方违约。乙方对此无异议。</w:t>
      </w:r>
    </w:p>
    <w:p w14:paraId="0293B982">
      <w:pPr>
        <w:pStyle w:val="2"/>
        <w:spacing w:before="312" w:beforeLines="100" w:after="156" w:afterLines="50" w:line="360" w:lineRule="auto"/>
        <w:rPr>
          <w:rFonts w:ascii="Times New Roman" w:hAnsi="Times New Roman"/>
          <w:b w:val="0"/>
          <w:sz w:val="24"/>
          <w:szCs w:val="24"/>
        </w:rPr>
      </w:pPr>
      <w:r>
        <w:rPr>
          <w:rFonts w:ascii="Times New Roman" w:hAnsi="Times New Roman"/>
          <w:sz w:val="24"/>
          <w:szCs w:val="24"/>
        </w:rPr>
        <w:t>第八条 技术成果交付</w:t>
      </w:r>
    </w:p>
    <w:p w14:paraId="244E256A">
      <w:pPr>
        <w:spacing w:line="360" w:lineRule="auto"/>
        <w:ind w:firstLine="480" w:firstLineChars="200"/>
        <w:rPr>
          <w:rFonts w:ascii="Times New Roman" w:hAnsi="Times New Roman"/>
          <w:sz w:val="24"/>
          <w:szCs w:val="24"/>
        </w:rPr>
      </w:pPr>
      <w:r>
        <w:rPr>
          <w:rFonts w:ascii="Times New Roman" w:hAnsi="Times New Roman"/>
          <w:sz w:val="24"/>
          <w:szCs w:val="24"/>
        </w:rPr>
        <w:t>8.1 交付的技术成果应达到的要求：</w:t>
      </w:r>
      <w:r>
        <w:rPr>
          <w:rFonts w:ascii="Times New Roman" w:hAnsi="Times New Roman"/>
          <w:sz w:val="24"/>
          <w:szCs w:val="24"/>
          <w:u w:val="single"/>
        </w:rPr>
        <w:t>按本合同第二条</w:t>
      </w:r>
      <w:r>
        <w:rPr>
          <w:rFonts w:ascii="Times New Roman" w:hAnsi="Times New Roman"/>
          <w:bCs/>
          <w:sz w:val="24"/>
          <w:szCs w:val="24"/>
          <w:u w:val="single"/>
        </w:rPr>
        <w:t>形成成果。</w:t>
      </w:r>
    </w:p>
    <w:p w14:paraId="618751BE">
      <w:pPr>
        <w:spacing w:line="360" w:lineRule="auto"/>
        <w:ind w:firstLine="480" w:firstLineChars="200"/>
        <w:rPr>
          <w:rFonts w:ascii="Times New Roman" w:hAnsi="Times New Roman"/>
          <w:sz w:val="24"/>
          <w:szCs w:val="24"/>
        </w:rPr>
      </w:pPr>
      <w:r>
        <w:rPr>
          <w:rFonts w:ascii="Times New Roman" w:hAnsi="Times New Roman"/>
          <w:sz w:val="24"/>
          <w:szCs w:val="24"/>
        </w:rPr>
        <w:t>8.2 交付的形式及数量：</w:t>
      </w:r>
      <w:r>
        <w:rPr>
          <w:rFonts w:hint="eastAsia" w:ascii="Times New Roman" w:hAnsi="Times New Roman"/>
          <w:sz w:val="24"/>
          <w:szCs w:val="24"/>
          <w:lang w:val="en-US" w:eastAsia="zh-CN"/>
        </w:rPr>
        <w:t xml:space="preserve"> </w:t>
      </w:r>
      <w:r>
        <w:rPr>
          <w:rFonts w:ascii="Times New Roman" w:hAnsi="Times New Roman"/>
          <w:bCs/>
          <w:sz w:val="24"/>
          <w:szCs w:val="24"/>
          <w:u w:val="single"/>
        </w:rPr>
        <w:t xml:space="preserve">六份纸质文件及电子文件 </w:t>
      </w:r>
      <w:r>
        <w:rPr>
          <w:rFonts w:ascii="Times New Roman" w:hAnsi="Times New Roman"/>
          <w:sz w:val="24"/>
          <w:szCs w:val="24"/>
        </w:rPr>
        <w:t xml:space="preserve">。 </w:t>
      </w:r>
    </w:p>
    <w:p w14:paraId="6F74B243">
      <w:pPr>
        <w:spacing w:line="360" w:lineRule="auto"/>
        <w:ind w:firstLine="480" w:firstLineChars="200"/>
        <w:rPr>
          <w:rFonts w:ascii="Times New Roman" w:hAnsi="Times New Roman"/>
          <w:sz w:val="24"/>
          <w:szCs w:val="24"/>
        </w:rPr>
      </w:pPr>
      <w:r>
        <w:rPr>
          <w:rFonts w:ascii="Times New Roman" w:hAnsi="Times New Roman"/>
          <w:sz w:val="24"/>
          <w:szCs w:val="24"/>
        </w:rPr>
        <w:t>8.3 交付的时间及地点：</w:t>
      </w:r>
      <w:r>
        <w:rPr>
          <w:rFonts w:ascii="Times New Roman" w:hAnsi="Times New Roman"/>
          <w:bCs/>
          <w:sz w:val="24"/>
          <w:szCs w:val="24"/>
          <w:u w:val="single"/>
        </w:rPr>
        <w:t xml:space="preserve"> 按本合同第三条规定期限内交付成果至甲方 </w:t>
      </w:r>
      <w:r>
        <w:rPr>
          <w:rFonts w:ascii="Times New Roman" w:hAnsi="Times New Roman"/>
          <w:sz w:val="24"/>
          <w:szCs w:val="24"/>
        </w:rPr>
        <w:t>。</w:t>
      </w:r>
    </w:p>
    <w:bookmarkEnd w:id="5"/>
    <w:p w14:paraId="52852680">
      <w:pPr>
        <w:pStyle w:val="2"/>
        <w:spacing w:before="312" w:beforeLines="100" w:after="156" w:afterLines="50" w:line="360" w:lineRule="auto"/>
        <w:rPr>
          <w:rFonts w:ascii="Times New Roman" w:hAnsi="Times New Roman"/>
          <w:b w:val="0"/>
          <w:sz w:val="24"/>
        </w:rPr>
      </w:pPr>
      <w:bookmarkStart w:id="9" w:name="_Toc301352983"/>
      <w:r>
        <w:rPr>
          <w:rFonts w:ascii="Times New Roman" w:hAnsi="Times New Roman"/>
          <w:sz w:val="24"/>
          <w:szCs w:val="24"/>
        </w:rPr>
        <w:t>第九条 双方权利义务</w:t>
      </w:r>
    </w:p>
    <w:p w14:paraId="0CB58FDF">
      <w:pPr>
        <w:pStyle w:val="39"/>
        <w:adjustRightInd w:val="0"/>
        <w:snapToGrid w:val="0"/>
        <w:spacing w:line="360" w:lineRule="auto"/>
        <w:ind w:firstLine="424" w:firstLineChars="177"/>
        <w:rPr>
          <w:sz w:val="24"/>
        </w:rPr>
      </w:pPr>
      <w:r>
        <w:rPr>
          <w:sz w:val="24"/>
        </w:rPr>
        <w:t>9.1甲方应在本合同签订生效后</w:t>
      </w:r>
      <w:r>
        <w:rPr>
          <w:sz w:val="24"/>
          <w:u w:val="single"/>
        </w:rPr>
        <w:t xml:space="preserve"> </w:t>
      </w:r>
      <w:r>
        <w:rPr>
          <w:rFonts w:hint="eastAsia"/>
          <w:sz w:val="24"/>
          <w:u w:val="single"/>
        </w:rPr>
        <w:t>5</w:t>
      </w:r>
      <w:r>
        <w:rPr>
          <w:sz w:val="24"/>
          <w:u w:val="single"/>
        </w:rPr>
        <w:t xml:space="preserve"> </w:t>
      </w:r>
      <w:r>
        <w:rPr>
          <w:sz w:val="24"/>
        </w:rPr>
        <w:t>个工作日内向乙方提供签订本合同时甲方拥有的，乙方为完成本合同项下工作所必须的资料、文件及信息，并保证其真实性和有效性。</w:t>
      </w:r>
    </w:p>
    <w:p w14:paraId="51615B7B">
      <w:pPr>
        <w:pStyle w:val="39"/>
        <w:adjustRightInd w:val="0"/>
        <w:snapToGrid w:val="0"/>
        <w:spacing w:line="360" w:lineRule="auto"/>
        <w:ind w:firstLine="424" w:firstLineChars="177"/>
        <w:rPr>
          <w:sz w:val="24"/>
        </w:rPr>
      </w:pPr>
      <w:r>
        <w:rPr>
          <w:sz w:val="24"/>
        </w:rPr>
        <w:t>9.2甲方有权就乙方每阶段提供的专章成果提出修改意见和建议，若甲方变更了本合同项目的要求或向乙方提供了新的资料、文件及信息，需要乙方修改或重做方案的，甲方可以给予合理的时间。</w:t>
      </w:r>
    </w:p>
    <w:p w14:paraId="58687B10">
      <w:pPr>
        <w:pStyle w:val="39"/>
        <w:adjustRightInd w:val="0"/>
        <w:snapToGrid w:val="0"/>
        <w:spacing w:line="360" w:lineRule="auto"/>
        <w:ind w:firstLine="424" w:firstLineChars="177"/>
        <w:rPr>
          <w:sz w:val="24"/>
        </w:rPr>
      </w:pPr>
      <w:r>
        <w:rPr>
          <w:sz w:val="24"/>
        </w:rPr>
        <w:t>9.3甲方应按合同约定向乙方支付项目费用。</w:t>
      </w:r>
    </w:p>
    <w:p w14:paraId="68D967E9">
      <w:pPr>
        <w:pStyle w:val="39"/>
        <w:adjustRightInd w:val="0"/>
        <w:snapToGrid w:val="0"/>
        <w:spacing w:line="360" w:lineRule="auto"/>
        <w:ind w:firstLine="424" w:firstLineChars="177"/>
        <w:rPr>
          <w:sz w:val="24"/>
        </w:rPr>
      </w:pPr>
      <w:bookmarkStart w:id="10" w:name="_Hlk93257499"/>
      <w:r>
        <w:rPr>
          <w:sz w:val="24"/>
        </w:rPr>
        <w:t>9.4 乙方应在合理时间内按甲方要求修改方案和成果。</w:t>
      </w:r>
    </w:p>
    <w:bookmarkEnd w:id="10"/>
    <w:p w14:paraId="1626C66F">
      <w:pPr>
        <w:pStyle w:val="39"/>
        <w:adjustRightInd w:val="0"/>
        <w:snapToGrid w:val="0"/>
        <w:spacing w:line="360" w:lineRule="auto"/>
        <w:ind w:firstLine="424" w:firstLineChars="177"/>
        <w:rPr>
          <w:sz w:val="24"/>
        </w:rPr>
      </w:pPr>
      <w:bookmarkStart w:id="11" w:name="_Hlk93257491"/>
      <w:r>
        <w:rPr>
          <w:sz w:val="24"/>
        </w:rPr>
        <w:t>9.5乙方在履行本合同项下义务的过程中，不得与第三人恶意串通，损害甲方的合法权益。</w:t>
      </w:r>
    </w:p>
    <w:p w14:paraId="00E5FC16">
      <w:pPr>
        <w:pStyle w:val="39"/>
        <w:adjustRightInd w:val="0"/>
        <w:snapToGrid w:val="0"/>
        <w:spacing w:line="360" w:lineRule="auto"/>
        <w:ind w:firstLine="480" w:firstLineChars="200"/>
        <w:rPr>
          <w:sz w:val="24"/>
        </w:rPr>
      </w:pPr>
      <w:r>
        <w:rPr>
          <w:sz w:val="24"/>
        </w:rPr>
        <w:t>9.6乙方有权按合同约定的进度要求甲方支付相关费用，在收取相关费用时应向甲方提供财政部门认可的合法票据。</w:t>
      </w:r>
    </w:p>
    <w:p w14:paraId="22947467">
      <w:pPr>
        <w:pStyle w:val="39"/>
        <w:adjustRightInd w:val="0"/>
        <w:snapToGrid w:val="0"/>
        <w:spacing w:line="360" w:lineRule="auto"/>
        <w:ind w:firstLine="480" w:firstLineChars="200"/>
        <w:rPr>
          <w:sz w:val="24"/>
        </w:rPr>
      </w:pPr>
      <w:r>
        <w:rPr>
          <w:sz w:val="24"/>
        </w:rPr>
        <w:t>9.7在</w:t>
      </w:r>
      <w:r>
        <w:rPr>
          <w:rFonts w:hint="eastAsia"/>
          <w:sz w:val="24"/>
        </w:rPr>
        <w:t>成交通知书发出</w:t>
      </w:r>
      <w:r>
        <w:rPr>
          <w:sz w:val="24"/>
        </w:rPr>
        <w:t>后</w:t>
      </w:r>
      <w:r>
        <w:rPr>
          <w:snapToGrid w:val="0"/>
          <w:kern w:val="0"/>
          <w:sz w:val="24"/>
          <w:u w:val="single"/>
        </w:rPr>
        <w:t xml:space="preserve"> 3 </w:t>
      </w:r>
      <w:r>
        <w:rPr>
          <w:sz w:val="24"/>
        </w:rPr>
        <w:t>日内，乙方应一次性详细、完整地列明需要甲方提供的与完成项目相关的全部资料清单并交给甲方。</w:t>
      </w:r>
    </w:p>
    <w:p w14:paraId="7529693C">
      <w:pPr>
        <w:pStyle w:val="39"/>
        <w:adjustRightInd w:val="0"/>
        <w:snapToGrid w:val="0"/>
        <w:spacing w:line="360" w:lineRule="auto"/>
        <w:ind w:firstLine="480" w:firstLineChars="200"/>
        <w:rPr>
          <w:sz w:val="24"/>
        </w:rPr>
      </w:pPr>
      <w:r>
        <w:rPr>
          <w:sz w:val="24"/>
        </w:rPr>
        <w:t>9.</w:t>
      </w:r>
      <w:r>
        <w:rPr>
          <w:rFonts w:hint="eastAsia"/>
          <w:sz w:val="24"/>
        </w:rPr>
        <w:t>8</w:t>
      </w:r>
      <w:r>
        <w:rPr>
          <w:sz w:val="24"/>
        </w:rPr>
        <w:t>在本合同履行过程中，乙方应按照甲方要求及时回复甲方提出的问题，进行书面答疑、修改文件、参与相关讨论。</w:t>
      </w:r>
    </w:p>
    <w:p w14:paraId="2C4A5ABA">
      <w:pPr>
        <w:pStyle w:val="39"/>
        <w:adjustRightInd w:val="0"/>
        <w:snapToGrid w:val="0"/>
        <w:spacing w:line="360" w:lineRule="auto"/>
        <w:ind w:firstLine="480" w:firstLineChars="200"/>
        <w:rPr>
          <w:sz w:val="24"/>
        </w:rPr>
      </w:pPr>
      <w:r>
        <w:rPr>
          <w:sz w:val="24"/>
        </w:rPr>
        <w:t>9.9乙方对本合同所涉工作、文件、成果负有保密义务，不得泄露，未经甲方书面同意不得向第三方披露。</w:t>
      </w:r>
    </w:p>
    <w:p w14:paraId="26A03B71">
      <w:pPr>
        <w:pStyle w:val="39"/>
        <w:adjustRightInd w:val="0"/>
        <w:snapToGrid w:val="0"/>
        <w:spacing w:line="360" w:lineRule="auto"/>
        <w:ind w:firstLine="480" w:firstLineChars="200"/>
        <w:rPr>
          <w:sz w:val="24"/>
        </w:rPr>
      </w:pPr>
      <w:r>
        <w:rPr>
          <w:sz w:val="24"/>
        </w:rPr>
        <w:t>9.10 未经甲方书面同意，乙方不得将协议权利或义务转让或转包给他人</w:t>
      </w:r>
      <w:r>
        <w:rPr>
          <w:rFonts w:hint="eastAsia"/>
          <w:sz w:val="24"/>
        </w:rPr>
        <w:t>。</w:t>
      </w:r>
    </w:p>
    <w:bookmarkEnd w:id="11"/>
    <w:p w14:paraId="181B429F">
      <w:pPr>
        <w:pStyle w:val="2"/>
        <w:spacing w:before="312" w:beforeLines="100" w:after="156" w:afterLines="50" w:line="360" w:lineRule="auto"/>
        <w:rPr>
          <w:rFonts w:ascii="Times New Roman" w:hAnsi="Times New Roman"/>
          <w:sz w:val="24"/>
        </w:rPr>
      </w:pPr>
      <w:r>
        <w:rPr>
          <w:rFonts w:ascii="Times New Roman" w:hAnsi="Times New Roman"/>
          <w:sz w:val="24"/>
          <w:szCs w:val="24"/>
        </w:rPr>
        <w:t>第十条 违约责任</w:t>
      </w:r>
    </w:p>
    <w:p w14:paraId="72DE486A">
      <w:pPr>
        <w:pStyle w:val="39"/>
        <w:adjustRightInd w:val="0"/>
        <w:snapToGrid w:val="0"/>
        <w:spacing w:line="360" w:lineRule="auto"/>
        <w:ind w:firstLine="480" w:firstLineChars="200"/>
        <w:rPr>
          <w:sz w:val="24"/>
        </w:rPr>
      </w:pPr>
      <w:bookmarkStart w:id="12" w:name="_Hlk93237276"/>
      <w:r>
        <w:rPr>
          <w:sz w:val="24"/>
        </w:rPr>
        <w:t>10.1在乙方履行第9.7款义务后，因甲方原因不能按照本合同约定提交履行本合同所需的文件资料，乙方交付方案的时间顺延。</w:t>
      </w:r>
    </w:p>
    <w:p w14:paraId="2391E10B">
      <w:pPr>
        <w:pStyle w:val="39"/>
        <w:adjustRightInd w:val="0"/>
        <w:snapToGrid w:val="0"/>
        <w:spacing w:line="360" w:lineRule="auto"/>
        <w:ind w:firstLine="480" w:firstLineChars="200"/>
        <w:rPr>
          <w:sz w:val="24"/>
        </w:rPr>
      </w:pPr>
      <w:r>
        <w:rPr>
          <w:sz w:val="24"/>
        </w:rPr>
        <w:t>10.2如因乙方原因迟延履行本合同项下义务中的任何一项的（包括但不限于迟延提交项目初步成果、最终成果、修改文件及本合同约定的其它义务），延误超过</w:t>
      </w:r>
      <w:r>
        <w:rPr>
          <w:sz w:val="24"/>
          <w:u w:val="single"/>
        </w:rPr>
        <w:t xml:space="preserve"> 30 </w:t>
      </w:r>
      <w:r>
        <w:rPr>
          <w:sz w:val="24"/>
        </w:rPr>
        <w:t>日仍未履行完成的，甲方有权解除合同并不予支付任何费用，并有权要求乙方退还已收的全部费用。</w:t>
      </w:r>
    </w:p>
    <w:p w14:paraId="781F9927">
      <w:pPr>
        <w:pStyle w:val="39"/>
        <w:adjustRightInd w:val="0"/>
        <w:snapToGrid w:val="0"/>
        <w:spacing w:line="360" w:lineRule="auto"/>
        <w:ind w:firstLine="480" w:firstLineChars="200"/>
        <w:rPr>
          <w:sz w:val="24"/>
          <w:highlight w:val="none"/>
        </w:rPr>
      </w:pPr>
      <w:r>
        <w:rPr>
          <w:sz w:val="24"/>
        </w:rPr>
        <w:t>10.3乙方安排的人员不能胜任项目工作，造成提交的项目成果质量不合格，乙方应采取补救措施直至符合甲方的要求。经乙方</w:t>
      </w:r>
      <w:r>
        <w:rPr>
          <w:sz w:val="24"/>
          <w:u w:val="single"/>
        </w:rPr>
        <w:t xml:space="preserve"> 3 </w:t>
      </w:r>
      <w:r>
        <w:rPr>
          <w:sz w:val="24"/>
        </w:rPr>
        <w:t>次更换后仍不能满足甲方要求</w:t>
      </w:r>
      <w:r>
        <w:rPr>
          <w:sz w:val="24"/>
          <w:highlight w:val="none"/>
        </w:rPr>
        <w:t>的，甲方有权解除合同，并有权要求乙方退还已收的全部费用。</w:t>
      </w:r>
    </w:p>
    <w:p w14:paraId="12F6F91F">
      <w:pPr>
        <w:pStyle w:val="39"/>
        <w:adjustRightInd w:val="0"/>
        <w:snapToGrid w:val="0"/>
        <w:spacing w:line="360" w:lineRule="auto"/>
        <w:ind w:firstLine="480" w:firstLineChars="200"/>
        <w:rPr>
          <w:sz w:val="24"/>
          <w:highlight w:val="none"/>
        </w:rPr>
      </w:pPr>
      <w:bookmarkStart w:id="13" w:name="_Hlk93266833"/>
      <w:r>
        <w:rPr>
          <w:sz w:val="24"/>
          <w:highlight w:val="none"/>
        </w:rPr>
        <w:t>10.4乙方与第三方恶意串通，损害甲方的合法权益，甲方有权单方解除本合同。不论该合同是否解除，乙方应向甲方支付费用总额</w:t>
      </w:r>
      <w:r>
        <w:rPr>
          <w:snapToGrid w:val="0"/>
          <w:kern w:val="0"/>
          <w:sz w:val="24"/>
          <w:highlight w:val="none"/>
          <w:u w:val="single"/>
        </w:rPr>
        <w:t xml:space="preserve"> 5 </w:t>
      </w:r>
      <w:r>
        <w:rPr>
          <w:sz w:val="24"/>
          <w:highlight w:val="none"/>
        </w:rPr>
        <w:t>%的违约金，并退回甲方已支付的费用。</w:t>
      </w:r>
    </w:p>
    <w:bookmarkEnd w:id="13"/>
    <w:p w14:paraId="52FB2806">
      <w:pPr>
        <w:pStyle w:val="39"/>
        <w:adjustRightInd w:val="0"/>
        <w:snapToGrid w:val="0"/>
        <w:spacing w:line="360" w:lineRule="auto"/>
        <w:ind w:firstLine="480" w:firstLineChars="200"/>
        <w:rPr>
          <w:sz w:val="24"/>
        </w:rPr>
      </w:pPr>
      <w:r>
        <w:rPr>
          <w:sz w:val="24"/>
          <w:highlight w:val="none"/>
        </w:rPr>
        <w:t>10.5乙方未按甲方要求对资料、文件和项目信息保密，应向甲方支付</w:t>
      </w:r>
      <w:r>
        <w:rPr>
          <w:snapToGrid w:val="0"/>
          <w:kern w:val="0"/>
          <w:sz w:val="24"/>
          <w:highlight w:val="none"/>
          <w:u w:val="single"/>
        </w:rPr>
        <w:t>50000</w:t>
      </w:r>
      <w:r>
        <w:rPr>
          <w:sz w:val="24"/>
          <w:highlight w:val="none"/>
        </w:rPr>
        <w:t>元</w:t>
      </w:r>
      <w:r>
        <w:rPr>
          <w:sz w:val="24"/>
        </w:rPr>
        <w:t>（</w:t>
      </w:r>
      <w:r>
        <w:rPr>
          <w:rFonts w:eastAsiaTheme="minorEastAsia"/>
          <w:sz w:val="24"/>
        </w:rPr>
        <w:t>大写：</w:t>
      </w:r>
      <w:r>
        <w:rPr>
          <w:sz w:val="24"/>
        </w:rPr>
        <w:t>伍万元整）的违约金，违约金不足以弥补给甲方造成的损失的，还应补足甲方因此遭受的实际损失。</w:t>
      </w:r>
    </w:p>
    <w:p w14:paraId="47D899F6">
      <w:pPr>
        <w:pStyle w:val="39"/>
        <w:adjustRightInd w:val="0"/>
        <w:snapToGrid w:val="0"/>
        <w:spacing w:line="360" w:lineRule="auto"/>
        <w:ind w:firstLine="480" w:firstLineChars="200"/>
        <w:rPr>
          <w:sz w:val="24"/>
          <w:highlight w:val="none"/>
        </w:rPr>
      </w:pPr>
      <w:r>
        <w:rPr>
          <w:sz w:val="24"/>
        </w:rPr>
        <w:t>10.6因乙方提交的专章成果不符合</w:t>
      </w:r>
      <w:r>
        <w:rPr>
          <w:rFonts w:hint="eastAsia"/>
          <w:sz w:val="24"/>
        </w:rPr>
        <w:t>有关</w:t>
      </w:r>
      <w:r>
        <w:rPr>
          <w:sz w:val="24"/>
        </w:rPr>
        <w:t>部门的要求，而导致退案的，乙方应负责免费修改。若乙方怠于修改或拒绝修改的，甲方有权解除合同并不予支付任何费</w:t>
      </w:r>
      <w:r>
        <w:rPr>
          <w:sz w:val="24"/>
          <w:highlight w:val="none"/>
        </w:rPr>
        <w:t>用，并有权要求乙方退还已收的全部费用。</w:t>
      </w:r>
    </w:p>
    <w:p w14:paraId="4B1EC45A">
      <w:pPr>
        <w:pStyle w:val="39"/>
        <w:adjustRightInd w:val="0"/>
        <w:snapToGrid w:val="0"/>
        <w:spacing w:line="360" w:lineRule="auto"/>
        <w:ind w:firstLine="480" w:firstLineChars="200"/>
        <w:rPr>
          <w:sz w:val="24"/>
          <w:highlight w:val="none"/>
        </w:rPr>
      </w:pPr>
      <w:r>
        <w:rPr>
          <w:sz w:val="24"/>
          <w:highlight w:val="none"/>
        </w:rPr>
        <w:t>10.7 乙方未经甲方书面同意将协议权利或义务转让或转包给他人的，甲方有权解除合同并不予支付任何费用，并有权要求乙方退还已收的全部费用，乙方还应向甲方支付本合同暂定总金额的</w:t>
      </w:r>
      <w:r>
        <w:rPr>
          <w:sz w:val="24"/>
          <w:highlight w:val="none"/>
          <w:u w:val="single"/>
        </w:rPr>
        <w:t xml:space="preserve"> 10</w:t>
      </w:r>
      <w:r>
        <w:rPr>
          <w:sz w:val="24"/>
          <w:highlight w:val="none"/>
        </w:rPr>
        <w:t>%作为违约金</w:t>
      </w:r>
      <w:r>
        <w:rPr>
          <w:rFonts w:hint="eastAsia"/>
          <w:sz w:val="24"/>
          <w:highlight w:val="none"/>
        </w:rPr>
        <w:t>。</w:t>
      </w:r>
    </w:p>
    <w:bookmarkEnd w:id="12"/>
    <w:p w14:paraId="4606F1D4">
      <w:pPr>
        <w:pStyle w:val="2"/>
        <w:spacing w:before="312" w:beforeLines="100" w:after="156" w:afterLines="50" w:line="360" w:lineRule="auto"/>
        <w:rPr>
          <w:rFonts w:ascii="Times New Roman" w:hAnsi="Times New Roman"/>
          <w:sz w:val="24"/>
        </w:rPr>
      </w:pPr>
      <w:r>
        <w:rPr>
          <w:rFonts w:ascii="Times New Roman" w:hAnsi="Times New Roman"/>
          <w:sz w:val="24"/>
          <w:szCs w:val="24"/>
        </w:rPr>
        <w:t>第十一条 知识产权</w:t>
      </w:r>
    </w:p>
    <w:p w14:paraId="6E1AED8F">
      <w:pPr>
        <w:pStyle w:val="39"/>
        <w:adjustRightInd w:val="0"/>
        <w:snapToGrid w:val="0"/>
        <w:spacing w:line="360" w:lineRule="auto"/>
        <w:ind w:firstLine="480" w:firstLineChars="200"/>
        <w:rPr>
          <w:sz w:val="24"/>
        </w:rPr>
      </w:pPr>
      <w:r>
        <w:rPr>
          <w:sz w:val="24"/>
        </w:rPr>
        <w:t>11.1 甲方享有乙方所提交的全部成果文件（包括但不限于图纸、说明、电子文件、计算机程序及其产生的数据等）的著作权。</w:t>
      </w:r>
    </w:p>
    <w:p w14:paraId="72934939">
      <w:pPr>
        <w:pStyle w:val="39"/>
        <w:adjustRightInd w:val="0"/>
        <w:snapToGrid w:val="0"/>
        <w:spacing w:line="360" w:lineRule="auto"/>
        <w:ind w:firstLine="480" w:firstLineChars="200"/>
        <w:rPr>
          <w:sz w:val="24"/>
        </w:rPr>
      </w:pPr>
      <w:r>
        <w:rPr>
          <w:sz w:val="24"/>
        </w:rPr>
        <w:t>11.2 乙方完成树木保护专章的技术人员享有在技术成果文件上写明自己是完成者和取得有关荣誉证书、奖励的权利。</w:t>
      </w:r>
    </w:p>
    <w:p w14:paraId="0C763266">
      <w:pPr>
        <w:pStyle w:val="39"/>
        <w:adjustRightInd w:val="0"/>
        <w:snapToGrid w:val="0"/>
        <w:spacing w:line="360" w:lineRule="auto"/>
        <w:ind w:firstLine="480" w:firstLineChars="200"/>
        <w:rPr>
          <w:sz w:val="24"/>
        </w:rPr>
      </w:pPr>
      <w:r>
        <w:rPr>
          <w:sz w:val="24"/>
        </w:rPr>
        <w:t>11.3 未经甲方同意，乙方不得使用其依照本合同约定提交的任何成果文件。</w:t>
      </w:r>
    </w:p>
    <w:p w14:paraId="2BBA01DD">
      <w:pPr>
        <w:pStyle w:val="39"/>
        <w:adjustRightInd w:val="0"/>
        <w:snapToGrid w:val="0"/>
        <w:spacing w:line="360" w:lineRule="auto"/>
        <w:ind w:firstLine="480" w:firstLineChars="200"/>
        <w:rPr>
          <w:sz w:val="24"/>
        </w:rPr>
      </w:pPr>
      <w:r>
        <w:rPr>
          <w:sz w:val="24"/>
        </w:rPr>
        <w:t>11.4 乙方在提供技术服务的过程中以及乙方提交的成果文件不得侵犯第三方的知识产权等合法权益，否则，一切法律责任由乙方自行承担，乙方还应赔偿因此给甲方造成的损失。</w:t>
      </w:r>
    </w:p>
    <w:p w14:paraId="410689EA">
      <w:pPr>
        <w:pStyle w:val="2"/>
        <w:spacing w:before="312" w:beforeLines="100" w:after="156" w:afterLines="50" w:line="360" w:lineRule="auto"/>
        <w:rPr>
          <w:rFonts w:ascii="Times New Roman" w:hAnsi="Times New Roman"/>
          <w:b w:val="0"/>
          <w:sz w:val="24"/>
        </w:rPr>
      </w:pPr>
      <w:r>
        <w:rPr>
          <w:rFonts w:ascii="Times New Roman" w:hAnsi="Times New Roman"/>
          <w:sz w:val="24"/>
          <w:szCs w:val="24"/>
        </w:rPr>
        <w:t>第十二条 不可抗力与保密条款</w:t>
      </w:r>
    </w:p>
    <w:p w14:paraId="2B513A62">
      <w:pPr>
        <w:pStyle w:val="39"/>
        <w:adjustRightInd w:val="0"/>
        <w:snapToGrid w:val="0"/>
        <w:spacing w:line="360" w:lineRule="auto"/>
        <w:ind w:firstLine="480" w:firstLineChars="200"/>
        <w:rPr>
          <w:sz w:val="24"/>
        </w:rPr>
      </w:pPr>
      <w:bookmarkStart w:id="14" w:name="_Hlk93236468"/>
      <w:r>
        <w:rPr>
          <w:sz w:val="24"/>
        </w:rPr>
        <w:t>12.1 本</w:t>
      </w:r>
      <w:r>
        <w:rPr>
          <w:snapToGrid w:val="0"/>
          <w:kern w:val="0"/>
          <w:sz w:val="24"/>
        </w:rPr>
        <w:t>合同</w:t>
      </w:r>
      <w:r>
        <w:rPr>
          <w:sz w:val="24"/>
        </w:rPr>
        <w:t>所称“不可抗力”是指受因政府政策、规划改变或自然灾害等影响，一方不能合理控制且无法预料，或即使可预料到也不可避免且无法克服，并于本合同签订日之后出现的事件。</w:t>
      </w:r>
    </w:p>
    <w:p w14:paraId="0CF81AC7">
      <w:pPr>
        <w:pStyle w:val="39"/>
        <w:adjustRightInd w:val="0"/>
        <w:snapToGrid w:val="0"/>
        <w:spacing w:line="360" w:lineRule="auto"/>
        <w:ind w:firstLine="480" w:firstLineChars="200"/>
        <w:rPr>
          <w:sz w:val="24"/>
        </w:rPr>
      </w:pPr>
      <w:bookmarkStart w:id="15" w:name="_Hlk93267053"/>
      <w:r>
        <w:rPr>
          <w:sz w:val="24"/>
        </w:rPr>
        <w:t>12.2 声称受到不可抗力事件影响的一方应尽可能在最短的时间内通过书面形式将不可抗力事件的发生通知另一方，并在该不可抗力事件发生后</w:t>
      </w:r>
      <w:r>
        <w:rPr>
          <w:sz w:val="24"/>
          <w:u w:val="single"/>
        </w:rPr>
        <w:t xml:space="preserve"> 7 </w:t>
      </w:r>
      <w:r>
        <w:rPr>
          <w:sz w:val="24"/>
        </w:rPr>
        <w:t>日内向另一方提供关于此种不可抗力事件及其持续时间的有效证明文件并有责任尽一切合理的努力消除或减轻此等不可抗力事件的影响。</w:t>
      </w:r>
    </w:p>
    <w:bookmarkEnd w:id="15"/>
    <w:p w14:paraId="33DC4D22">
      <w:pPr>
        <w:pStyle w:val="39"/>
        <w:adjustRightInd w:val="0"/>
        <w:snapToGrid w:val="0"/>
        <w:spacing w:line="360" w:lineRule="auto"/>
        <w:ind w:firstLine="480"/>
        <w:rPr>
          <w:snapToGrid w:val="0"/>
          <w:kern w:val="0"/>
          <w:sz w:val="24"/>
        </w:rPr>
      </w:pPr>
      <w:r>
        <w:rPr>
          <w:sz w:val="24"/>
        </w:rPr>
        <w:t>12.3 不可抗力事件发生时或其影响终止或消除后，双方应立即通过友好协商决定如何执行本</w:t>
      </w:r>
      <w:r>
        <w:rPr>
          <w:snapToGrid w:val="0"/>
          <w:kern w:val="0"/>
          <w:sz w:val="24"/>
        </w:rPr>
        <w:t>合同</w:t>
      </w:r>
      <w:r>
        <w:rPr>
          <w:sz w:val="24"/>
        </w:rPr>
        <w:t>。如因不可抗力导致</w:t>
      </w:r>
      <w:r>
        <w:rPr>
          <w:snapToGrid w:val="0"/>
          <w:kern w:val="0"/>
          <w:sz w:val="24"/>
        </w:rPr>
        <w:t>合同</w:t>
      </w:r>
      <w:r>
        <w:rPr>
          <w:sz w:val="24"/>
        </w:rPr>
        <w:t>无法履行的，甲乙双方均不承担违约责任。</w:t>
      </w:r>
    </w:p>
    <w:bookmarkEnd w:id="14"/>
    <w:p w14:paraId="729AD4C5">
      <w:pPr>
        <w:pStyle w:val="39"/>
        <w:adjustRightInd w:val="0"/>
        <w:snapToGrid w:val="0"/>
        <w:spacing w:line="360" w:lineRule="auto"/>
        <w:ind w:firstLine="480"/>
        <w:rPr>
          <w:snapToGrid w:val="0"/>
          <w:kern w:val="0"/>
          <w:sz w:val="24"/>
        </w:rPr>
      </w:pPr>
      <w:r>
        <w:rPr>
          <w:snapToGrid w:val="0"/>
          <w:kern w:val="0"/>
          <w:sz w:val="24"/>
        </w:rPr>
        <w:t>12.4 本合同各方均应严格保护其相关方的秘密，未经相关方书面同意，不得披露、使用或者允许他人使用。掌握相关方秘密的本合同各方应采取必要措施将其他方秘密仅披露给有必要知悉的其工作人员、代理人及/或专业顾问，并确保上述人员遵守本合同项下的保密义务。</w:t>
      </w:r>
    </w:p>
    <w:p w14:paraId="6291229E">
      <w:pPr>
        <w:pStyle w:val="39"/>
        <w:adjustRightInd w:val="0"/>
        <w:snapToGrid w:val="0"/>
        <w:spacing w:line="360" w:lineRule="auto"/>
        <w:ind w:firstLine="480"/>
        <w:rPr>
          <w:snapToGrid w:val="0"/>
          <w:kern w:val="0"/>
          <w:sz w:val="24"/>
        </w:rPr>
      </w:pPr>
      <w:r>
        <w:rPr>
          <w:snapToGrid w:val="0"/>
          <w:kern w:val="0"/>
          <w:sz w:val="24"/>
        </w:rPr>
        <w:t>12.5 本合同解除或者终止时，掌握相关方秘密的本合同各方应将相关方提交的载有秘密的信息资料归还相关方，并从任何有关记忆装置中删除相关方的秘密，并且不得继续使用。</w:t>
      </w:r>
    </w:p>
    <w:p w14:paraId="53D02398">
      <w:pPr>
        <w:pStyle w:val="39"/>
        <w:adjustRightInd w:val="0"/>
        <w:snapToGrid w:val="0"/>
        <w:spacing w:line="360" w:lineRule="auto"/>
        <w:ind w:firstLine="480"/>
        <w:rPr>
          <w:snapToGrid w:val="0"/>
          <w:kern w:val="0"/>
          <w:sz w:val="24"/>
        </w:rPr>
      </w:pPr>
      <w:r>
        <w:rPr>
          <w:snapToGrid w:val="0"/>
          <w:kern w:val="0"/>
          <w:sz w:val="24"/>
        </w:rPr>
        <w:t>12.6 违反保密义务的本合同任何一方，应承担由此产生的一切法律责任。</w:t>
      </w:r>
    </w:p>
    <w:p w14:paraId="69DBBA84">
      <w:pPr>
        <w:pStyle w:val="39"/>
        <w:adjustRightInd w:val="0"/>
        <w:snapToGrid w:val="0"/>
        <w:spacing w:line="360" w:lineRule="auto"/>
        <w:ind w:firstLine="480" w:firstLineChars="200"/>
        <w:rPr>
          <w:snapToGrid w:val="0"/>
          <w:kern w:val="0"/>
          <w:sz w:val="24"/>
        </w:rPr>
      </w:pPr>
      <w:r>
        <w:rPr>
          <w:snapToGrid w:val="0"/>
          <w:kern w:val="0"/>
          <w:sz w:val="24"/>
        </w:rPr>
        <w:t>12.7 不论本合同是否变更、解除或终止，本合同关于保守秘密的条款将持续有效。</w:t>
      </w:r>
    </w:p>
    <w:p w14:paraId="4E76EC50">
      <w:pPr>
        <w:pStyle w:val="2"/>
        <w:spacing w:before="312" w:beforeLines="100" w:after="156" w:afterLines="50" w:line="360" w:lineRule="auto"/>
        <w:rPr>
          <w:rFonts w:ascii="Times New Roman" w:hAnsi="Times New Roman"/>
          <w:b w:val="0"/>
          <w:bCs w:val="0"/>
          <w:sz w:val="24"/>
        </w:rPr>
      </w:pPr>
      <w:r>
        <w:rPr>
          <w:rFonts w:ascii="Times New Roman" w:hAnsi="Times New Roman"/>
          <w:sz w:val="24"/>
          <w:szCs w:val="24"/>
        </w:rPr>
        <w:t>第十三条 合同变更及解除</w:t>
      </w:r>
    </w:p>
    <w:p w14:paraId="51FB1575">
      <w:pPr>
        <w:pStyle w:val="39"/>
        <w:adjustRightInd w:val="0"/>
        <w:snapToGrid w:val="0"/>
        <w:spacing w:line="360" w:lineRule="auto"/>
        <w:ind w:firstLine="480" w:firstLineChars="200"/>
        <w:rPr>
          <w:sz w:val="24"/>
        </w:rPr>
      </w:pPr>
      <w:r>
        <w:rPr>
          <w:sz w:val="24"/>
        </w:rPr>
        <w:t>13.1 本</w:t>
      </w:r>
      <w:r>
        <w:rPr>
          <w:snapToGrid w:val="0"/>
          <w:kern w:val="0"/>
          <w:sz w:val="24"/>
        </w:rPr>
        <w:t>合同</w:t>
      </w:r>
      <w:r>
        <w:rPr>
          <w:sz w:val="24"/>
        </w:rPr>
        <w:t>各方协商一致，可以对本合同约定进行变更本</w:t>
      </w:r>
      <w:r>
        <w:rPr>
          <w:snapToGrid w:val="0"/>
          <w:kern w:val="0"/>
          <w:sz w:val="24"/>
        </w:rPr>
        <w:t>合同</w:t>
      </w:r>
      <w:r>
        <w:rPr>
          <w:sz w:val="24"/>
        </w:rPr>
        <w:t>。变更本合同的应签订书面补充合同。</w:t>
      </w:r>
    </w:p>
    <w:p w14:paraId="6F5D4C6D">
      <w:pPr>
        <w:pStyle w:val="39"/>
        <w:adjustRightInd w:val="0"/>
        <w:snapToGrid w:val="0"/>
        <w:spacing w:line="360" w:lineRule="auto"/>
        <w:ind w:firstLine="480" w:firstLineChars="200"/>
        <w:rPr>
          <w:sz w:val="24"/>
        </w:rPr>
      </w:pPr>
      <w:r>
        <w:rPr>
          <w:sz w:val="24"/>
        </w:rPr>
        <w:t>13.2 本</w:t>
      </w:r>
      <w:r>
        <w:rPr>
          <w:snapToGrid w:val="0"/>
          <w:kern w:val="0"/>
          <w:sz w:val="24"/>
        </w:rPr>
        <w:t>合同</w:t>
      </w:r>
      <w:r>
        <w:rPr>
          <w:sz w:val="24"/>
        </w:rPr>
        <w:t>各方协商一致解除本合同应签订书面解除合同。</w:t>
      </w:r>
    </w:p>
    <w:p w14:paraId="4B9ACA01">
      <w:pPr>
        <w:pStyle w:val="39"/>
        <w:adjustRightInd w:val="0"/>
        <w:snapToGrid w:val="0"/>
        <w:spacing w:line="360" w:lineRule="auto"/>
        <w:ind w:firstLine="480" w:firstLineChars="200"/>
        <w:rPr>
          <w:sz w:val="24"/>
        </w:rPr>
      </w:pPr>
      <w:r>
        <w:rPr>
          <w:sz w:val="24"/>
        </w:rPr>
        <w:t>13.3 本合同各方依照法律规定单方解除本合同的，应当书面通知对方，本合同自书面通知到达对方之时起解除。</w:t>
      </w:r>
    </w:p>
    <w:p w14:paraId="1D04E7ED">
      <w:pPr>
        <w:pStyle w:val="39"/>
        <w:adjustRightInd w:val="0"/>
        <w:snapToGrid w:val="0"/>
        <w:spacing w:line="360" w:lineRule="auto"/>
        <w:ind w:firstLine="480" w:firstLineChars="200"/>
        <w:rPr>
          <w:sz w:val="24"/>
        </w:rPr>
      </w:pPr>
      <w:r>
        <w:rPr>
          <w:sz w:val="24"/>
        </w:rPr>
        <w:t>13.4 本合同解除后，不影响本合同中争议解决条款的效力。</w:t>
      </w:r>
    </w:p>
    <w:p w14:paraId="77B88EA7">
      <w:pPr>
        <w:pStyle w:val="39"/>
        <w:adjustRightInd w:val="0"/>
        <w:snapToGrid w:val="0"/>
        <w:spacing w:line="360" w:lineRule="auto"/>
        <w:ind w:firstLine="480" w:firstLineChars="200"/>
        <w:rPr>
          <w:sz w:val="24"/>
        </w:rPr>
      </w:pPr>
      <w:r>
        <w:rPr>
          <w:rFonts w:hint="eastAsia"/>
          <w:sz w:val="24"/>
        </w:rPr>
        <w:t>13.5 特别约定：如本项目因政策、有关部门决策等原因暂停或者短期内不实施，自本合同签订之日起三年内都无法实施相关树木保护专章编制工作的，则本合同自然终止，双方不因此承担任何违约责任。</w:t>
      </w:r>
    </w:p>
    <w:p w14:paraId="21625FC9">
      <w:pPr>
        <w:pStyle w:val="2"/>
        <w:spacing w:before="312" w:beforeLines="100" w:after="156" w:afterLines="50" w:line="360" w:lineRule="auto"/>
        <w:rPr>
          <w:rFonts w:ascii="Times New Roman" w:hAnsi="Times New Roman"/>
          <w:b w:val="0"/>
          <w:bCs w:val="0"/>
          <w:sz w:val="24"/>
        </w:rPr>
      </w:pPr>
      <w:r>
        <w:rPr>
          <w:rFonts w:ascii="Times New Roman" w:hAnsi="Times New Roman"/>
          <w:sz w:val="24"/>
          <w:szCs w:val="24"/>
        </w:rPr>
        <w:t xml:space="preserve"> 第十四条 通讯和送达</w:t>
      </w:r>
    </w:p>
    <w:p w14:paraId="1176093F">
      <w:pPr>
        <w:pStyle w:val="39"/>
        <w:adjustRightInd w:val="0"/>
        <w:snapToGrid w:val="0"/>
        <w:spacing w:line="360" w:lineRule="auto"/>
        <w:rPr>
          <w:sz w:val="24"/>
        </w:rPr>
      </w:pPr>
      <w:r>
        <w:rPr>
          <w:sz w:val="24"/>
        </w:rPr>
        <w:t xml:space="preserve">    14.1 通讯是指本合同各方依照本合同约定向另一方发出的通知、决定、指令、同意、证明等各类书面形式的函件。</w:t>
      </w:r>
    </w:p>
    <w:p w14:paraId="02B9EE83">
      <w:pPr>
        <w:pStyle w:val="39"/>
        <w:adjustRightInd w:val="0"/>
        <w:snapToGrid w:val="0"/>
        <w:spacing w:line="360" w:lineRule="auto"/>
        <w:ind w:firstLine="480" w:firstLineChars="200"/>
        <w:rPr>
          <w:sz w:val="24"/>
        </w:rPr>
      </w:pPr>
      <w:r>
        <w:rPr>
          <w:sz w:val="24"/>
        </w:rPr>
        <w:t>14.2 通讯由专人递送的，各方签收之日为送达之日；由特快专递递送的，各方签收后视为已送达；由传真递送的，传真到达对方之日视为已送达；由电子邮件递送的，电子邮件成功发送时视为送达。</w:t>
      </w:r>
    </w:p>
    <w:p w14:paraId="2070E35D">
      <w:pPr>
        <w:pStyle w:val="39"/>
        <w:adjustRightInd w:val="0"/>
        <w:snapToGrid w:val="0"/>
        <w:spacing w:line="360" w:lineRule="auto"/>
        <w:ind w:firstLine="480" w:firstLineChars="200"/>
        <w:rPr>
          <w:sz w:val="24"/>
        </w:rPr>
      </w:pPr>
      <w:r>
        <w:rPr>
          <w:sz w:val="24"/>
        </w:rPr>
        <w:t>14.3 本合同各方变更通讯递送地址、联系人、电子邮件及/或传真的，应在变更之日起30日内通知另一方，未通知的，另一方按本合同上约定的通讯地址和联系方式发送的文件，均视为送达。</w:t>
      </w:r>
    </w:p>
    <w:p w14:paraId="21E316CD">
      <w:pPr>
        <w:pStyle w:val="2"/>
        <w:spacing w:before="312" w:beforeLines="100" w:after="156" w:afterLines="50" w:line="360" w:lineRule="auto"/>
        <w:rPr>
          <w:rFonts w:ascii="Times New Roman" w:hAnsi="Times New Roman"/>
          <w:sz w:val="24"/>
        </w:rPr>
      </w:pPr>
      <w:r>
        <w:rPr>
          <w:rFonts w:ascii="Times New Roman" w:hAnsi="Times New Roman"/>
          <w:sz w:val="24"/>
          <w:szCs w:val="24"/>
        </w:rPr>
        <w:t>第十五条 法律适用及争议解决方式</w:t>
      </w:r>
    </w:p>
    <w:p w14:paraId="35CF7C43">
      <w:pPr>
        <w:pStyle w:val="39"/>
        <w:adjustRightInd w:val="0"/>
        <w:snapToGrid w:val="0"/>
        <w:spacing w:line="360" w:lineRule="auto"/>
        <w:ind w:firstLine="480" w:firstLineChars="200"/>
        <w:rPr>
          <w:sz w:val="24"/>
        </w:rPr>
      </w:pPr>
      <w:r>
        <w:rPr>
          <w:sz w:val="24"/>
        </w:rPr>
        <w:t>15.1 本合同的签署、履行、解释及因本合同所发生的争议均适用中国法律。</w:t>
      </w:r>
    </w:p>
    <w:p w14:paraId="6D2CD52E">
      <w:pPr>
        <w:pStyle w:val="39"/>
        <w:adjustRightInd w:val="0"/>
        <w:snapToGrid w:val="0"/>
        <w:spacing w:line="360" w:lineRule="auto"/>
        <w:ind w:firstLine="480" w:firstLineChars="200"/>
        <w:rPr>
          <w:b/>
          <w:bCs/>
          <w:sz w:val="24"/>
        </w:rPr>
      </w:pPr>
      <w:r>
        <w:rPr>
          <w:sz w:val="24"/>
        </w:rPr>
        <w:t>15.2 双方因本合同发生的一切争议，应首先通过协商解决，如协商不成，任何一方可依法向甲方住所地有管辖权的人民法院起诉。</w:t>
      </w:r>
    </w:p>
    <w:bookmarkEnd w:id="9"/>
    <w:p w14:paraId="2F8B99CA">
      <w:pPr>
        <w:pStyle w:val="2"/>
        <w:spacing w:before="312" w:beforeLines="100" w:after="156" w:afterLines="50" w:line="360" w:lineRule="auto"/>
        <w:rPr>
          <w:rFonts w:ascii="Times New Roman" w:hAnsi="Times New Roman"/>
          <w:sz w:val="24"/>
          <w:szCs w:val="24"/>
        </w:rPr>
      </w:pPr>
      <w:bookmarkStart w:id="16" w:name="_Toc301352991"/>
      <w:r>
        <w:rPr>
          <w:rFonts w:ascii="Times New Roman" w:hAnsi="Times New Roman"/>
          <w:sz w:val="24"/>
          <w:szCs w:val="24"/>
        </w:rPr>
        <w:t>第十六条 其他</w:t>
      </w:r>
      <w:bookmarkEnd w:id="16"/>
    </w:p>
    <w:p w14:paraId="02DA4D13">
      <w:pPr>
        <w:spacing w:line="360" w:lineRule="auto"/>
        <w:ind w:firstLine="480" w:firstLineChars="200"/>
        <w:rPr>
          <w:rFonts w:ascii="Times New Roman" w:hAnsi="Times New Roman"/>
          <w:sz w:val="24"/>
          <w:szCs w:val="24"/>
        </w:rPr>
      </w:pPr>
      <w:r>
        <w:rPr>
          <w:rFonts w:ascii="Times New Roman" w:hAnsi="Times New Roman"/>
          <w:sz w:val="24"/>
          <w:szCs w:val="24"/>
        </w:rPr>
        <w:t>16.1 如在本合同履行期间，因政策变化、计划调整及其它不可抗力的自然及人为原因，造成本项目停止或延缓，则乙方必须无条件接受甲方要求终止服务，并应积极配合甲方做好善后工作，甲方无需向乙方承担任何违约责任。如乙方未开展技术工作的，应退还甲方已付费用；如乙方已经开展技术工作的，双方按照乙方已完成工作量按照本合同约定支付相应合同款。</w:t>
      </w:r>
    </w:p>
    <w:p w14:paraId="48FD8D11">
      <w:pPr>
        <w:spacing w:line="360" w:lineRule="auto"/>
        <w:ind w:firstLine="480" w:firstLineChars="200"/>
        <w:rPr>
          <w:rFonts w:ascii="Times New Roman" w:hAnsi="Times New Roman"/>
          <w:sz w:val="24"/>
          <w:szCs w:val="24"/>
        </w:rPr>
      </w:pPr>
      <w:r>
        <w:rPr>
          <w:rFonts w:ascii="Times New Roman" w:hAnsi="Times New Roman"/>
          <w:sz w:val="24"/>
          <w:szCs w:val="24"/>
        </w:rPr>
        <w:t>16.2 本项工作期间，召开专家评审会、工作汇报、项目介绍等所需文本及相关材料打印，均由乙方按需求的份数、质量提供。甲方不再另行支付费用。</w:t>
      </w:r>
    </w:p>
    <w:p w14:paraId="0801797A">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16.3 本合同经双方签字盖章之日起生效，本合同一式</w:t>
      </w:r>
      <w:r>
        <w:rPr>
          <w:rFonts w:ascii="Times New Roman" w:hAnsi="Times New Roman"/>
          <w:sz w:val="24"/>
          <w:szCs w:val="24"/>
          <w:u w:val="single"/>
        </w:rPr>
        <w:t xml:space="preserve"> </w:t>
      </w:r>
      <w:r>
        <w:rPr>
          <w:rFonts w:hint="eastAsia" w:ascii="Times New Roman" w:hAnsi="Times New Roman"/>
          <w:sz w:val="24"/>
          <w:szCs w:val="24"/>
          <w:u w:val="single"/>
          <w:lang w:val="en-US" w:eastAsia="zh-CN"/>
        </w:rPr>
        <w:t>4</w:t>
      </w:r>
      <w:r>
        <w:rPr>
          <w:rFonts w:ascii="Times New Roman" w:hAnsi="Times New Roman"/>
          <w:sz w:val="24"/>
          <w:szCs w:val="24"/>
          <w:u w:val="single"/>
        </w:rPr>
        <w:t xml:space="preserve"> </w:t>
      </w:r>
      <w:r>
        <w:rPr>
          <w:rFonts w:ascii="Times New Roman" w:hAnsi="Times New Roman"/>
          <w:sz w:val="24"/>
          <w:szCs w:val="24"/>
        </w:rPr>
        <w:t>份，甲方</w:t>
      </w:r>
      <w:r>
        <w:rPr>
          <w:rFonts w:ascii="Times New Roman" w:hAnsi="Times New Roman"/>
          <w:sz w:val="24"/>
          <w:szCs w:val="24"/>
          <w:u w:val="single"/>
        </w:rPr>
        <w:t xml:space="preserve"> </w:t>
      </w:r>
      <w:r>
        <w:rPr>
          <w:rFonts w:hint="eastAsia" w:ascii="Times New Roman" w:hAnsi="Times New Roman"/>
          <w:sz w:val="24"/>
          <w:szCs w:val="24"/>
          <w:u w:val="single"/>
          <w:lang w:val="en-US" w:eastAsia="zh-CN"/>
        </w:rPr>
        <w:t>2</w:t>
      </w:r>
      <w:r>
        <w:rPr>
          <w:rFonts w:ascii="Times New Roman" w:hAnsi="Times New Roman"/>
          <w:sz w:val="24"/>
          <w:szCs w:val="24"/>
          <w:u w:val="single"/>
        </w:rPr>
        <w:t xml:space="preserve"> </w:t>
      </w:r>
      <w:r>
        <w:rPr>
          <w:rFonts w:ascii="Times New Roman" w:hAnsi="Times New Roman"/>
          <w:sz w:val="24"/>
          <w:szCs w:val="24"/>
        </w:rPr>
        <w:t>份，乙方</w:t>
      </w:r>
      <w:r>
        <w:rPr>
          <w:rFonts w:ascii="Times New Roman" w:hAnsi="Times New Roman"/>
          <w:sz w:val="24"/>
          <w:szCs w:val="24"/>
          <w:u w:val="single"/>
        </w:rPr>
        <w:t xml:space="preserve"> </w:t>
      </w:r>
      <w:r>
        <w:rPr>
          <w:rFonts w:hint="eastAsia" w:ascii="Times New Roman" w:hAnsi="Times New Roman"/>
          <w:sz w:val="24"/>
          <w:szCs w:val="24"/>
          <w:u w:val="single"/>
          <w:lang w:val="en-US" w:eastAsia="zh-CN"/>
        </w:rPr>
        <w:t>2</w:t>
      </w:r>
      <w:r>
        <w:rPr>
          <w:rFonts w:ascii="Times New Roman" w:hAnsi="Times New Roman"/>
          <w:sz w:val="24"/>
          <w:szCs w:val="24"/>
          <w:u w:val="single"/>
        </w:rPr>
        <w:t xml:space="preserve"> </w:t>
      </w:r>
      <w:r>
        <w:rPr>
          <w:rFonts w:ascii="Times New Roman" w:hAnsi="Times New Roman"/>
          <w:sz w:val="24"/>
          <w:szCs w:val="24"/>
        </w:rPr>
        <w:t>份，每份均具有同等法律效力。</w:t>
      </w:r>
    </w:p>
    <w:p w14:paraId="7F25B422">
      <w:pPr>
        <w:adjustRightInd w:val="0"/>
        <w:snapToGrid w:val="0"/>
        <w:spacing w:line="360" w:lineRule="auto"/>
        <w:ind w:firstLine="480" w:firstLineChars="200"/>
        <w:rPr>
          <w:rFonts w:hint="eastAsia" w:ascii="Times New Roman" w:hAnsi="Times New Roman"/>
          <w:sz w:val="24"/>
          <w:szCs w:val="24"/>
          <w:u w:val="single"/>
          <w:lang w:val="en-US" w:eastAsia="zh-CN"/>
        </w:rPr>
      </w:pPr>
      <w:r>
        <w:rPr>
          <w:rFonts w:hint="eastAsia" w:ascii="Times New Roman" w:hAnsi="Times New Roman"/>
          <w:sz w:val="24"/>
          <w:szCs w:val="24"/>
          <w:u w:val="single"/>
          <w:lang w:val="en-US" w:eastAsia="zh-CN"/>
        </w:rPr>
        <w:t>（以下无正文）</w:t>
      </w:r>
    </w:p>
    <w:p w14:paraId="485349D7">
      <w:pPr>
        <w:rPr>
          <w:rFonts w:ascii="Times New Roman" w:hAnsi="Times New Roman"/>
          <w:sz w:val="24"/>
        </w:rPr>
      </w:pPr>
    </w:p>
    <w:p w14:paraId="402AA3B8">
      <w:pPr>
        <w:rPr>
          <w:rFonts w:ascii="Times New Roman" w:hAnsi="Times New Roman"/>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1EB4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top"/>
          </w:tcPr>
          <w:p w14:paraId="603F8F09">
            <w:pPr>
              <w:adjustRightInd w:val="0"/>
              <w:spacing w:line="360" w:lineRule="auto"/>
              <w:textAlignment w:val="baseline"/>
              <w:rPr>
                <w:rFonts w:hint="eastAsia" w:ascii="Times New Roman" w:hAnsi="Times New Roman"/>
                <w:sz w:val="24"/>
                <w:szCs w:val="24"/>
              </w:rPr>
            </w:pPr>
            <w:r>
              <w:rPr>
                <w:rFonts w:hint="eastAsia" w:ascii="Times New Roman" w:hAnsi="Times New Roman"/>
                <w:sz w:val="24"/>
                <w:szCs w:val="24"/>
              </w:rPr>
              <w:t>甲   方：广东省人民医院</w:t>
            </w:r>
          </w:p>
          <w:p w14:paraId="53A0E95D">
            <w:pPr>
              <w:adjustRightInd w:val="0"/>
              <w:spacing w:line="360" w:lineRule="auto"/>
              <w:textAlignment w:val="baseline"/>
              <w:rPr>
                <w:rFonts w:ascii="Times New Roman" w:hAnsi="Times New Roman"/>
                <w:sz w:val="24"/>
                <w:szCs w:val="24"/>
              </w:rPr>
            </w:pPr>
          </w:p>
        </w:tc>
        <w:tc>
          <w:tcPr>
            <w:tcW w:w="4148" w:type="dxa"/>
          </w:tcPr>
          <w:p w14:paraId="21D816F1">
            <w:pPr>
              <w:adjustRightInd w:val="0"/>
              <w:spacing w:line="360" w:lineRule="auto"/>
              <w:textAlignment w:val="baseline"/>
              <w:rPr>
                <w:rFonts w:ascii="Times New Roman" w:hAnsi="Times New Roman"/>
                <w:sz w:val="24"/>
                <w:szCs w:val="24"/>
              </w:rPr>
            </w:pPr>
            <w:r>
              <w:rPr>
                <w:rFonts w:ascii="Times New Roman" w:hAnsi="Times New Roman"/>
                <w:sz w:val="24"/>
                <w:szCs w:val="24"/>
              </w:rPr>
              <w:t xml:space="preserve">乙方（盖章）：  </w:t>
            </w:r>
          </w:p>
          <w:p w14:paraId="4519512F">
            <w:pPr>
              <w:adjustRightInd w:val="0"/>
              <w:spacing w:line="360" w:lineRule="auto"/>
              <w:textAlignment w:val="baseline"/>
              <w:rPr>
                <w:rFonts w:ascii="Times New Roman" w:hAnsi="Times New Roman"/>
                <w:sz w:val="24"/>
                <w:szCs w:val="24"/>
              </w:rPr>
            </w:pPr>
          </w:p>
          <w:p w14:paraId="508F7986">
            <w:pPr>
              <w:adjustRightInd w:val="0"/>
              <w:spacing w:line="360" w:lineRule="auto"/>
              <w:ind w:firstLine="2400" w:firstLineChars="1000"/>
              <w:textAlignment w:val="baseline"/>
              <w:rPr>
                <w:rFonts w:ascii="Times New Roman" w:hAnsi="Times New Roman"/>
                <w:sz w:val="24"/>
                <w:szCs w:val="24"/>
              </w:rPr>
            </w:pPr>
          </w:p>
        </w:tc>
      </w:tr>
      <w:tr w14:paraId="34B0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top"/>
          </w:tcPr>
          <w:p w14:paraId="1F875B85">
            <w:pPr>
              <w:adjustRightInd w:val="0"/>
              <w:spacing w:line="360" w:lineRule="auto"/>
              <w:textAlignment w:val="baseline"/>
              <w:rPr>
                <w:rFonts w:hint="eastAsia" w:ascii="Times New Roman" w:hAnsi="Times New Roman"/>
                <w:sz w:val="24"/>
                <w:szCs w:val="24"/>
              </w:rPr>
            </w:pPr>
            <w:r>
              <w:rPr>
                <w:rFonts w:hint="eastAsia" w:ascii="Times New Roman" w:hAnsi="Times New Roman"/>
                <w:sz w:val="24"/>
                <w:szCs w:val="24"/>
              </w:rPr>
              <w:t>法定代表人：</w:t>
            </w:r>
          </w:p>
          <w:p w14:paraId="7B5ED5FF">
            <w:pPr>
              <w:adjustRightInd w:val="0"/>
              <w:spacing w:line="360" w:lineRule="auto"/>
              <w:textAlignment w:val="baseline"/>
              <w:rPr>
                <w:rFonts w:hint="eastAsia" w:ascii="Times New Roman" w:hAnsi="Times New Roman"/>
                <w:sz w:val="24"/>
                <w:szCs w:val="24"/>
              </w:rPr>
            </w:pPr>
          </w:p>
          <w:p w14:paraId="532EFE43">
            <w:pPr>
              <w:adjustRightInd w:val="0"/>
              <w:spacing w:line="360" w:lineRule="auto"/>
              <w:textAlignment w:val="baseline"/>
              <w:rPr>
                <w:rFonts w:hint="eastAsia" w:ascii="Times New Roman" w:hAnsi="Times New Roman"/>
                <w:sz w:val="24"/>
                <w:szCs w:val="24"/>
              </w:rPr>
            </w:pPr>
            <w:r>
              <w:rPr>
                <w:rFonts w:hint="eastAsia" w:ascii="Times New Roman" w:hAnsi="Times New Roman"/>
                <w:sz w:val="24"/>
                <w:szCs w:val="24"/>
              </w:rPr>
              <w:t>授权委托人：</w:t>
            </w:r>
          </w:p>
          <w:p w14:paraId="234FC154">
            <w:pPr>
              <w:adjustRightInd w:val="0"/>
              <w:spacing w:line="360" w:lineRule="auto"/>
              <w:textAlignment w:val="baseline"/>
              <w:rPr>
                <w:rFonts w:ascii="Times New Roman" w:hAnsi="Times New Roman"/>
                <w:sz w:val="24"/>
                <w:szCs w:val="24"/>
              </w:rPr>
            </w:pPr>
          </w:p>
        </w:tc>
        <w:tc>
          <w:tcPr>
            <w:tcW w:w="4148" w:type="dxa"/>
          </w:tcPr>
          <w:p w14:paraId="51F7415B">
            <w:pPr>
              <w:adjustRightInd w:val="0"/>
              <w:spacing w:line="360" w:lineRule="auto"/>
              <w:textAlignment w:val="baseline"/>
              <w:rPr>
                <w:rFonts w:hint="eastAsia" w:ascii="Times New Roman" w:hAnsi="Times New Roman"/>
                <w:sz w:val="24"/>
                <w:szCs w:val="24"/>
              </w:rPr>
            </w:pPr>
            <w:r>
              <w:rPr>
                <w:rFonts w:hint="eastAsia" w:ascii="Times New Roman" w:hAnsi="Times New Roman"/>
                <w:sz w:val="24"/>
                <w:szCs w:val="24"/>
              </w:rPr>
              <w:t>法定代表人：</w:t>
            </w:r>
          </w:p>
          <w:p w14:paraId="75F995D2">
            <w:pPr>
              <w:adjustRightInd w:val="0"/>
              <w:spacing w:line="360" w:lineRule="auto"/>
              <w:textAlignment w:val="baseline"/>
              <w:rPr>
                <w:rFonts w:hint="eastAsia" w:ascii="Times New Roman" w:hAnsi="Times New Roman"/>
                <w:sz w:val="24"/>
                <w:szCs w:val="24"/>
              </w:rPr>
            </w:pPr>
          </w:p>
          <w:p w14:paraId="0CD0FB34">
            <w:pPr>
              <w:adjustRightInd w:val="0"/>
              <w:spacing w:line="360" w:lineRule="auto"/>
              <w:textAlignment w:val="baseline"/>
              <w:rPr>
                <w:rFonts w:hint="eastAsia" w:ascii="Times New Roman" w:hAnsi="Times New Roman"/>
                <w:sz w:val="24"/>
                <w:szCs w:val="24"/>
              </w:rPr>
            </w:pPr>
            <w:r>
              <w:rPr>
                <w:rFonts w:hint="eastAsia" w:ascii="Times New Roman" w:hAnsi="Times New Roman"/>
                <w:sz w:val="24"/>
                <w:szCs w:val="24"/>
              </w:rPr>
              <w:t>授权委托人：</w:t>
            </w:r>
          </w:p>
          <w:p w14:paraId="78324A29">
            <w:pPr>
              <w:pStyle w:val="23"/>
            </w:pPr>
          </w:p>
        </w:tc>
      </w:tr>
      <w:tr w14:paraId="01EB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top"/>
          </w:tcPr>
          <w:p w14:paraId="4178E2C5">
            <w:pPr>
              <w:adjustRightInd w:val="0"/>
              <w:spacing w:line="360" w:lineRule="auto"/>
              <w:textAlignment w:val="baseline"/>
              <w:rPr>
                <w:rFonts w:ascii="Times New Roman" w:hAnsi="Times New Roman"/>
                <w:sz w:val="24"/>
                <w:szCs w:val="24"/>
              </w:rPr>
            </w:pPr>
            <w:r>
              <w:rPr>
                <w:rFonts w:hint="eastAsia" w:ascii="Times New Roman" w:hAnsi="Times New Roman"/>
                <w:sz w:val="24"/>
                <w:szCs w:val="24"/>
              </w:rPr>
              <w:t xml:space="preserve">地  </w:t>
            </w:r>
            <w:r>
              <w:rPr>
                <w:rFonts w:hint="eastAsia" w:ascii="Times New Roman" w:hAnsi="Times New Roman"/>
                <w:sz w:val="24"/>
                <w:szCs w:val="24"/>
                <w:lang w:val="en-US" w:eastAsia="zh-CN"/>
              </w:rPr>
              <w:t xml:space="preserve">  </w:t>
            </w:r>
            <w:r>
              <w:rPr>
                <w:rFonts w:hint="eastAsia" w:ascii="Times New Roman" w:hAnsi="Times New Roman"/>
                <w:sz w:val="24"/>
                <w:szCs w:val="24"/>
              </w:rPr>
              <w:t>址：广州市中山二路106号</w:t>
            </w:r>
          </w:p>
        </w:tc>
        <w:tc>
          <w:tcPr>
            <w:tcW w:w="4148" w:type="dxa"/>
          </w:tcPr>
          <w:p w14:paraId="5F5B99FD">
            <w:pPr>
              <w:adjustRightInd w:val="0"/>
              <w:spacing w:line="360" w:lineRule="auto"/>
              <w:textAlignment w:val="baseline"/>
              <w:rPr>
                <w:rFonts w:ascii="Times New Roman" w:hAnsi="Times New Roman"/>
                <w:sz w:val="24"/>
                <w:szCs w:val="24"/>
              </w:rPr>
            </w:pPr>
            <w:r>
              <w:rPr>
                <w:rFonts w:ascii="Times New Roman" w:hAnsi="Times New Roman"/>
                <w:sz w:val="24"/>
                <w:szCs w:val="24"/>
              </w:rPr>
              <w:t xml:space="preserve">地  </w:t>
            </w:r>
            <w:r>
              <w:rPr>
                <w:rFonts w:hint="eastAsia" w:ascii="Times New Roman" w:hAnsi="Times New Roman"/>
                <w:sz w:val="24"/>
                <w:szCs w:val="24"/>
                <w:lang w:val="en-US" w:eastAsia="zh-CN"/>
              </w:rPr>
              <w:t xml:space="preserve">  </w:t>
            </w:r>
            <w:r>
              <w:rPr>
                <w:rFonts w:ascii="Times New Roman" w:hAnsi="Times New Roman"/>
                <w:sz w:val="24"/>
                <w:szCs w:val="24"/>
              </w:rPr>
              <w:t xml:space="preserve">址： </w:t>
            </w:r>
          </w:p>
        </w:tc>
      </w:tr>
      <w:tr w14:paraId="1B32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top"/>
          </w:tcPr>
          <w:p w14:paraId="053C2990">
            <w:pPr>
              <w:adjustRightInd w:val="0"/>
              <w:spacing w:line="360" w:lineRule="auto"/>
              <w:textAlignment w:val="baseline"/>
              <w:rPr>
                <w:rFonts w:ascii="Times New Roman" w:hAnsi="Times New Roman"/>
                <w:sz w:val="24"/>
                <w:szCs w:val="24"/>
              </w:rPr>
            </w:pPr>
            <w:r>
              <w:rPr>
                <w:rFonts w:hint="eastAsia" w:ascii="Times New Roman" w:hAnsi="Times New Roman"/>
                <w:sz w:val="24"/>
                <w:szCs w:val="24"/>
              </w:rPr>
              <w:t>开户银行：中国工商银行广州白云路支行</w:t>
            </w:r>
          </w:p>
        </w:tc>
        <w:tc>
          <w:tcPr>
            <w:tcW w:w="4148" w:type="dxa"/>
            <w:vAlign w:val="top"/>
          </w:tcPr>
          <w:p w14:paraId="654F44AC">
            <w:pPr>
              <w:adjustRightInd w:val="0"/>
              <w:spacing w:line="360" w:lineRule="auto"/>
              <w:textAlignment w:val="baseline"/>
              <w:rPr>
                <w:rFonts w:ascii="Times New Roman" w:hAnsi="Times New Roman"/>
                <w:sz w:val="24"/>
                <w:szCs w:val="24"/>
              </w:rPr>
            </w:pPr>
            <w:r>
              <w:rPr>
                <w:rFonts w:hint="eastAsia" w:ascii="Times New Roman" w:hAnsi="Times New Roman"/>
                <w:sz w:val="24"/>
                <w:szCs w:val="24"/>
              </w:rPr>
              <w:t>开户银行：</w:t>
            </w:r>
          </w:p>
        </w:tc>
      </w:tr>
      <w:tr w14:paraId="05C3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top"/>
          </w:tcPr>
          <w:p w14:paraId="001D6AFA">
            <w:pPr>
              <w:adjustRightInd w:val="0"/>
              <w:spacing w:line="360" w:lineRule="auto"/>
              <w:textAlignment w:val="baseline"/>
              <w:rPr>
                <w:rFonts w:ascii="Times New Roman" w:hAnsi="Times New Roman"/>
                <w:sz w:val="24"/>
                <w:szCs w:val="24"/>
              </w:rPr>
            </w:pPr>
            <w:r>
              <w:rPr>
                <w:rFonts w:hint="eastAsia" w:ascii="Times New Roman" w:hAnsi="Times New Roman"/>
                <w:sz w:val="24"/>
                <w:szCs w:val="24"/>
              </w:rPr>
              <w:t>帐    号：3602004409001385770</w:t>
            </w:r>
          </w:p>
        </w:tc>
        <w:tc>
          <w:tcPr>
            <w:tcW w:w="4148" w:type="dxa"/>
            <w:vAlign w:val="top"/>
          </w:tcPr>
          <w:p w14:paraId="27EA464F">
            <w:pPr>
              <w:adjustRightInd w:val="0"/>
              <w:spacing w:line="360" w:lineRule="auto"/>
              <w:textAlignment w:val="baseline"/>
              <w:rPr>
                <w:rFonts w:ascii="Times New Roman" w:hAnsi="Times New Roman"/>
                <w:sz w:val="24"/>
                <w:szCs w:val="24"/>
              </w:rPr>
            </w:pPr>
            <w:r>
              <w:rPr>
                <w:rFonts w:hint="eastAsia" w:ascii="Times New Roman" w:hAnsi="Times New Roman"/>
                <w:sz w:val="24"/>
                <w:szCs w:val="24"/>
              </w:rPr>
              <w:t>帐    号：</w:t>
            </w:r>
          </w:p>
        </w:tc>
      </w:tr>
      <w:tr w14:paraId="3EE6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top"/>
          </w:tcPr>
          <w:p w14:paraId="0EF726B7">
            <w:pPr>
              <w:adjustRightInd w:val="0"/>
              <w:spacing w:line="360" w:lineRule="auto"/>
              <w:textAlignment w:val="baseline"/>
              <w:rPr>
                <w:rFonts w:ascii="Times New Roman" w:hAnsi="Times New Roman"/>
                <w:sz w:val="24"/>
                <w:szCs w:val="24"/>
              </w:rPr>
            </w:pPr>
            <w:r>
              <w:rPr>
                <w:rFonts w:hint="eastAsia" w:ascii="Times New Roman" w:hAnsi="Times New Roman"/>
                <w:sz w:val="24"/>
                <w:szCs w:val="24"/>
              </w:rPr>
              <w:t>邮    编：510100</w:t>
            </w:r>
          </w:p>
        </w:tc>
        <w:tc>
          <w:tcPr>
            <w:tcW w:w="4148" w:type="dxa"/>
            <w:vAlign w:val="top"/>
          </w:tcPr>
          <w:p w14:paraId="4DAA1B13">
            <w:pPr>
              <w:adjustRightInd w:val="0"/>
              <w:spacing w:line="360" w:lineRule="auto"/>
              <w:textAlignment w:val="baseline"/>
              <w:rPr>
                <w:rFonts w:ascii="Times New Roman" w:hAnsi="Times New Roman"/>
                <w:sz w:val="24"/>
                <w:szCs w:val="24"/>
              </w:rPr>
            </w:pPr>
            <w:r>
              <w:rPr>
                <w:rFonts w:hint="eastAsia" w:ascii="Times New Roman" w:hAnsi="Times New Roman"/>
                <w:sz w:val="24"/>
                <w:szCs w:val="24"/>
              </w:rPr>
              <w:t>邮    编：</w:t>
            </w:r>
          </w:p>
        </w:tc>
      </w:tr>
      <w:tr w14:paraId="59CF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top"/>
          </w:tcPr>
          <w:p w14:paraId="38F45313">
            <w:pPr>
              <w:adjustRightInd w:val="0"/>
              <w:spacing w:line="360" w:lineRule="auto"/>
              <w:textAlignment w:val="baseline"/>
              <w:rPr>
                <w:rFonts w:ascii="Times New Roman" w:hAnsi="Times New Roman"/>
                <w:sz w:val="24"/>
                <w:szCs w:val="24"/>
              </w:rPr>
            </w:pPr>
            <w:r>
              <w:rPr>
                <w:rFonts w:hint="eastAsia" w:ascii="Times New Roman" w:hAnsi="Times New Roman"/>
                <w:sz w:val="24"/>
                <w:szCs w:val="24"/>
              </w:rPr>
              <w:t>电    话：020-83827812</w:t>
            </w:r>
          </w:p>
        </w:tc>
        <w:tc>
          <w:tcPr>
            <w:tcW w:w="4148" w:type="dxa"/>
            <w:vAlign w:val="top"/>
          </w:tcPr>
          <w:p w14:paraId="2DAFC152">
            <w:pPr>
              <w:adjustRightInd w:val="0"/>
              <w:spacing w:line="360" w:lineRule="auto"/>
              <w:textAlignment w:val="baseline"/>
              <w:rPr>
                <w:rFonts w:ascii="Times New Roman" w:hAnsi="Times New Roman"/>
                <w:sz w:val="24"/>
                <w:szCs w:val="24"/>
              </w:rPr>
            </w:pPr>
            <w:r>
              <w:rPr>
                <w:rFonts w:hint="eastAsia" w:ascii="Times New Roman" w:hAnsi="Times New Roman"/>
                <w:sz w:val="24"/>
                <w:szCs w:val="24"/>
              </w:rPr>
              <w:t>电    话：</w:t>
            </w:r>
          </w:p>
        </w:tc>
      </w:tr>
    </w:tbl>
    <w:p w14:paraId="65C4A02E">
      <w:pPr>
        <w:pStyle w:val="17"/>
        <w:spacing w:before="0" w:beforeAutospacing="0" w:after="0" w:afterAutospacing="0"/>
        <w:jc w:val="both"/>
        <w:rPr>
          <w:rFonts w:ascii="Times New Roman" w:hAnsi="Times New Roman" w:cs="Times New Roman"/>
          <w:sz w:val="22"/>
          <w:szCs w:val="22"/>
          <w:shd w:val="clear" w:color="auto" w:fill="FFFFFF"/>
        </w:rPr>
      </w:pPr>
    </w:p>
    <w:p w14:paraId="673D2F96">
      <w:pPr>
        <w:rPr>
          <w:rFonts w:ascii="Times New Roman" w:hAnsi="Times New Roman"/>
          <w:sz w:val="22"/>
          <w:shd w:val="clear" w:color="auto" w:fill="FFFFFF"/>
        </w:rPr>
      </w:pPr>
      <w:r>
        <w:rPr>
          <w:rFonts w:ascii="Times New Roman" w:hAnsi="Times New Roman"/>
          <w:sz w:val="22"/>
          <w:shd w:val="clear" w:color="auto" w:fill="FFFFFF"/>
        </w:rPr>
        <w:br w:type="page"/>
      </w:r>
    </w:p>
    <w:p w14:paraId="5DFAE101">
      <w:pPr>
        <w:spacing w:before="271" w:line="446" w:lineRule="exact"/>
        <w:ind w:left="3164"/>
        <w:rPr>
          <w:rFonts w:ascii="微软雅黑" w:hAnsi="微软雅黑" w:eastAsia="微软雅黑" w:cs="微软雅黑"/>
          <w:sz w:val="44"/>
          <w:szCs w:val="44"/>
        </w:rPr>
      </w:pPr>
      <w:r>
        <w:rPr>
          <w:rFonts w:ascii="微软雅黑" w:hAnsi="微软雅黑" w:eastAsia="微软雅黑" w:cs="微软雅黑"/>
          <w:spacing w:val="-3"/>
          <w:position w:val="-2"/>
          <w:sz w:val="44"/>
          <w:szCs w:val="44"/>
        </w:rPr>
        <w:t>廉洁协议书</w:t>
      </w:r>
    </w:p>
    <w:p w14:paraId="1FE328E2">
      <w:pPr>
        <w:spacing w:line="400" w:lineRule="auto"/>
        <w:rPr>
          <w:rFonts w:ascii="Arial"/>
          <w:sz w:val="21"/>
        </w:rPr>
      </w:pPr>
    </w:p>
    <w:p w14:paraId="79C0181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652" w:firstLineChars="200"/>
        <w:textAlignment w:val="baseline"/>
        <w:rPr>
          <w:rFonts w:hint="eastAsia" w:ascii="仿宋" w:hAnsi="仿宋" w:eastAsia="仿宋" w:cs="仿宋"/>
          <w:spacing w:val="3"/>
          <w:position w:val="23"/>
        </w:rPr>
      </w:pPr>
      <w:r>
        <w:rPr>
          <w:rFonts w:hint="eastAsia" w:ascii="仿宋" w:hAnsi="仿宋" w:eastAsia="仿宋" w:cs="仿宋"/>
          <w:spacing w:val="3"/>
          <w:position w:val="23"/>
        </w:rPr>
        <w:t>甲方：广东省人民医院</w:t>
      </w:r>
    </w:p>
    <w:p w14:paraId="2A708D2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652" w:firstLineChars="200"/>
        <w:textAlignment w:val="baseline"/>
        <w:rPr>
          <w:rFonts w:hint="eastAsia" w:cs="仿宋"/>
          <w:spacing w:val="3"/>
          <w:position w:val="23"/>
          <w:lang w:val="en-US" w:eastAsia="zh-CN"/>
        </w:rPr>
      </w:pPr>
      <w:r>
        <w:rPr>
          <w:rFonts w:hint="eastAsia" w:cs="仿宋"/>
          <w:spacing w:val="3"/>
          <w:position w:val="23"/>
          <w:lang w:val="en-US" w:eastAsia="zh-CN"/>
        </w:rPr>
        <w:t>乙方：</w:t>
      </w:r>
    </w:p>
    <w:p w14:paraId="0E0DE6E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652" w:firstLineChars="200"/>
        <w:textAlignment w:val="baseline"/>
        <w:rPr>
          <w:rFonts w:hint="eastAsia" w:cs="仿宋"/>
          <w:spacing w:val="3"/>
          <w:position w:val="23"/>
          <w:lang w:val="en-US" w:eastAsia="zh-CN"/>
        </w:rPr>
      </w:pPr>
    </w:p>
    <w:p w14:paraId="7167993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为加强医药领域廉洁风险防控，根据《关于加强公立医疗机构廉洁风险防控的指导意见》《医疗机构工作人员廉洁从业九项准则》《纠正医药购销领域和医疗服务中不正之风工作要点》等有关法律法规，在公开、平等、自愿的原则下，经甲乙双方共同协商，就事宜（项目），达成廉洁协议如下：</w:t>
      </w:r>
    </w:p>
    <w:p w14:paraId="41C5C75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一、甲乙双方的共同责任</w:t>
      </w:r>
    </w:p>
    <w:p w14:paraId="1769A7C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1.严格遵守国家的法律法规及廉政建设有关规定。</w:t>
      </w:r>
    </w:p>
    <w:p w14:paraId="71C6592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2.共同营造廉洁、诚信、公平、公正的业务交往环境。</w:t>
      </w:r>
    </w:p>
    <w:p w14:paraId="4523C6A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3.加强对本单位有关人员的管理和教育，自觉抵制违反廉洁规定的行为。</w:t>
      </w:r>
    </w:p>
    <w:p w14:paraId="0FC521B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二、甲方及其人员的责任</w:t>
      </w:r>
    </w:p>
    <w:p w14:paraId="1138282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1.应向乙方介绍本单位有关廉洁管理的各项制度和规定。</w:t>
      </w:r>
    </w:p>
    <w:p w14:paraId="16FADC3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2.应当保持与乙方的正常业务交往。</w:t>
      </w:r>
    </w:p>
    <w:p w14:paraId="22CF791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3.不得以任何形式向乙方索取、收受回扣，不得接受乙方的礼金、有价证券和礼品，不得在乙方报销任何应由个人支付的费用。4.不得参加乙方组织的宴请、旅游、娱乐活动。</w:t>
      </w:r>
    </w:p>
    <w:p w14:paraId="7526441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5.不得要求或接受乙方为其住宅装修、婚丧嫁娶、家属和子女的工作安排以及出国等提供方便。</w:t>
      </w:r>
    </w:p>
    <w:p w14:paraId="4BD46CC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6.甲方工作人员不得向乙方介绍家属或者亲友从事</w:t>
      </w:r>
      <w:r>
        <w:rPr>
          <w:rFonts w:hint="eastAsia" w:ascii="仿宋" w:hAnsi="仿宋" w:eastAsia="仿宋" w:cs="仿宋"/>
          <w:spacing w:val="-1"/>
        </w:rPr>
        <w:tab/>
      </w:r>
      <w:r>
        <w:rPr>
          <w:rFonts w:hint="eastAsia" w:ascii="仿宋" w:hAnsi="仿宋" w:eastAsia="仿宋" w:cs="仿宋"/>
          <w:spacing w:val="-1"/>
        </w:rPr>
        <w:t>项目相关的经济活动。</w:t>
      </w:r>
    </w:p>
    <w:p w14:paraId="16E27BD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7.不得在乙方及其相关单位投资入股，不得向乙方单位及人员借款或委托买卖股票、债券等。</w:t>
      </w:r>
    </w:p>
    <w:p w14:paraId="2C72BD2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8.不得在乙方或乙方相关单位兼职和领取兼职工资及报酬；不得利用双方的商业秘密谋取个人私利。</w:t>
      </w:r>
    </w:p>
    <w:p w14:paraId="028ECCD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9.不得利用职权和工作之便向乙方提出上述各项事项之外其它违背党规党纪、国家法律法规和本院廉洁自律有关规定的事项或要求。</w:t>
      </w:r>
    </w:p>
    <w:p w14:paraId="1207D2C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三、乙方及其人员的责任</w:t>
      </w:r>
    </w:p>
    <w:p w14:paraId="2A2025E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1.不得以任何形式向甲方及其人员提供礼金、有价证券和礼品、贵重物品等，不得为甲方及其人员报销应由甲方或甲方个人支付的费用。</w:t>
      </w:r>
    </w:p>
    <w:p w14:paraId="43A8295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2.不得为甲方及其人员在乙方投资入股、个人借款等提供方便。</w:t>
      </w:r>
    </w:p>
    <w:p w14:paraId="4F9E8AB7">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3.不得为甲方及其人员购买或装修住房，为婚丧嫁娶、配偶和子女工作安排或上学等提供方便。</w:t>
      </w:r>
    </w:p>
    <w:p w14:paraId="26708DF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4.不得为甲方及其人员安排宴请以及旅游、健身、娱乐等活动。</w:t>
      </w:r>
    </w:p>
    <w:p w14:paraId="63397CF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5.不得为甲方及其人员的配偶、子女及其它亲属谋取不正当利益提供方便。</w:t>
      </w:r>
    </w:p>
    <w:p w14:paraId="7310F85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6.不得安排甲方人员在乙方或乙方相关企业兼职和领取兼职工资及报酬；不得向甲方人员打探有关涉及甲方的商业秘密。</w:t>
      </w:r>
    </w:p>
    <w:p w14:paraId="47385B5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7.如乙方有知悉或怀疑甲方员工有违反上述规定的，应向甲方纪检部门反映。</w:t>
      </w:r>
    </w:p>
    <w:p w14:paraId="3BE3DB4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8.甲方对涉嫌与甲方有关的不廉洁行为进行调查时，乙方有配合甲方提供证据、作证的义务。</w:t>
      </w:r>
    </w:p>
    <w:p w14:paraId="7E7323F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9.本协议生效期间，保证与甲方对本业务负有领导、监督、管理职责的工作人员及其他相关业务人员不存在需回避的直系及旁系等亲属关系及其他利害关系。</w:t>
      </w:r>
    </w:p>
    <w:p w14:paraId="71EA32B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10.其他（本业务的特殊廉洁风险点）：</w:t>
      </w:r>
    </w:p>
    <w:p w14:paraId="35B44E4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四、违约责任</w:t>
      </w:r>
    </w:p>
    <w:p w14:paraId="0AF459A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1.甲方及其工作人员违反本协议规定的，按管理权限，依据有关规定给予党纪、政务处分或组织处理；涉嫌违法犯罪的，移交司法机关追究法律责任；给乙方单位造成经济损失的，应给予赔偿。</w:t>
      </w:r>
    </w:p>
    <w:p w14:paraId="793A440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2.乙方及其工作人员违反本协议规定的，甲方有权单方解除业务合同，要求乙方支付业务合同总价款20%的违约金。</w:t>
      </w:r>
    </w:p>
    <w:p w14:paraId="1D3BF53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五、协议书生效及法律效力</w:t>
      </w:r>
    </w:p>
    <w:p w14:paraId="4340D6C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本协议作为业务合同的附件，与合同具有同等效力，经双方签署后生效；如双方未签订合同，本协议独立有效。甲乙双方及其人员在合同履行完毕后，发现在合同执行期间有违反本协议规定的行为，仍按本协议规定处理。</w:t>
      </w:r>
    </w:p>
    <w:p w14:paraId="378DD8E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六、本协议争议解决方式</w:t>
      </w:r>
    </w:p>
    <w:p w14:paraId="418A72D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本协议产生的争议，由双方协商解决；协商不成的，向广州市仲裁委申请仲裁。</w:t>
      </w:r>
    </w:p>
    <w:p w14:paraId="48A54C3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七、协议书的份数</w:t>
      </w:r>
    </w:p>
    <w:p w14:paraId="723B7AA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本协议书一式</w:t>
      </w:r>
      <w:r>
        <w:rPr>
          <w:rFonts w:hint="eastAsia" w:cs="仿宋"/>
          <w:spacing w:val="-1"/>
          <w:u w:val="single"/>
          <w:lang w:val="en-US" w:eastAsia="zh-CN"/>
        </w:rPr>
        <w:t>肆</w:t>
      </w:r>
      <w:r>
        <w:rPr>
          <w:rFonts w:hint="eastAsia" w:ascii="仿宋" w:hAnsi="仿宋" w:eastAsia="仿宋" w:cs="仿宋"/>
          <w:spacing w:val="-1"/>
        </w:rPr>
        <w:t>份，甲方执</w:t>
      </w:r>
      <w:r>
        <w:rPr>
          <w:rFonts w:hint="eastAsia" w:cs="仿宋"/>
          <w:spacing w:val="-1"/>
          <w:u w:val="single"/>
          <w:lang w:val="en-US" w:eastAsia="zh-CN"/>
        </w:rPr>
        <w:t>贰</w:t>
      </w:r>
      <w:r>
        <w:rPr>
          <w:rFonts w:hint="eastAsia" w:ascii="仿宋" w:hAnsi="仿宋" w:eastAsia="仿宋" w:cs="仿宋"/>
          <w:spacing w:val="-1"/>
        </w:rPr>
        <w:t>份，乙方执</w:t>
      </w:r>
      <w:r>
        <w:rPr>
          <w:rFonts w:hint="eastAsia" w:cs="仿宋"/>
          <w:spacing w:val="-1"/>
          <w:u w:val="single"/>
          <w:lang w:val="en-US" w:eastAsia="zh-CN"/>
        </w:rPr>
        <w:t>贰</w:t>
      </w:r>
      <w:r>
        <w:rPr>
          <w:rFonts w:hint="eastAsia" w:ascii="仿宋" w:hAnsi="仿宋" w:eastAsia="仿宋" w:cs="仿宋"/>
          <w:spacing w:val="-1"/>
        </w:rPr>
        <w:t>份，具有同等效力。</w:t>
      </w:r>
    </w:p>
    <w:p w14:paraId="5568439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p>
    <w:p w14:paraId="7F736F5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p>
    <w:p w14:paraId="225DE99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甲方（盖章）</w:t>
      </w:r>
      <w:r>
        <w:rPr>
          <w:rFonts w:hint="eastAsia" w:cs="仿宋"/>
          <w:spacing w:val="-1"/>
          <w:lang w:val="en-US" w:eastAsia="zh-CN"/>
        </w:rPr>
        <w:t xml:space="preserve">                     </w:t>
      </w:r>
      <w:r>
        <w:rPr>
          <w:rFonts w:hint="eastAsia" w:ascii="仿宋" w:hAnsi="仿宋" w:eastAsia="仿宋" w:cs="仿宋"/>
          <w:spacing w:val="-1"/>
        </w:rPr>
        <w:t>乙方（盖章）</w:t>
      </w:r>
    </w:p>
    <w:p w14:paraId="447A9E0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p>
    <w:p w14:paraId="74A7AA5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法定代表人（或授权人）</w:t>
      </w:r>
      <w:r>
        <w:rPr>
          <w:rFonts w:hint="eastAsia" w:cs="仿宋"/>
          <w:spacing w:val="-1"/>
          <w:lang w:val="en-US" w:eastAsia="zh-CN"/>
        </w:rPr>
        <w:t xml:space="preserve">    </w:t>
      </w:r>
      <w:r>
        <w:rPr>
          <w:rFonts w:hint="eastAsia" w:ascii="仿宋" w:hAnsi="仿宋" w:eastAsia="仿宋" w:cs="仿宋"/>
          <w:spacing w:val="-1"/>
        </w:rPr>
        <w:t>法定代表人（或授权人）</w:t>
      </w:r>
    </w:p>
    <w:p w14:paraId="110F0F9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p>
    <w:p w14:paraId="2DAA0625">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日期：</w:t>
      </w:r>
      <w:r>
        <w:rPr>
          <w:rFonts w:hint="eastAsia" w:cs="仿宋"/>
          <w:spacing w:val="-1"/>
          <w:lang w:val="en-US" w:eastAsia="zh-CN"/>
        </w:rPr>
        <w:t xml:space="preserve">                           </w:t>
      </w:r>
      <w:r>
        <w:rPr>
          <w:rFonts w:hint="eastAsia" w:ascii="仿宋" w:hAnsi="仿宋" w:eastAsia="仿宋" w:cs="仿宋"/>
          <w:spacing w:val="-1"/>
        </w:rPr>
        <w:t>日期：</w:t>
      </w:r>
    </w:p>
    <w:p w14:paraId="5598E820">
      <w:pPr>
        <w:pStyle w:val="6"/>
        <w:rPr>
          <w:rFonts w:hint="eastAsia" w:eastAsia="宋体"/>
          <w:lang w:eastAsia="zh-CN"/>
        </w:rPr>
      </w:pPr>
    </w:p>
    <w:p w14:paraId="31266F82">
      <w:pPr>
        <w:spacing w:line="360" w:lineRule="auto"/>
        <w:ind w:firstLine="480" w:firstLineChars="200"/>
        <w:rPr>
          <w:rFonts w:ascii="Times New Roman" w:hAnsi="Times New Roman"/>
          <w:sz w:val="24"/>
        </w:rPr>
      </w:pPr>
    </w:p>
    <w:sectPr>
      <w:footerReference r:id="rId3" w:type="default"/>
      <w:pgSz w:w="11906" w:h="16838"/>
      <w:pgMar w:top="1440" w:right="1587" w:bottom="1440"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8E83F">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FD7AD">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D5FD7AD">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342453"/>
    <w:multiLevelType w:val="multilevel"/>
    <w:tmpl w:val="27342453"/>
    <w:lvl w:ilvl="0" w:tentative="0">
      <w:start w:val="1"/>
      <w:numFmt w:val="japaneseCounting"/>
      <w:lvlText w:val="第%1条"/>
      <w:lvlJc w:val="left"/>
      <w:pPr>
        <w:ind w:left="510" w:hanging="510"/>
      </w:pPr>
      <w:rPr>
        <w:rFonts w:hint="default"/>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y">
    <w15:presenceInfo w15:providerId="WPS Office" w15:userId="142157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yMzY5OGVjMzU4M2ZjMmU4OGFmNGUyMTljYmYwNWQifQ=="/>
  </w:docVars>
  <w:rsids>
    <w:rsidRoot w:val="627B514A"/>
    <w:rsid w:val="00055C9D"/>
    <w:rsid w:val="00083957"/>
    <w:rsid w:val="000855C3"/>
    <w:rsid w:val="000A57CC"/>
    <w:rsid w:val="000D26BE"/>
    <w:rsid w:val="000F7E85"/>
    <w:rsid w:val="00103B4F"/>
    <w:rsid w:val="0010477B"/>
    <w:rsid w:val="00113BA4"/>
    <w:rsid w:val="00125E0C"/>
    <w:rsid w:val="00197984"/>
    <w:rsid w:val="001A16A6"/>
    <w:rsid w:val="001B3D43"/>
    <w:rsid w:val="00204A48"/>
    <w:rsid w:val="00210CDC"/>
    <w:rsid w:val="00216038"/>
    <w:rsid w:val="00240BD9"/>
    <w:rsid w:val="00243E3F"/>
    <w:rsid w:val="00253234"/>
    <w:rsid w:val="002657AB"/>
    <w:rsid w:val="002A3D47"/>
    <w:rsid w:val="002A65E2"/>
    <w:rsid w:val="002B773E"/>
    <w:rsid w:val="002C301A"/>
    <w:rsid w:val="002F5034"/>
    <w:rsid w:val="00301D64"/>
    <w:rsid w:val="00315E56"/>
    <w:rsid w:val="00332F6C"/>
    <w:rsid w:val="003637C8"/>
    <w:rsid w:val="00371815"/>
    <w:rsid w:val="0037468D"/>
    <w:rsid w:val="003D00D7"/>
    <w:rsid w:val="003D7081"/>
    <w:rsid w:val="00407BE8"/>
    <w:rsid w:val="00410BAB"/>
    <w:rsid w:val="004137B5"/>
    <w:rsid w:val="004210A8"/>
    <w:rsid w:val="00433C8D"/>
    <w:rsid w:val="00434F10"/>
    <w:rsid w:val="00443D5E"/>
    <w:rsid w:val="00451A20"/>
    <w:rsid w:val="0048426B"/>
    <w:rsid w:val="00485368"/>
    <w:rsid w:val="004A43CF"/>
    <w:rsid w:val="004E5B7A"/>
    <w:rsid w:val="004E7552"/>
    <w:rsid w:val="004F0B2B"/>
    <w:rsid w:val="005146F8"/>
    <w:rsid w:val="005253E8"/>
    <w:rsid w:val="005323AD"/>
    <w:rsid w:val="0056283D"/>
    <w:rsid w:val="005651B9"/>
    <w:rsid w:val="005C7C81"/>
    <w:rsid w:val="005E066C"/>
    <w:rsid w:val="005E0718"/>
    <w:rsid w:val="005F24C8"/>
    <w:rsid w:val="00613397"/>
    <w:rsid w:val="00641D55"/>
    <w:rsid w:val="00656B6C"/>
    <w:rsid w:val="00663B4B"/>
    <w:rsid w:val="00663BC1"/>
    <w:rsid w:val="00666934"/>
    <w:rsid w:val="00692BB5"/>
    <w:rsid w:val="006D32E5"/>
    <w:rsid w:val="006E4C35"/>
    <w:rsid w:val="006F26FD"/>
    <w:rsid w:val="0073070D"/>
    <w:rsid w:val="007308F1"/>
    <w:rsid w:val="00733DD7"/>
    <w:rsid w:val="00796759"/>
    <w:rsid w:val="007A1E3B"/>
    <w:rsid w:val="007A2E96"/>
    <w:rsid w:val="007D6E69"/>
    <w:rsid w:val="007E0839"/>
    <w:rsid w:val="007F70AD"/>
    <w:rsid w:val="00806F13"/>
    <w:rsid w:val="00841EA4"/>
    <w:rsid w:val="0085774A"/>
    <w:rsid w:val="00886D68"/>
    <w:rsid w:val="008929F2"/>
    <w:rsid w:val="008B20E3"/>
    <w:rsid w:val="008C2953"/>
    <w:rsid w:val="008C60B3"/>
    <w:rsid w:val="008D1F7A"/>
    <w:rsid w:val="00911DBE"/>
    <w:rsid w:val="009343BD"/>
    <w:rsid w:val="00957DF0"/>
    <w:rsid w:val="00965D54"/>
    <w:rsid w:val="00966869"/>
    <w:rsid w:val="00967CE1"/>
    <w:rsid w:val="00980BAB"/>
    <w:rsid w:val="009F2D9E"/>
    <w:rsid w:val="009F6BF0"/>
    <w:rsid w:val="00A047D6"/>
    <w:rsid w:val="00A11DFF"/>
    <w:rsid w:val="00A32345"/>
    <w:rsid w:val="00A354A2"/>
    <w:rsid w:val="00A3774E"/>
    <w:rsid w:val="00A37EC2"/>
    <w:rsid w:val="00A41C5C"/>
    <w:rsid w:val="00A47C38"/>
    <w:rsid w:val="00A90666"/>
    <w:rsid w:val="00AA147D"/>
    <w:rsid w:val="00AF333D"/>
    <w:rsid w:val="00B032B3"/>
    <w:rsid w:val="00B1722C"/>
    <w:rsid w:val="00B4089F"/>
    <w:rsid w:val="00B6037C"/>
    <w:rsid w:val="00B7398B"/>
    <w:rsid w:val="00BA56FC"/>
    <w:rsid w:val="00BA5F13"/>
    <w:rsid w:val="00BB2B9A"/>
    <w:rsid w:val="00BC1DD0"/>
    <w:rsid w:val="00BE36AF"/>
    <w:rsid w:val="00C03FEB"/>
    <w:rsid w:val="00C05AE6"/>
    <w:rsid w:val="00C610A8"/>
    <w:rsid w:val="00C61589"/>
    <w:rsid w:val="00C668BA"/>
    <w:rsid w:val="00C67231"/>
    <w:rsid w:val="00C84074"/>
    <w:rsid w:val="00CA789A"/>
    <w:rsid w:val="00CD2933"/>
    <w:rsid w:val="00CF0300"/>
    <w:rsid w:val="00CF0EB4"/>
    <w:rsid w:val="00CF677E"/>
    <w:rsid w:val="00CF6A5B"/>
    <w:rsid w:val="00CF7359"/>
    <w:rsid w:val="00D044FE"/>
    <w:rsid w:val="00D13BBD"/>
    <w:rsid w:val="00D83AC4"/>
    <w:rsid w:val="00DB3061"/>
    <w:rsid w:val="00DB56A5"/>
    <w:rsid w:val="00DC5893"/>
    <w:rsid w:val="00E0357C"/>
    <w:rsid w:val="00E45D47"/>
    <w:rsid w:val="00E66E1D"/>
    <w:rsid w:val="00E81830"/>
    <w:rsid w:val="00EA2D62"/>
    <w:rsid w:val="00EA777E"/>
    <w:rsid w:val="00EB0AE4"/>
    <w:rsid w:val="00EC011C"/>
    <w:rsid w:val="00EC1B00"/>
    <w:rsid w:val="00EC7B91"/>
    <w:rsid w:val="00EE1D4B"/>
    <w:rsid w:val="00EE23C2"/>
    <w:rsid w:val="00F42A83"/>
    <w:rsid w:val="00F55E7B"/>
    <w:rsid w:val="00F71594"/>
    <w:rsid w:val="00F84F4B"/>
    <w:rsid w:val="00FA02C9"/>
    <w:rsid w:val="00FF7B9F"/>
    <w:rsid w:val="01C025F7"/>
    <w:rsid w:val="02023B0B"/>
    <w:rsid w:val="020C11B6"/>
    <w:rsid w:val="025263E9"/>
    <w:rsid w:val="026B3BB4"/>
    <w:rsid w:val="02E23D40"/>
    <w:rsid w:val="02FC0E41"/>
    <w:rsid w:val="03135EA4"/>
    <w:rsid w:val="031E5534"/>
    <w:rsid w:val="0352438D"/>
    <w:rsid w:val="035F7A6E"/>
    <w:rsid w:val="038F01CA"/>
    <w:rsid w:val="039A2127"/>
    <w:rsid w:val="03A7009F"/>
    <w:rsid w:val="03CA301D"/>
    <w:rsid w:val="03CF1F49"/>
    <w:rsid w:val="04242F8F"/>
    <w:rsid w:val="0461624F"/>
    <w:rsid w:val="04787D05"/>
    <w:rsid w:val="049E2C49"/>
    <w:rsid w:val="05404C1F"/>
    <w:rsid w:val="05506696"/>
    <w:rsid w:val="05EE121E"/>
    <w:rsid w:val="061E4834"/>
    <w:rsid w:val="062D64A9"/>
    <w:rsid w:val="067E16C6"/>
    <w:rsid w:val="06E74DC8"/>
    <w:rsid w:val="07173D21"/>
    <w:rsid w:val="077C7A64"/>
    <w:rsid w:val="07BA37D4"/>
    <w:rsid w:val="085D0BF5"/>
    <w:rsid w:val="088F5575"/>
    <w:rsid w:val="08BF646D"/>
    <w:rsid w:val="091F3B4A"/>
    <w:rsid w:val="093C732F"/>
    <w:rsid w:val="09461083"/>
    <w:rsid w:val="09461712"/>
    <w:rsid w:val="095852CB"/>
    <w:rsid w:val="0A0E618E"/>
    <w:rsid w:val="0A8B3EF8"/>
    <w:rsid w:val="0AC12770"/>
    <w:rsid w:val="0AEA7555"/>
    <w:rsid w:val="0AEE0C79"/>
    <w:rsid w:val="0B24481C"/>
    <w:rsid w:val="0B3C404C"/>
    <w:rsid w:val="0B705C84"/>
    <w:rsid w:val="0B8057F0"/>
    <w:rsid w:val="0BC92C55"/>
    <w:rsid w:val="0C440D48"/>
    <w:rsid w:val="0C621F6A"/>
    <w:rsid w:val="0C7E4808"/>
    <w:rsid w:val="0CBD4239"/>
    <w:rsid w:val="0CEF3A6B"/>
    <w:rsid w:val="0CF40BFF"/>
    <w:rsid w:val="0D226ABA"/>
    <w:rsid w:val="0D6A533A"/>
    <w:rsid w:val="0D8B382B"/>
    <w:rsid w:val="0D910C60"/>
    <w:rsid w:val="0D9C7564"/>
    <w:rsid w:val="0DBC56D6"/>
    <w:rsid w:val="0DD440B2"/>
    <w:rsid w:val="0E953772"/>
    <w:rsid w:val="0E9D18A0"/>
    <w:rsid w:val="0EAB004A"/>
    <w:rsid w:val="0EBD15A7"/>
    <w:rsid w:val="0ED31CB3"/>
    <w:rsid w:val="0F2033CB"/>
    <w:rsid w:val="0F45293E"/>
    <w:rsid w:val="0F620D66"/>
    <w:rsid w:val="0F651E25"/>
    <w:rsid w:val="0F9408B6"/>
    <w:rsid w:val="0FC53975"/>
    <w:rsid w:val="0FCA71BD"/>
    <w:rsid w:val="0FF11AFC"/>
    <w:rsid w:val="103376FE"/>
    <w:rsid w:val="10BE33AD"/>
    <w:rsid w:val="10F4187C"/>
    <w:rsid w:val="112C4160"/>
    <w:rsid w:val="113D1C97"/>
    <w:rsid w:val="11473969"/>
    <w:rsid w:val="11844658"/>
    <w:rsid w:val="11AB1E5B"/>
    <w:rsid w:val="11AE4D28"/>
    <w:rsid w:val="122D0321"/>
    <w:rsid w:val="123947DD"/>
    <w:rsid w:val="123D7A7E"/>
    <w:rsid w:val="125C77E3"/>
    <w:rsid w:val="12982B5E"/>
    <w:rsid w:val="12B845E2"/>
    <w:rsid w:val="13344893"/>
    <w:rsid w:val="13357D7D"/>
    <w:rsid w:val="137F7791"/>
    <w:rsid w:val="13A3394C"/>
    <w:rsid w:val="13A73558"/>
    <w:rsid w:val="13FF0E55"/>
    <w:rsid w:val="14100781"/>
    <w:rsid w:val="142418E9"/>
    <w:rsid w:val="142B6A24"/>
    <w:rsid w:val="14A77E9C"/>
    <w:rsid w:val="150C0076"/>
    <w:rsid w:val="153F10A8"/>
    <w:rsid w:val="15466EC7"/>
    <w:rsid w:val="155838AE"/>
    <w:rsid w:val="155F41A9"/>
    <w:rsid w:val="156371C3"/>
    <w:rsid w:val="15C20094"/>
    <w:rsid w:val="160F1A16"/>
    <w:rsid w:val="16252EC4"/>
    <w:rsid w:val="163F6D54"/>
    <w:rsid w:val="16480F4A"/>
    <w:rsid w:val="165B64DD"/>
    <w:rsid w:val="168104FC"/>
    <w:rsid w:val="1682534E"/>
    <w:rsid w:val="16D1518C"/>
    <w:rsid w:val="16DD6494"/>
    <w:rsid w:val="173252CC"/>
    <w:rsid w:val="174F1922"/>
    <w:rsid w:val="17631C89"/>
    <w:rsid w:val="17AF7690"/>
    <w:rsid w:val="17C843F7"/>
    <w:rsid w:val="18174D91"/>
    <w:rsid w:val="182B481D"/>
    <w:rsid w:val="18B96776"/>
    <w:rsid w:val="190F435F"/>
    <w:rsid w:val="191D48BC"/>
    <w:rsid w:val="192D14CE"/>
    <w:rsid w:val="192D5FB0"/>
    <w:rsid w:val="193121C6"/>
    <w:rsid w:val="19500972"/>
    <w:rsid w:val="195B2E3E"/>
    <w:rsid w:val="1967449A"/>
    <w:rsid w:val="19C02884"/>
    <w:rsid w:val="19DD5137"/>
    <w:rsid w:val="19E7635A"/>
    <w:rsid w:val="19FD55A4"/>
    <w:rsid w:val="1A4C7CAD"/>
    <w:rsid w:val="1A7226B6"/>
    <w:rsid w:val="1AA0566E"/>
    <w:rsid w:val="1AE6127C"/>
    <w:rsid w:val="1B4544C7"/>
    <w:rsid w:val="1B7949D0"/>
    <w:rsid w:val="1BC66C29"/>
    <w:rsid w:val="1C05537E"/>
    <w:rsid w:val="1C280A6A"/>
    <w:rsid w:val="1CBF3686"/>
    <w:rsid w:val="1CE11FE2"/>
    <w:rsid w:val="1D62771E"/>
    <w:rsid w:val="1D852864"/>
    <w:rsid w:val="1D97211B"/>
    <w:rsid w:val="1DB02442"/>
    <w:rsid w:val="1E244567"/>
    <w:rsid w:val="1EDE4A76"/>
    <w:rsid w:val="1F1B35B9"/>
    <w:rsid w:val="1F5D5AED"/>
    <w:rsid w:val="1F7301A5"/>
    <w:rsid w:val="1FE13389"/>
    <w:rsid w:val="201721F5"/>
    <w:rsid w:val="2022193A"/>
    <w:rsid w:val="20587ABB"/>
    <w:rsid w:val="20722A40"/>
    <w:rsid w:val="208447F0"/>
    <w:rsid w:val="20D813C4"/>
    <w:rsid w:val="20F74A80"/>
    <w:rsid w:val="213A5A45"/>
    <w:rsid w:val="21784B14"/>
    <w:rsid w:val="2189435F"/>
    <w:rsid w:val="218F7B5D"/>
    <w:rsid w:val="21BD73AA"/>
    <w:rsid w:val="21E90B1B"/>
    <w:rsid w:val="22087C6F"/>
    <w:rsid w:val="22427726"/>
    <w:rsid w:val="225844BF"/>
    <w:rsid w:val="22866796"/>
    <w:rsid w:val="22903CCB"/>
    <w:rsid w:val="230E6DA1"/>
    <w:rsid w:val="23673C8C"/>
    <w:rsid w:val="23834D08"/>
    <w:rsid w:val="23AC4052"/>
    <w:rsid w:val="23B31067"/>
    <w:rsid w:val="23C2658F"/>
    <w:rsid w:val="23CA45DB"/>
    <w:rsid w:val="24123566"/>
    <w:rsid w:val="2486485D"/>
    <w:rsid w:val="24CC00AE"/>
    <w:rsid w:val="24EC6507"/>
    <w:rsid w:val="24F6287E"/>
    <w:rsid w:val="251D458D"/>
    <w:rsid w:val="25B01AD5"/>
    <w:rsid w:val="25CA1E2A"/>
    <w:rsid w:val="25DA61E5"/>
    <w:rsid w:val="261F0910"/>
    <w:rsid w:val="262079C8"/>
    <w:rsid w:val="262B6CB9"/>
    <w:rsid w:val="26C412B6"/>
    <w:rsid w:val="26D81421"/>
    <w:rsid w:val="2729727B"/>
    <w:rsid w:val="272E5954"/>
    <w:rsid w:val="277447D5"/>
    <w:rsid w:val="27751081"/>
    <w:rsid w:val="278232A1"/>
    <w:rsid w:val="27B528E7"/>
    <w:rsid w:val="28121E19"/>
    <w:rsid w:val="28274495"/>
    <w:rsid w:val="288D6ADC"/>
    <w:rsid w:val="28AA0815"/>
    <w:rsid w:val="29050F36"/>
    <w:rsid w:val="293209EF"/>
    <w:rsid w:val="29327D87"/>
    <w:rsid w:val="29AA2726"/>
    <w:rsid w:val="29AF4C03"/>
    <w:rsid w:val="29BE79EF"/>
    <w:rsid w:val="29C43700"/>
    <w:rsid w:val="29C95945"/>
    <w:rsid w:val="29CF6002"/>
    <w:rsid w:val="29F42B3C"/>
    <w:rsid w:val="2A111E36"/>
    <w:rsid w:val="2A14445B"/>
    <w:rsid w:val="2A1777C2"/>
    <w:rsid w:val="2A44440E"/>
    <w:rsid w:val="2AA9790A"/>
    <w:rsid w:val="2B282A32"/>
    <w:rsid w:val="2B2F08F9"/>
    <w:rsid w:val="2B451CDF"/>
    <w:rsid w:val="2B5F064A"/>
    <w:rsid w:val="2B7B762E"/>
    <w:rsid w:val="2C6F3F27"/>
    <w:rsid w:val="2C8E5424"/>
    <w:rsid w:val="2C8F634D"/>
    <w:rsid w:val="2CA3795A"/>
    <w:rsid w:val="2CC52B9F"/>
    <w:rsid w:val="2CD957CA"/>
    <w:rsid w:val="2CE93D95"/>
    <w:rsid w:val="2D0E70F5"/>
    <w:rsid w:val="2D170966"/>
    <w:rsid w:val="2D34476D"/>
    <w:rsid w:val="2D4B5A24"/>
    <w:rsid w:val="2D592226"/>
    <w:rsid w:val="2D72469D"/>
    <w:rsid w:val="2E64760F"/>
    <w:rsid w:val="2EA971CB"/>
    <w:rsid w:val="2ECC5F08"/>
    <w:rsid w:val="2F0926A9"/>
    <w:rsid w:val="2F0F49FC"/>
    <w:rsid w:val="2FC647D1"/>
    <w:rsid w:val="304725AD"/>
    <w:rsid w:val="304D2B45"/>
    <w:rsid w:val="30610DAE"/>
    <w:rsid w:val="309E472B"/>
    <w:rsid w:val="30A03CFE"/>
    <w:rsid w:val="30A9227F"/>
    <w:rsid w:val="30D6691F"/>
    <w:rsid w:val="30E2570B"/>
    <w:rsid w:val="30E36C9C"/>
    <w:rsid w:val="30EA7247"/>
    <w:rsid w:val="30F23A80"/>
    <w:rsid w:val="30FC2BC6"/>
    <w:rsid w:val="3126370E"/>
    <w:rsid w:val="312C4EE2"/>
    <w:rsid w:val="31324BB5"/>
    <w:rsid w:val="313E19F9"/>
    <w:rsid w:val="314F77B3"/>
    <w:rsid w:val="315326A5"/>
    <w:rsid w:val="31B92EF6"/>
    <w:rsid w:val="31BC72E8"/>
    <w:rsid w:val="32EB2201"/>
    <w:rsid w:val="32F4573C"/>
    <w:rsid w:val="33551156"/>
    <w:rsid w:val="3359469F"/>
    <w:rsid w:val="336D40CF"/>
    <w:rsid w:val="338203CF"/>
    <w:rsid w:val="33DC7718"/>
    <w:rsid w:val="342100B5"/>
    <w:rsid w:val="342659E0"/>
    <w:rsid w:val="3458157B"/>
    <w:rsid w:val="34B70C73"/>
    <w:rsid w:val="34C172DC"/>
    <w:rsid w:val="34CE1A38"/>
    <w:rsid w:val="350720B6"/>
    <w:rsid w:val="35347051"/>
    <w:rsid w:val="353C5C05"/>
    <w:rsid w:val="3546186C"/>
    <w:rsid w:val="35E21183"/>
    <w:rsid w:val="35F068E8"/>
    <w:rsid w:val="36036A29"/>
    <w:rsid w:val="370F7BA9"/>
    <w:rsid w:val="376812F3"/>
    <w:rsid w:val="379C5C0A"/>
    <w:rsid w:val="37C51A3C"/>
    <w:rsid w:val="38B46483"/>
    <w:rsid w:val="38D9551D"/>
    <w:rsid w:val="38DF7EF4"/>
    <w:rsid w:val="38E917AD"/>
    <w:rsid w:val="38EF29EF"/>
    <w:rsid w:val="38F75745"/>
    <w:rsid w:val="390C51EB"/>
    <w:rsid w:val="39663727"/>
    <w:rsid w:val="397A40C7"/>
    <w:rsid w:val="3A6E02E8"/>
    <w:rsid w:val="3A742E04"/>
    <w:rsid w:val="3A8A3859"/>
    <w:rsid w:val="3ACE080B"/>
    <w:rsid w:val="3B6738F8"/>
    <w:rsid w:val="3BAE09B2"/>
    <w:rsid w:val="3BE621A1"/>
    <w:rsid w:val="3BE858D1"/>
    <w:rsid w:val="3C0D4500"/>
    <w:rsid w:val="3C2A58D9"/>
    <w:rsid w:val="3C333E89"/>
    <w:rsid w:val="3C7223B8"/>
    <w:rsid w:val="3CA31544"/>
    <w:rsid w:val="3CB12222"/>
    <w:rsid w:val="3CF74EBC"/>
    <w:rsid w:val="3D4F0B16"/>
    <w:rsid w:val="3D55550F"/>
    <w:rsid w:val="3D720D7D"/>
    <w:rsid w:val="3E2C203A"/>
    <w:rsid w:val="3E692E69"/>
    <w:rsid w:val="3E847A2D"/>
    <w:rsid w:val="3E98369E"/>
    <w:rsid w:val="3EAD43CC"/>
    <w:rsid w:val="3EE739A5"/>
    <w:rsid w:val="3EF23BF1"/>
    <w:rsid w:val="3F00455A"/>
    <w:rsid w:val="3F435506"/>
    <w:rsid w:val="3F780D60"/>
    <w:rsid w:val="3FA430FF"/>
    <w:rsid w:val="3FAD1C2A"/>
    <w:rsid w:val="3FB377C0"/>
    <w:rsid w:val="3FFC74D0"/>
    <w:rsid w:val="40564462"/>
    <w:rsid w:val="405F4911"/>
    <w:rsid w:val="4073666E"/>
    <w:rsid w:val="409A3515"/>
    <w:rsid w:val="40BB1F98"/>
    <w:rsid w:val="40DC1FE0"/>
    <w:rsid w:val="40FD11C5"/>
    <w:rsid w:val="410116AE"/>
    <w:rsid w:val="412A1E39"/>
    <w:rsid w:val="415659E7"/>
    <w:rsid w:val="417347DA"/>
    <w:rsid w:val="41B42047"/>
    <w:rsid w:val="41BA50B7"/>
    <w:rsid w:val="41D640BB"/>
    <w:rsid w:val="421B1DB3"/>
    <w:rsid w:val="422D7465"/>
    <w:rsid w:val="428A40D3"/>
    <w:rsid w:val="42A32C41"/>
    <w:rsid w:val="42D55FEE"/>
    <w:rsid w:val="433258AA"/>
    <w:rsid w:val="43365559"/>
    <w:rsid w:val="433C41C7"/>
    <w:rsid w:val="43431927"/>
    <w:rsid w:val="43481834"/>
    <w:rsid w:val="43971AF1"/>
    <w:rsid w:val="43A50570"/>
    <w:rsid w:val="43B0798A"/>
    <w:rsid w:val="43B25D83"/>
    <w:rsid w:val="43C53F65"/>
    <w:rsid w:val="43F572C7"/>
    <w:rsid w:val="43F6288F"/>
    <w:rsid w:val="442238B8"/>
    <w:rsid w:val="44C21FF8"/>
    <w:rsid w:val="455D326C"/>
    <w:rsid w:val="4561791E"/>
    <w:rsid w:val="457C3D98"/>
    <w:rsid w:val="459B1FA8"/>
    <w:rsid w:val="45B147A1"/>
    <w:rsid w:val="461D2791"/>
    <w:rsid w:val="46275121"/>
    <w:rsid w:val="46481CD7"/>
    <w:rsid w:val="468C2338"/>
    <w:rsid w:val="4690129B"/>
    <w:rsid w:val="46996314"/>
    <w:rsid w:val="46B7007A"/>
    <w:rsid w:val="46C33102"/>
    <w:rsid w:val="46C41A38"/>
    <w:rsid w:val="46D45CCC"/>
    <w:rsid w:val="4764337D"/>
    <w:rsid w:val="478015E2"/>
    <w:rsid w:val="47AB3B7A"/>
    <w:rsid w:val="47C457BA"/>
    <w:rsid w:val="48273D30"/>
    <w:rsid w:val="48B94570"/>
    <w:rsid w:val="48E43207"/>
    <w:rsid w:val="48EB2A45"/>
    <w:rsid w:val="49127986"/>
    <w:rsid w:val="4921579A"/>
    <w:rsid w:val="494A1826"/>
    <w:rsid w:val="49522FE6"/>
    <w:rsid w:val="49AF5B5F"/>
    <w:rsid w:val="4A7C09D7"/>
    <w:rsid w:val="4A896D51"/>
    <w:rsid w:val="4A924496"/>
    <w:rsid w:val="4AA16589"/>
    <w:rsid w:val="4AD6393C"/>
    <w:rsid w:val="4AFF0BDC"/>
    <w:rsid w:val="4B2C1FBD"/>
    <w:rsid w:val="4B2E29B4"/>
    <w:rsid w:val="4B457CDA"/>
    <w:rsid w:val="4B4B6F6D"/>
    <w:rsid w:val="4B621760"/>
    <w:rsid w:val="4B711FFE"/>
    <w:rsid w:val="4BA66CB5"/>
    <w:rsid w:val="4C2C0B6B"/>
    <w:rsid w:val="4C495277"/>
    <w:rsid w:val="4C4F1B21"/>
    <w:rsid w:val="4D39075C"/>
    <w:rsid w:val="4D712EC9"/>
    <w:rsid w:val="4D7628FC"/>
    <w:rsid w:val="4D986116"/>
    <w:rsid w:val="4DB028D4"/>
    <w:rsid w:val="4DDD76F0"/>
    <w:rsid w:val="4E7242BD"/>
    <w:rsid w:val="4ECC0997"/>
    <w:rsid w:val="4ECF2F76"/>
    <w:rsid w:val="4F8E4E5D"/>
    <w:rsid w:val="4FA273C7"/>
    <w:rsid w:val="4FC13382"/>
    <w:rsid w:val="4FCB46B2"/>
    <w:rsid w:val="4FCC5DAE"/>
    <w:rsid w:val="4FFE6DDE"/>
    <w:rsid w:val="500572D8"/>
    <w:rsid w:val="50526B81"/>
    <w:rsid w:val="509138E2"/>
    <w:rsid w:val="50E561FD"/>
    <w:rsid w:val="50F05775"/>
    <w:rsid w:val="50F304E7"/>
    <w:rsid w:val="51056018"/>
    <w:rsid w:val="5151114D"/>
    <w:rsid w:val="515437A5"/>
    <w:rsid w:val="51A2140B"/>
    <w:rsid w:val="51D44E2B"/>
    <w:rsid w:val="51D61C6B"/>
    <w:rsid w:val="51D8783C"/>
    <w:rsid w:val="5202519C"/>
    <w:rsid w:val="520515E9"/>
    <w:rsid w:val="520D000A"/>
    <w:rsid w:val="520D70A9"/>
    <w:rsid w:val="52393E80"/>
    <w:rsid w:val="523C02B0"/>
    <w:rsid w:val="52911BE2"/>
    <w:rsid w:val="52A7081B"/>
    <w:rsid w:val="52B44EE6"/>
    <w:rsid w:val="52EE62D4"/>
    <w:rsid w:val="52EF7792"/>
    <w:rsid w:val="531E77D7"/>
    <w:rsid w:val="534C2774"/>
    <w:rsid w:val="536609BD"/>
    <w:rsid w:val="53996ECE"/>
    <w:rsid w:val="53C733E1"/>
    <w:rsid w:val="53D03D7B"/>
    <w:rsid w:val="5449428A"/>
    <w:rsid w:val="546568CE"/>
    <w:rsid w:val="54727FA7"/>
    <w:rsid w:val="548E79C2"/>
    <w:rsid w:val="54C02592"/>
    <w:rsid w:val="54CA3EF4"/>
    <w:rsid w:val="559344D5"/>
    <w:rsid w:val="55AF6138"/>
    <w:rsid w:val="55DD69C5"/>
    <w:rsid w:val="5603705D"/>
    <w:rsid w:val="560843BD"/>
    <w:rsid w:val="56250A5B"/>
    <w:rsid w:val="563F2C98"/>
    <w:rsid w:val="568F6F48"/>
    <w:rsid w:val="56E878F7"/>
    <w:rsid w:val="56E91CEA"/>
    <w:rsid w:val="573C1B0F"/>
    <w:rsid w:val="57BA1234"/>
    <w:rsid w:val="57E24A90"/>
    <w:rsid w:val="57FA6D09"/>
    <w:rsid w:val="58205520"/>
    <w:rsid w:val="588A186D"/>
    <w:rsid w:val="58A23A85"/>
    <w:rsid w:val="58BE1257"/>
    <w:rsid w:val="58E510D6"/>
    <w:rsid w:val="597D1786"/>
    <w:rsid w:val="59854569"/>
    <w:rsid w:val="59A55F2E"/>
    <w:rsid w:val="59AC5C88"/>
    <w:rsid w:val="59F97FDE"/>
    <w:rsid w:val="5A680816"/>
    <w:rsid w:val="5ABA1B56"/>
    <w:rsid w:val="5AE218AB"/>
    <w:rsid w:val="5B7C609C"/>
    <w:rsid w:val="5C4E0EF8"/>
    <w:rsid w:val="5C5100E0"/>
    <w:rsid w:val="5CB02B3A"/>
    <w:rsid w:val="5CCC0C2B"/>
    <w:rsid w:val="5CDC62BE"/>
    <w:rsid w:val="5D64061A"/>
    <w:rsid w:val="5D6D3F5A"/>
    <w:rsid w:val="5DA779D9"/>
    <w:rsid w:val="5DAF3AB3"/>
    <w:rsid w:val="5DC24B30"/>
    <w:rsid w:val="5DD00396"/>
    <w:rsid w:val="5DD561CD"/>
    <w:rsid w:val="5E1E5054"/>
    <w:rsid w:val="5E282C2F"/>
    <w:rsid w:val="5E286922"/>
    <w:rsid w:val="5EA433E2"/>
    <w:rsid w:val="5ECA7EED"/>
    <w:rsid w:val="5EDA280E"/>
    <w:rsid w:val="5F1861FE"/>
    <w:rsid w:val="5F2C0ADD"/>
    <w:rsid w:val="5F3D616E"/>
    <w:rsid w:val="5F5402D4"/>
    <w:rsid w:val="5F852DF9"/>
    <w:rsid w:val="5FA610FC"/>
    <w:rsid w:val="605443F8"/>
    <w:rsid w:val="605B09AA"/>
    <w:rsid w:val="61B27CCA"/>
    <w:rsid w:val="62011E6D"/>
    <w:rsid w:val="62516C98"/>
    <w:rsid w:val="62543C27"/>
    <w:rsid w:val="627B514A"/>
    <w:rsid w:val="62AF7FD8"/>
    <w:rsid w:val="62E25B42"/>
    <w:rsid w:val="62FF6A75"/>
    <w:rsid w:val="63723DDC"/>
    <w:rsid w:val="63910911"/>
    <w:rsid w:val="63B15ED7"/>
    <w:rsid w:val="63B459AC"/>
    <w:rsid w:val="63ED0415"/>
    <w:rsid w:val="63F52F80"/>
    <w:rsid w:val="642D324F"/>
    <w:rsid w:val="644B7035"/>
    <w:rsid w:val="645B786A"/>
    <w:rsid w:val="64661AFA"/>
    <w:rsid w:val="646A3838"/>
    <w:rsid w:val="646F6EB2"/>
    <w:rsid w:val="647C3E2B"/>
    <w:rsid w:val="649122A7"/>
    <w:rsid w:val="649D7F9B"/>
    <w:rsid w:val="650A4678"/>
    <w:rsid w:val="6543326E"/>
    <w:rsid w:val="65464E01"/>
    <w:rsid w:val="664A67C1"/>
    <w:rsid w:val="66567ECF"/>
    <w:rsid w:val="665A3B23"/>
    <w:rsid w:val="6660161B"/>
    <w:rsid w:val="670218C4"/>
    <w:rsid w:val="67A91DF3"/>
    <w:rsid w:val="67FA4F92"/>
    <w:rsid w:val="67FF605B"/>
    <w:rsid w:val="68177B8B"/>
    <w:rsid w:val="68742AC5"/>
    <w:rsid w:val="68907D2E"/>
    <w:rsid w:val="68AC436A"/>
    <w:rsid w:val="69246726"/>
    <w:rsid w:val="69FB1ABF"/>
    <w:rsid w:val="6A8B07EC"/>
    <w:rsid w:val="6AC80AE2"/>
    <w:rsid w:val="6AF65793"/>
    <w:rsid w:val="6B0E06AA"/>
    <w:rsid w:val="6B135CC4"/>
    <w:rsid w:val="6B3F664B"/>
    <w:rsid w:val="6B7101AB"/>
    <w:rsid w:val="6BA337CB"/>
    <w:rsid w:val="6BA9011B"/>
    <w:rsid w:val="6BBA0A95"/>
    <w:rsid w:val="6BDE67FC"/>
    <w:rsid w:val="6BDF3622"/>
    <w:rsid w:val="6BE22662"/>
    <w:rsid w:val="6C2D7AF6"/>
    <w:rsid w:val="6CC641FB"/>
    <w:rsid w:val="6D5B0C2D"/>
    <w:rsid w:val="6DC702E8"/>
    <w:rsid w:val="6DD20BF9"/>
    <w:rsid w:val="6DD224E0"/>
    <w:rsid w:val="6DED345B"/>
    <w:rsid w:val="6E8E3B2D"/>
    <w:rsid w:val="6E8E51DB"/>
    <w:rsid w:val="6E983F07"/>
    <w:rsid w:val="6EC0779B"/>
    <w:rsid w:val="6EF77725"/>
    <w:rsid w:val="6F071ACD"/>
    <w:rsid w:val="6F8A4E2E"/>
    <w:rsid w:val="6FA112D5"/>
    <w:rsid w:val="6FB22598"/>
    <w:rsid w:val="700A6775"/>
    <w:rsid w:val="702D54F9"/>
    <w:rsid w:val="7071388D"/>
    <w:rsid w:val="708149C4"/>
    <w:rsid w:val="70A31814"/>
    <w:rsid w:val="70AF4FD5"/>
    <w:rsid w:val="70C51B9E"/>
    <w:rsid w:val="71100E7D"/>
    <w:rsid w:val="719C6977"/>
    <w:rsid w:val="71A76121"/>
    <w:rsid w:val="71C93203"/>
    <w:rsid w:val="71D501FC"/>
    <w:rsid w:val="720B7F2F"/>
    <w:rsid w:val="721675B6"/>
    <w:rsid w:val="723444E8"/>
    <w:rsid w:val="72AB357D"/>
    <w:rsid w:val="72B77903"/>
    <w:rsid w:val="72D06125"/>
    <w:rsid w:val="732960BC"/>
    <w:rsid w:val="735F2A85"/>
    <w:rsid w:val="73A33DAA"/>
    <w:rsid w:val="73B0655F"/>
    <w:rsid w:val="73E31698"/>
    <w:rsid w:val="74634EF1"/>
    <w:rsid w:val="746E5488"/>
    <w:rsid w:val="74D26A48"/>
    <w:rsid w:val="75216073"/>
    <w:rsid w:val="755F5283"/>
    <w:rsid w:val="75B92E28"/>
    <w:rsid w:val="75C51CC1"/>
    <w:rsid w:val="76182950"/>
    <w:rsid w:val="7619590C"/>
    <w:rsid w:val="76BF1240"/>
    <w:rsid w:val="770F34F3"/>
    <w:rsid w:val="777F5227"/>
    <w:rsid w:val="77943A67"/>
    <w:rsid w:val="77A859E3"/>
    <w:rsid w:val="780B739F"/>
    <w:rsid w:val="781A4CAC"/>
    <w:rsid w:val="78525FC2"/>
    <w:rsid w:val="78793714"/>
    <w:rsid w:val="78910D7C"/>
    <w:rsid w:val="798C4B6A"/>
    <w:rsid w:val="79BB7EFF"/>
    <w:rsid w:val="7A0435D5"/>
    <w:rsid w:val="7A1D11E1"/>
    <w:rsid w:val="7A3D42E4"/>
    <w:rsid w:val="7A5F3EEE"/>
    <w:rsid w:val="7A64118D"/>
    <w:rsid w:val="7A70363A"/>
    <w:rsid w:val="7ADC5399"/>
    <w:rsid w:val="7B662239"/>
    <w:rsid w:val="7B7A75CB"/>
    <w:rsid w:val="7B813697"/>
    <w:rsid w:val="7B9163F9"/>
    <w:rsid w:val="7BE62A19"/>
    <w:rsid w:val="7BE71511"/>
    <w:rsid w:val="7C2A25DC"/>
    <w:rsid w:val="7CDF4E66"/>
    <w:rsid w:val="7D1110A6"/>
    <w:rsid w:val="7D567990"/>
    <w:rsid w:val="7D62762F"/>
    <w:rsid w:val="7D8C1309"/>
    <w:rsid w:val="7DA44322"/>
    <w:rsid w:val="7DC357A6"/>
    <w:rsid w:val="7DF85732"/>
    <w:rsid w:val="7E280A3E"/>
    <w:rsid w:val="7E32526C"/>
    <w:rsid w:val="7F3E1B4E"/>
    <w:rsid w:val="7F6E53C4"/>
    <w:rsid w:val="7FB97B8B"/>
    <w:rsid w:val="7FC745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rPr>
      <w:sz w:val="32"/>
    </w:rPr>
  </w:style>
  <w:style w:type="paragraph" w:styleId="9">
    <w:name w:val="Body Text Indent"/>
    <w:basedOn w:val="1"/>
    <w:qFormat/>
    <w:uiPriority w:val="99"/>
    <w:pPr>
      <w:spacing w:after="120"/>
      <w:ind w:left="420" w:leftChars="200"/>
    </w:pPr>
    <w:rPr>
      <w:kern w:val="0"/>
      <w:sz w:val="20"/>
      <w:szCs w:val="20"/>
    </w:rPr>
  </w:style>
  <w:style w:type="paragraph" w:styleId="10">
    <w:name w:val="Plain Text"/>
    <w:basedOn w:val="1"/>
    <w:qFormat/>
    <w:uiPriority w:val="0"/>
    <w:rPr>
      <w:rFonts w:ascii="宋体" w:hAnsi="Courier New" w:eastAsia="Times New Roman"/>
      <w:szCs w:val="20"/>
    </w:rPr>
  </w:style>
  <w:style w:type="paragraph" w:styleId="11">
    <w:name w:val="Balloon Text"/>
    <w:basedOn w:val="1"/>
    <w:link w:val="33"/>
    <w:qFormat/>
    <w:uiPriority w:val="0"/>
    <w:rPr>
      <w:sz w:val="18"/>
      <w:szCs w:val="18"/>
    </w:rPr>
  </w:style>
  <w:style w:type="paragraph" w:styleId="12">
    <w:name w:val="footer"/>
    <w:basedOn w:val="1"/>
    <w:link w:val="31"/>
    <w:qFormat/>
    <w:uiPriority w:val="0"/>
    <w:pPr>
      <w:tabs>
        <w:tab w:val="center" w:pos="4153"/>
        <w:tab w:val="right" w:pos="8306"/>
      </w:tabs>
      <w:snapToGrid w:val="0"/>
      <w:jc w:val="left"/>
    </w:pPr>
    <w:rPr>
      <w:sz w:val="18"/>
      <w:szCs w:val="18"/>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index heading"/>
    <w:basedOn w:val="1"/>
    <w:next w:val="15"/>
    <w:unhideWhenUsed/>
    <w:qFormat/>
    <w:uiPriority w:val="99"/>
    <w:rPr>
      <w:szCs w:val="24"/>
    </w:rPr>
  </w:style>
  <w:style w:type="paragraph" w:styleId="15">
    <w:name w:val="index 1"/>
    <w:basedOn w:val="1"/>
    <w:next w:val="1"/>
    <w:qFormat/>
    <w:uiPriority w:val="0"/>
  </w:style>
  <w:style w:type="paragraph" w:styleId="16">
    <w:name w:val="toc 2"/>
    <w:basedOn w:val="1"/>
    <w:next w:val="1"/>
    <w:qFormat/>
    <w:uiPriority w:val="39"/>
    <w:pPr>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0">
    <w:name w:val="page number"/>
    <w:basedOn w:val="19"/>
    <w:qFormat/>
    <w:uiPriority w:val="0"/>
  </w:style>
  <w:style w:type="character" w:styleId="21">
    <w:name w:val="FollowedHyperlink"/>
    <w:basedOn w:val="19"/>
    <w:qFormat/>
    <w:uiPriority w:val="0"/>
    <w:rPr>
      <w:color w:val="000000"/>
      <w:u w:val="none"/>
    </w:rPr>
  </w:style>
  <w:style w:type="character" w:styleId="22">
    <w:name w:val="Hyperlink"/>
    <w:basedOn w:val="19"/>
    <w:qFormat/>
    <w:uiPriority w:val="0"/>
    <w:rPr>
      <w:color w:val="000000"/>
      <w:u w:val="none"/>
    </w:rPr>
  </w:style>
  <w:style w:type="paragraph" w:customStyle="1" w:styleId="2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正文正"/>
    <w:basedOn w:val="1"/>
    <w:qFormat/>
    <w:uiPriority w:val="0"/>
    <w:pPr>
      <w:spacing w:line="560" w:lineRule="exact"/>
      <w:ind w:firstLine="561"/>
    </w:pPr>
    <w:rPr>
      <w:rFonts w:eastAsia="仿宋_GB2312"/>
      <w:sz w:val="28"/>
      <w:szCs w:val="24"/>
    </w:rPr>
  </w:style>
  <w:style w:type="character" w:customStyle="1" w:styleId="25">
    <w:name w:val="times"/>
    <w:basedOn w:val="19"/>
    <w:qFormat/>
    <w:uiPriority w:val="0"/>
    <w:rPr>
      <w:color w:val="3399FF"/>
      <w:bdr w:val="single" w:color="D1EDF8" w:sz="6" w:space="0"/>
      <w:shd w:val="clear" w:color="auto" w:fill="EAF9FF"/>
    </w:rPr>
  </w:style>
  <w:style w:type="character" w:customStyle="1" w:styleId="26">
    <w:name w:val="times1"/>
    <w:basedOn w:val="19"/>
    <w:qFormat/>
    <w:uiPriority w:val="0"/>
    <w:rPr>
      <w:color w:val="CDCDCD"/>
      <w:bdr w:val="single" w:color="CDCDCD" w:sz="6" w:space="0"/>
      <w:shd w:val="clear" w:color="auto" w:fill="EFEFEF"/>
    </w:rPr>
  </w:style>
  <w:style w:type="character" w:customStyle="1" w:styleId="27">
    <w:name w:val="hover41"/>
    <w:basedOn w:val="19"/>
    <w:qFormat/>
    <w:uiPriority w:val="0"/>
  </w:style>
  <w:style w:type="character" w:customStyle="1" w:styleId="28">
    <w:name w:val="hover42"/>
    <w:basedOn w:val="19"/>
    <w:qFormat/>
    <w:uiPriority w:val="0"/>
  </w:style>
  <w:style w:type="character" w:customStyle="1" w:styleId="29">
    <w:name w:val="hover31"/>
    <w:basedOn w:val="19"/>
    <w:qFormat/>
    <w:uiPriority w:val="0"/>
  </w:style>
  <w:style w:type="character" w:customStyle="1" w:styleId="30">
    <w:name w:val="页眉 字符"/>
    <w:basedOn w:val="19"/>
    <w:link w:val="13"/>
    <w:qFormat/>
    <w:uiPriority w:val="0"/>
    <w:rPr>
      <w:rFonts w:ascii="Calibri" w:hAnsi="Calibri"/>
      <w:kern w:val="2"/>
      <w:sz w:val="18"/>
      <w:szCs w:val="18"/>
    </w:rPr>
  </w:style>
  <w:style w:type="character" w:customStyle="1" w:styleId="31">
    <w:name w:val="页脚 字符"/>
    <w:basedOn w:val="19"/>
    <w:link w:val="12"/>
    <w:qFormat/>
    <w:uiPriority w:val="0"/>
    <w:rPr>
      <w:rFonts w:ascii="Calibri" w:hAnsi="Calibri"/>
      <w:kern w:val="2"/>
      <w:sz w:val="18"/>
      <w:szCs w:val="18"/>
    </w:rPr>
  </w:style>
  <w:style w:type="paragraph" w:customStyle="1" w:styleId="32">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33">
    <w:name w:val="批注框文本 字符"/>
    <w:basedOn w:val="19"/>
    <w:link w:val="11"/>
    <w:qFormat/>
    <w:uiPriority w:val="0"/>
    <w:rPr>
      <w:rFonts w:ascii="Calibri" w:hAnsi="Calibri"/>
      <w:kern w:val="2"/>
      <w:sz w:val="18"/>
      <w:szCs w:val="18"/>
    </w:rPr>
  </w:style>
  <w:style w:type="character" w:customStyle="1" w:styleId="34">
    <w:name w:val="font01"/>
    <w:basedOn w:val="19"/>
    <w:qFormat/>
    <w:uiPriority w:val="0"/>
    <w:rPr>
      <w:rFonts w:hint="default" w:ascii="Times New Roman" w:hAnsi="Times New Roman" w:cs="Times New Roman"/>
      <w:color w:val="000000"/>
      <w:sz w:val="22"/>
      <w:szCs w:val="22"/>
      <w:u w:val="none"/>
    </w:rPr>
  </w:style>
  <w:style w:type="character" w:customStyle="1" w:styleId="35">
    <w:name w:val="font11"/>
    <w:basedOn w:val="19"/>
    <w:qFormat/>
    <w:uiPriority w:val="0"/>
    <w:rPr>
      <w:rFonts w:hint="eastAsia" w:ascii="宋体" w:hAnsi="宋体" w:eastAsia="宋体" w:cs="宋体"/>
      <w:color w:val="000000"/>
      <w:sz w:val="22"/>
      <w:szCs w:val="22"/>
      <w:u w:val="none"/>
    </w:rPr>
  </w:style>
  <w:style w:type="paragraph" w:customStyle="1" w:styleId="36">
    <w:name w:val="Table Paragraph"/>
    <w:basedOn w:val="1"/>
    <w:qFormat/>
    <w:uiPriority w:val="1"/>
    <w:pPr>
      <w:jc w:val="left"/>
    </w:pPr>
    <w:rPr>
      <w:kern w:val="0"/>
      <w:sz w:val="22"/>
      <w:lang w:eastAsia="en-US"/>
    </w:rPr>
  </w:style>
  <w:style w:type="paragraph" w:customStyle="1" w:styleId="37">
    <w:name w:val="_Style 70"/>
    <w:basedOn w:val="1"/>
    <w:next w:val="1"/>
    <w:qFormat/>
    <w:uiPriority w:val="34"/>
    <w:pPr>
      <w:ind w:firstLine="420" w:firstLineChars="200"/>
    </w:pPr>
  </w:style>
  <w:style w:type="paragraph" w:styleId="38">
    <w:name w:val="List Paragraph"/>
    <w:basedOn w:val="1"/>
    <w:qFormat/>
    <w:uiPriority w:val="34"/>
    <w:pPr>
      <w:ind w:firstLine="420" w:firstLineChars="200"/>
    </w:pPr>
    <w:rPr>
      <w:rFonts w:asciiTheme="minorHAnsi" w:hAnsiTheme="minorHAnsi" w:eastAsiaTheme="minorEastAsia" w:cstheme="minorBidi"/>
    </w:rPr>
  </w:style>
  <w:style w:type="paragraph" w:customStyle="1" w:styleId="3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纯文本_0"/>
    <w:basedOn w:val="39"/>
    <w:qFormat/>
    <w:uiPriority w:val="0"/>
    <w:rPr>
      <w:rFonts w:ascii="宋体" w:hAnsi="Courier New"/>
      <w:sz w:val="32"/>
      <w:szCs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6373</Words>
  <Characters>6626</Characters>
  <Lines>51</Lines>
  <Paragraphs>14</Paragraphs>
  <TotalTime>2</TotalTime>
  <ScaleCrop>false</ScaleCrop>
  <LinksUpToDate>false</LinksUpToDate>
  <CharactersWithSpaces>7043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2024-03-18T02:06:00Z</dcterms:created>
  <dc:creator>Administrator</dc:creator>
  <cp:lastModifiedBy>林y</cp:lastModifiedBy>
  <cp:lastPrinted>2024-07-04T07:37:00Z</cp:lastPrinted>
  <dcterms:modified xsi:type="dcterms:W3CDTF">2025-06-27T03:40:38Z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4B72CB41FA6544FFABB9FCCD32E4E9AF</vt:lpwstr>
  </property>
  <property fmtid="{D5CDD505-2E9C-101B-9397-08002B2CF9AE}" pid="4" name="KSOTemplateDocerSaveRecord">
    <vt:lpwstr>eyJoZGlkIjoiM2RlZmJkYTRhMDA1MzgwOGM5NDFjOTMzMWYyOWNhNjMiLCJ1c2VySWQiOiI2MTMwNzE4MDUifQ==</vt:lpwstr>
  </property>
</Properties>
</file>