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3F" w:rsidRPr="00D238DC" w:rsidRDefault="00D238DC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0"/>
          <w:szCs w:val="30"/>
        </w:rPr>
      </w:pPr>
      <w:r w:rsidRPr="00D238DC">
        <w:rPr>
          <w:rFonts w:ascii="宋体" w:hAnsi="宋体" w:hint="eastAsia"/>
          <w:b/>
          <w:sz w:val="40"/>
          <w:szCs w:val="30"/>
        </w:rPr>
        <w:t>行政事务管理</w:t>
      </w:r>
      <w:r>
        <w:rPr>
          <w:rFonts w:ascii="宋体" w:hAnsi="宋体" w:hint="eastAsia"/>
          <w:b/>
          <w:sz w:val="40"/>
          <w:szCs w:val="30"/>
        </w:rPr>
        <w:t>平台</w:t>
      </w:r>
      <w:r w:rsidRPr="00D238DC">
        <w:rPr>
          <w:rFonts w:ascii="宋体" w:hAnsi="宋体" w:hint="eastAsia"/>
          <w:b/>
          <w:sz w:val="40"/>
          <w:szCs w:val="30"/>
        </w:rPr>
        <w:t>（子项目2：其他模块子项目）运维</w:t>
      </w:r>
      <w:r w:rsidR="004717F6" w:rsidRPr="00D238DC">
        <w:rPr>
          <w:rFonts w:ascii="宋体" w:hAnsi="宋体" w:hint="eastAsia"/>
          <w:b/>
          <w:sz w:val="40"/>
          <w:szCs w:val="30"/>
        </w:rPr>
        <w:t>服务</w:t>
      </w:r>
      <w:r w:rsidR="00645C22" w:rsidRPr="00D238DC">
        <w:rPr>
          <w:rFonts w:ascii="宋体" w:hAnsi="宋体" w:hint="eastAsia"/>
          <w:b/>
          <w:sz w:val="40"/>
          <w:szCs w:val="30"/>
        </w:rPr>
        <w:t>项目需求</w:t>
      </w: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BE7B3F" w:rsidRDefault="00645C22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 w:rsidR="00D238DC">
        <w:rPr>
          <w:rFonts w:ascii="宋体" w:hAnsi="宋体" w:hint="eastAsia"/>
          <w:sz w:val="22"/>
        </w:rPr>
        <w:t>行政事务管理平台</w:t>
      </w:r>
      <w:r w:rsidR="009623A4">
        <w:rPr>
          <w:rFonts w:ascii="宋体" w:hAnsi="宋体" w:hint="eastAsia"/>
          <w:sz w:val="22"/>
        </w:rPr>
        <w:t>（</w:t>
      </w:r>
      <w:r w:rsidR="00D238DC">
        <w:rPr>
          <w:rFonts w:ascii="宋体" w:hAnsi="宋体" w:hint="eastAsia"/>
          <w:sz w:val="22"/>
        </w:rPr>
        <w:t>子项目2：其他模块子项目</w:t>
      </w:r>
      <w:r w:rsidR="009623A4">
        <w:rPr>
          <w:rFonts w:ascii="宋体" w:hAnsi="宋体" w:hint="eastAsia"/>
          <w:sz w:val="22"/>
        </w:rPr>
        <w:t>）运维服务项目。</w:t>
      </w:r>
      <w:bookmarkStart w:id="0" w:name="_GoBack"/>
      <w:bookmarkEnd w:id="0"/>
    </w:p>
    <w:p w:rsidR="00BE7B3F" w:rsidRDefault="00BE7B3F">
      <w:pPr>
        <w:spacing w:line="360" w:lineRule="auto"/>
        <w:ind w:left="432"/>
        <w:rPr>
          <w:rFonts w:ascii="宋体" w:hAnsi="宋体"/>
          <w:sz w:val="22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服务内容</w:t>
      </w:r>
    </w:p>
    <w:p w:rsidR="00BE7B3F" w:rsidRDefault="00645C22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为保证系统运行稳定，广东省人民医院拟采购下列信息系统的维护服务（日常维护、修改调整、系统集成）：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91"/>
        <w:gridCol w:w="4773"/>
      </w:tblGrid>
      <w:tr w:rsidR="00BE7B3F">
        <w:tc>
          <w:tcPr>
            <w:tcW w:w="675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773" w:type="dxa"/>
          </w:tcPr>
          <w:p w:rsidR="00BE7B3F" w:rsidRDefault="00645C22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:rsidR="00BE7B3F">
        <w:tc>
          <w:tcPr>
            <w:tcW w:w="675" w:type="dxa"/>
          </w:tcPr>
          <w:p w:rsidR="00BE7B3F" w:rsidRDefault="00645C22"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 w:rsidR="00BE7B3F" w:rsidRDefault="00D238DC" w:rsidP="004717F6">
            <w:pPr>
              <w:jc w:val="center"/>
            </w:pPr>
            <w:r>
              <w:rPr>
                <w:rFonts w:ascii="宋体" w:hAnsi="宋体" w:hint="eastAsia"/>
                <w:sz w:val="22"/>
              </w:rPr>
              <w:t>行政事务管理平台子项目2：其他模块子项目</w:t>
            </w:r>
          </w:p>
        </w:tc>
        <w:tc>
          <w:tcPr>
            <w:tcW w:w="4773" w:type="dxa"/>
          </w:tcPr>
          <w:p w:rsidR="00BE7B3F" w:rsidRDefault="00D238DC" w:rsidP="004717F6">
            <w:pPr>
              <w:jc w:val="center"/>
            </w:pPr>
            <w:r>
              <w:rPr>
                <w:rFonts w:hint="eastAsia"/>
              </w:rPr>
              <w:t>合同签订后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年。</w:t>
            </w:r>
          </w:p>
        </w:tc>
      </w:tr>
    </w:tbl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BE7B3F" w:rsidRDefault="00BE7B3F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144651" w:rsidRDefault="00144651" w:rsidP="00D238DC">
      <w:bookmarkStart w:id="1" w:name="_6.1.2、容器服务器"/>
      <w:bookmarkEnd w:id="1"/>
    </w:p>
    <w:p w:rsidR="00D238DC" w:rsidRPr="00144651" w:rsidRDefault="00D238DC" w:rsidP="00910145">
      <w:pPr>
        <w:spacing w:line="360" w:lineRule="auto"/>
        <w:rPr>
          <w:rFonts w:ascii="宋体" w:hAnsi="宋体" w:cs="宋体"/>
          <w:szCs w:val="21"/>
        </w:rPr>
      </w:pPr>
      <w:r w:rsidRPr="00144651">
        <w:rPr>
          <w:rFonts w:ascii="宋体" w:hAnsi="宋体" w:cs="宋体" w:hint="eastAsia"/>
          <w:szCs w:val="21"/>
        </w:rPr>
        <w:t>具体</w:t>
      </w:r>
      <w:r w:rsidR="008C48CB">
        <w:rPr>
          <w:rFonts w:ascii="宋体" w:hAnsi="宋体" w:cs="宋体" w:hint="eastAsia"/>
          <w:szCs w:val="21"/>
        </w:rPr>
        <w:t>维护</w:t>
      </w:r>
      <w:r w:rsidRPr="00144651">
        <w:rPr>
          <w:rFonts w:ascii="宋体" w:hAnsi="宋体" w:cs="宋体" w:hint="eastAsia"/>
          <w:szCs w:val="21"/>
        </w:rPr>
        <w:t>功能如下：</w:t>
      </w:r>
    </w:p>
    <w:p w:rsidR="00D238DC" w:rsidRPr="00144651" w:rsidRDefault="00144651" w:rsidP="00910145">
      <w:pPr>
        <w:pStyle w:val="af9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 w:cs="宋体"/>
          <w:szCs w:val="21"/>
          <w:lang w:val="en-US"/>
        </w:rPr>
      </w:pPr>
      <w:r w:rsidRPr="00144651">
        <w:rPr>
          <w:rFonts w:ascii="宋体" w:eastAsia="宋体" w:hAnsi="宋体" w:cs="宋体" w:hint="eastAsia"/>
          <w:szCs w:val="21"/>
          <w:lang w:val="en-US"/>
        </w:rPr>
        <w:t>工作台管理</w:t>
      </w:r>
      <w:r w:rsidR="00910145">
        <w:rPr>
          <w:rFonts w:ascii="宋体" w:eastAsia="宋体" w:hAnsi="宋体" w:cs="宋体" w:hint="eastAsia"/>
          <w:szCs w:val="21"/>
          <w:lang w:val="en-US"/>
        </w:rPr>
        <w:t>。</w:t>
      </w:r>
      <w:r w:rsidRPr="00910145">
        <w:rPr>
          <w:rFonts w:ascii="宋体" w:eastAsia="宋体" w:hAnsi="宋体" w:cs="宋体" w:hint="eastAsia"/>
          <w:szCs w:val="21"/>
          <w:lang w:val="en-US"/>
        </w:rPr>
        <w:t>支持</w:t>
      </w:r>
      <w:r w:rsidRPr="00910145">
        <w:rPr>
          <w:rFonts w:ascii="宋体" w:eastAsia="宋体" w:hAnsi="宋体" w:cs="宋体"/>
          <w:szCs w:val="21"/>
          <w:lang w:val="en-US"/>
        </w:rPr>
        <w:t>不同人员</w:t>
      </w:r>
      <w:r w:rsidRPr="00910145">
        <w:rPr>
          <w:rFonts w:ascii="宋体" w:eastAsia="宋体" w:hAnsi="宋体" w:cs="宋体" w:hint="eastAsia"/>
          <w:szCs w:val="21"/>
          <w:lang w:val="en-US"/>
        </w:rPr>
        <w:t>\角色</w:t>
      </w:r>
      <w:r w:rsidRPr="00910145">
        <w:rPr>
          <w:rFonts w:ascii="宋体" w:eastAsia="宋体" w:hAnsi="宋体" w:cs="宋体"/>
          <w:szCs w:val="21"/>
          <w:lang w:val="en-US"/>
        </w:rPr>
        <w:t>配置不同的工作门户，</w:t>
      </w:r>
      <w:r w:rsidRPr="00910145">
        <w:rPr>
          <w:rFonts w:ascii="宋体" w:eastAsia="宋体" w:hAnsi="宋体" w:cs="宋体" w:hint="eastAsia"/>
          <w:szCs w:val="21"/>
          <w:lang w:val="en-US"/>
        </w:rPr>
        <w:t>可配置</w:t>
      </w:r>
      <w:r w:rsidRPr="00910145">
        <w:rPr>
          <w:rFonts w:ascii="宋体" w:eastAsia="宋体" w:hAnsi="宋体" w:cs="宋体"/>
          <w:szCs w:val="21"/>
          <w:lang w:val="en-US"/>
        </w:rPr>
        <w:t>的工作门户内容包含：</w:t>
      </w:r>
      <w:r w:rsidRPr="00910145">
        <w:rPr>
          <w:rFonts w:ascii="宋体" w:eastAsia="宋体" w:hAnsi="宋体" w:cs="宋体" w:hint="eastAsia"/>
          <w:szCs w:val="21"/>
          <w:lang w:val="en-US"/>
        </w:rPr>
        <w:t>任务</w:t>
      </w:r>
      <w:r w:rsidRPr="00910145">
        <w:rPr>
          <w:rFonts w:ascii="宋体" w:eastAsia="宋体" w:hAnsi="宋体" w:cs="宋体"/>
          <w:szCs w:val="21"/>
          <w:lang w:val="en-US"/>
        </w:rPr>
        <w:t>信息、项目信息、通知信息</w:t>
      </w:r>
      <w:r w:rsidRPr="00910145">
        <w:rPr>
          <w:rFonts w:ascii="宋体" w:eastAsia="宋体" w:hAnsi="宋体" w:cs="宋体" w:hint="eastAsia"/>
          <w:szCs w:val="21"/>
          <w:lang w:val="en-US"/>
        </w:rPr>
        <w:t>、</w:t>
      </w:r>
      <w:r w:rsidRPr="00910145">
        <w:rPr>
          <w:rFonts w:ascii="宋体" w:eastAsia="宋体" w:hAnsi="宋体" w:cs="宋体"/>
          <w:szCs w:val="21"/>
          <w:lang w:val="en-US"/>
        </w:rPr>
        <w:t>预警信息</w:t>
      </w:r>
      <w:r w:rsidRPr="00910145">
        <w:rPr>
          <w:rFonts w:ascii="宋体" w:eastAsia="宋体" w:hAnsi="宋体" w:cs="宋体" w:hint="eastAsia"/>
          <w:szCs w:val="21"/>
          <w:lang w:val="en-US"/>
        </w:rPr>
        <w:t>、</w:t>
      </w:r>
      <w:r w:rsidRPr="00910145">
        <w:rPr>
          <w:rFonts w:ascii="宋体" w:eastAsia="宋体" w:hAnsi="宋体" w:cs="宋体"/>
          <w:szCs w:val="21"/>
          <w:lang w:val="en-US"/>
        </w:rPr>
        <w:t>关注信息等，通过</w:t>
      </w:r>
      <w:r w:rsidRPr="00910145">
        <w:rPr>
          <w:rFonts w:ascii="宋体" w:eastAsia="宋体" w:hAnsi="宋体" w:cs="宋体" w:hint="eastAsia"/>
          <w:szCs w:val="21"/>
          <w:lang w:val="en-US"/>
        </w:rPr>
        <w:t>数据</w:t>
      </w:r>
      <w:r w:rsidRPr="00910145">
        <w:rPr>
          <w:rFonts w:ascii="宋体" w:eastAsia="宋体" w:hAnsi="宋体" w:cs="宋体"/>
          <w:szCs w:val="21"/>
          <w:lang w:val="en-US"/>
        </w:rPr>
        <w:t>聚合实现信息找人，提高人员的工作效率</w:t>
      </w:r>
      <w:r w:rsidRPr="00910145">
        <w:rPr>
          <w:rFonts w:ascii="宋体" w:eastAsia="宋体" w:hAnsi="宋体" w:cs="宋体" w:hint="eastAsia"/>
          <w:szCs w:val="21"/>
          <w:lang w:val="en-US"/>
        </w:rPr>
        <w:t>。</w:t>
      </w:r>
    </w:p>
    <w:p w:rsidR="00144651" w:rsidRPr="00144651" w:rsidRDefault="00144651" w:rsidP="00910145">
      <w:pPr>
        <w:pStyle w:val="af9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 w:cs="宋体"/>
          <w:szCs w:val="21"/>
          <w:lang w:val="en-US"/>
        </w:rPr>
      </w:pPr>
      <w:r w:rsidRPr="00910145">
        <w:rPr>
          <w:rFonts w:ascii="宋体" w:eastAsia="宋体" w:hAnsi="宋体" w:cs="宋体" w:hint="eastAsia"/>
          <w:szCs w:val="21"/>
          <w:lang w:val="en-US"/>
        </w:rPr>
        <w:t xml:space="preserve"> 电子收发文管理</w:t>
      </w:r>
      <w:r w:rsidR="00910145">
        <w:rPr>
          <w:rFonts w:ascii="宋体" w:eastAsia="宋体" w:hAnsi="宋体" w:cs="宋体" w:hint="eastAsia"/>
          <w:szCs w:val="21"/>
          <w:lang w:val="en-US"/>
        </w:rPr>
        <w:t>。</w:t>
      </w:r>
      <w:r w:rsidRPr="00910145">
        <w:rPr>
          <w:rFonts w:ascii="宋体" w:eastAsia="宋体" w:hAnsi="宋体" w:cs="宋体" w:hint="eastAsia"/>
          <w:szCs w:val="21"/>
          <w:lang w:val="en-US"/>
        </w:rPr>
        <w:t>支持</w:t>
      </w:r>
      <w:r w:rsidR="00910145" w:rsidRPr="00910145">
        <w:rPr>
          <w:rFonts w:ascii="宋体" w:eastAsia="宋体" w:hAnsi="宋体" w:cs="宋体" w:hint="eastAsia"/>
          <w:szCs w:val="21"/>
          <w:lang w:val="en-US"/>
        </w:rPr>
        <w:t>按不同处室生成二维码，</w:t>
      </w:r>
      <w:r w:rsidRPr="00910145">
        <w:rPr>
          <w:rFonts w:ascii="宋体" w:eastAsia="宋体" w:hAnsi="宋体" w:cs="宋体" w:hint="eastAsia"/>
          <w:szCs w:val="21"/>
          <w:lang w:val="en-US"/>
        </w:rPr>
        <w:t>通过二维码建立文件唯一标识</w:t>
      </w:r>
      <w:r w:rsidRPr="00910145">
        <w:rPr>
          <w:rFonts w:ascii="宋体" w:eastAsia="宋体" w:hAnsi="宋体" w:cs="宋体"/>
          <w:szCs w:val="21"/>
          <w:lang w:val="en-US"/>
        </w:rPr>
        <w:t>，生成文件收发文任务，</w:t>
      </w:r>
      <w:r w:rsidRPr="00910145">
        <w:rPr>
          <w:rFonts w:ascii="宋体" w:eastAsia="宋体" w:hAnsi="宋体" w:cs="宋体" w:hint="eastAsia"/>
          <w:szCs w:val="21"/>
          <w:lang w:val="en-US"/>
        </w:rPr>
        <w:t>支持</w:t>
      </w:r>
      <w:r w:rsidR="00910145" w:rsidRPr="00910145">
        <w:rPr>
          <w:rFonts w:ascii="宋体" w:eastAsia="宋体" w:hAnsi="宋体" w:cs="宋体" w:hint="eastAsia"/>
          <w:szCs w:val="21"/>
          <w:lang w:val="en-US"/>
        </w:rPr>
        <w:t>扫码签收等操作</w:t>
      </w:r>
      <w:r w:rsidRPr="00910145">
        <w:rPr>
          <w:rFonts w:ascii="宋体" w:eastAsia="宋体" w:hAnsi="宋体" w:cs="宋体" w:hint="eastAsia"/>
          <w:szCs w:val="21"/>
          <w:lang w:val="en-US"/>
        </w:rPr>
        <w:t>。</w:t>
      </w:r>
    </w:p>
    <w:p w:rsidR="00144651" w:rsidRPr="00144651" w:rsidRDefault="00144651" w:rsidP="00910145">
      <w:pPr>
        <w:pStyle w:val="af9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 w:cs="宋体"/>
          <w:szCs w:val="21"/>
          <w:lang w:val="en-US"/>
        </w:rPr>
      </w:pPr>
      <w:r w:rsidRPr="00910145">
        <w:rPr>
          <w:rFonts w:ascii="宋体" w:eastAsia="宋体" w:hAnsi="宋体" w:cs="宋体" w:hint="eastAsia"/>
          <w:szCs w:val="21"/>
          <w:lang w:val="en-US"/>
        </w:rPr>
        <w:t xml:space="preserve"> 移动应用。为</w:t>
      </w:r>
      <w:r w:rsidRPr="00910145">
        <w:rPr>
          <w:rFonts w:ascii="宋体" w:eastAsia="宋体" w:hAnsi="宋体" w:cs="宋体"/>
          <w:szCs w:val="21"/>
          <w:lang w:val="en-US"/>
        </w:rPr>
        <w:t>平台应用提供移动化操作，</w:t>
      </w:r>
      <w:r w:rsidR="00910145" w:rsidRPr="00910145">
        <w:rPr>
          <w:rFonts w:ascii="宋体" w:eastAsia="宋体" w:hAnsi="宋体" w:cs="宋体" w:hint="eastAsia"/>
          <w:szCs w:val="21"/>
          <w:lang w:val="en-US"/>
        </w:rPr>
        <w:t>实现移动审批及提醒</w:t>
      </w:r>
      <w:r w:rsidRPr="00910145">
        <w:rPr>
          <w:rFonts w:ascii="宋体" w:eastAsia="宋体" w:hAnsi="宋体" w:cs="宋体" w:hint="eastAsia"/>
          <w:szCs w:val="21"/>
          <w:lang w:val="en-US"/>
        </w:rPr>
        <w:t>。</w:t>
      </w:r>
    </w:p>
    <w:p w:rsidR="00144651" w:rsidRPr="00144651" w:rsidRDefault="00144651" w:rsidP="00910145">
      <w:pPr>
        <w:pStyle w:val="af9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 w:cs="宋体"/>
          <w:szCs w:val="21"/>
          <w:lang w:val="en-US"/>
        </w:rPr>
      </w:pPr>
      <w:r w:rsidRPr="00910145">
        <w:rPr>
          <w:rFonts w:ascii="宋体" w:eastAsia="宋体" w:hAnsi="宋体" w:cs="宋体" w:hint="eastAsia"/>
          <w:szCs w:val="21"/>
          <w:lang w:val="en-US"/>
        </w:rPr>
        <w:t xml:space="preserve"> </w:t>
      </w:r>
      <w:r w:rsidR="00910145" w:rsidRPr="00910145">
        <w:rPr>
          <w:rFonts w:ascii="宋体" w:eastAsia="宋体" w:hAnsi="宋体" w:cs="宋体" w:hint="eastAsia"/>
          <w:szCs w:val="21"/>
          <w:lang w:val="en-US"/>
        </w:rPr>
        <w:t>系统管理</w:t>
      </w:r>
      <w:r w:rsidR="00910145">
        <w:rPr>
          <w:rFonts w:ascii="宋体" w:eastAsia="宋体" w:hAnsi="宋体" w:cs="宋体" w:hint="eastAsia"/>
          <w:szCs w:val="21"/>
          <w:lang w:val="en-US"/>
        </w:rPr>
        <w:t>。</w:t>
      </w:r>
      <w:r w:rsidR="00952F4C">
        <w:rPr>
          <w:rFonts w:ascii="宋体" w:eastAsia="宋体" w:hAnsi="宋体" w:cs="宋体" w:hint="eastAsia"/>
          <w:szCs w:val="21"/>
          <w:lang w:val="en-US"/>
        </w:rPr>
        <w:t>支持人员信息与医院系统同步、角色权限管理</w:t>
      </w:r>
      <w:r w:rsidR="006C7C82">
        <w:rPr>
          <w:rFonts w:ascii="宋体" w:eastAsia="宋体" w:hAnsi="宋体" w:cs="宋体" w:hint="eastAsia"/>
          <w:szCs w:val="21"/>
          <w:lang w:val="en-US"/>
        </w:rPr>
        <w:t>、流程监控与数据统计</w:t>
      </w:r>
      <w:r w:rsidR="00952F4C">
        <w:rPr>
          <w:rFonts w:ascii="宋体" w:eastAsia="宋体" w:hAnsi="宋体" w:cs="宋体" w:hint="eastAsia"/>
          <w:szCs w:val="21"/>
          <w:lang w:val="en-US"/>
        </w:rPr>
        <w:t>。</w:t>
      </w:r>
    </w:p>
    <w:p w:rsidR="00D238DC" w:rsidRPr="00D238DC" w:rsidRDefault="00D238DC" w:rsidP="00D238DC"/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日常维护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系统错误修复：系统在使用过程中发现的错误，在1个工作日完成修复。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系统数据修复：系统使用过程中，因用户误操作等原因导致的数据错误，查明原因和进行数据修复。在1个工作日完成修复。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实施培训：负责因各种原因变化增加的项目实施和人员培训工作。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系统巡检：每季度对系统的运行环境、业务功能进行全面检查，及时提出调优和故障预防建议。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问题答疑：对用户使用系统过程中遇到的问题，通过现场、电话、网络、传真等各种方式及时解决。</w:t>
      </w:r>
    </w:p>
    <w:p w:rsidR="00BE7B3F" w:rsidRDefault="00645C22">
      <w:pPr>
        <w:numPr>
          <w:ilvl w:val="0"/>
          <w:numId w:val="5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回访与总结：每季度进行现场回访，对院方使用系统情况进行总结，提交服务总结报告。</w:t>
      </w:r>
    </w:p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修改调整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完善性调整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支持为达</w:t>
      </w:r>
      <w:proofErr w:type="gramStart"/>
      <w:r>
        <w:rPr>
          <w:rFonts w:ascii="宋体" w:hAnsi="宋体" w:hint="eastAsia"/>
          <w:szCs w:val="21"/>
        </w:rPr>
        <w:t>致符合</w:t>
      </w:r>
      <w:proofErr w:type="gramEnd"/>
      <w:r>
        <w:rPr>
          <w:rFonts w:ascii="宋体" w:hAnsi="宋体" w:hint="eastAsia"/>
          <w:szCs w:val="21"/>
        </w:rPr>
        <w:t>政府规范、要求所必须进行的修改。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在系统结构允许的范围内，根据院方管理和业务变化做出必要的流程变更、功能新增、调整和修改，执行和实施信息系统软件升级。</w:t>
      </w:r>
    </w:p>
    <w:p w:rsidR="00BE7B3F" w:rsidRDefault="00645C22">
      <w:pPr>
        <w:numPr>
          <w:ilvl w:val="0"/>
          <w:numId w:val="7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配合院方对系统进行安全扫描与漏洞排查，对系统安全隐患及时处理。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适应性调整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:rsidR="00BE7B3F" w:rsidRDefault="00645C22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第三方软件接口开发</w:t>
      </w:r>
    </w:p>
    <w:p w:rsidR="00BE7B3F" w:rsidRDefault="00645C2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 w:rsidR="00BE7B3F" w:rsidRDefault="00645C22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系统集成服务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系统维护：负责操作系统、数据库等系统平台软件的管理、监控和维护。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系统安全：负责医院信息系统安全性方案的总体规划、设计和监控。</w:t>
      </w:r>
    </w:p>
    <w:p w:rsidR="00BE7B3F" w:rsidRDefault="00645C22">
      <w:pPr>
        <w:numPr>
          <w:ilvl w:val="0"/>
          <w:numId w:val="8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数据备份：负责医院数据备份包括实时备份和系统安全性方案的设计和实施。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 w:cs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服务方式</w:t>
      </w:r>
    </w:p>
    <w:p w:rsidR="00BE7B3F" w:rsidRDefault="00645C22">
      <w:pPr>
        <w:numPr>
          <w:ilvl w:val="0"/>
          <w:numId w:val="9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</w:t>
      </w:r>
      <w:proofErr w:type="gramStart"/>
      <w:r>
        <w:rPr>
          <w:rFonts w:ascii="宋体" w:hAnsi="宋体" w:hint="eastAsia"/>
          <w:szCs w:val="21"/>
        </w:rPr>
        <w:t>商成立</w:t>
      </w:r>
      <w:proofErr w:type="gramEnd"/>
      <w:r>
        <w:rPr>
          <w:rFonts w:ascii="宋体" w:hAnsi="宋体" w:hint="eastAsia"/>
          <w:szCs w:val="21"/>
        </w:rPr>
        <w:t>专门的项目组开展工作，指派专人负责，按时完成工作内容。</w:t>
      </w:r>
    </w:p>
    <w:p w:rsidR="00BE7B3F" w:rsidRDefault="00645C22">
      <w:pPr>
        <w:numPr>
          <w:ilvl w:val="0"/>
          <w:numId w:val="9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以远程服务为主，其他现场、电话、邮件指导、远程维护、技术交流方式不限。</w:t>
      </w:r>
    </w:p>
    <w:p w:rsidR="00BE7B3F" w:rsidRDefault="00BE7B3F">
      <w:pPr>
        <w:spacing w:line="360" w:lineRule="auto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服务时间</w:t>
      </w:r>
    </w:p>
    <w:p w:rsidR="00BE7B3F" w:rsidRDefault="00645C22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合同生效起12个月内；上述“修改调整”部分要求的免费维护期从需求验收合格之日算起，期限为12个月。</w:t>
      </w:r>
    </w:p>
    <w:p w:rsidR="00BE7B3F" w:rsidRDefault="00BE7B3F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服务响应要求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日常维护响应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ascii="宋体" w:hAnsi="宋体" w:cs="宋体" w:hint="eastAsia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ascii="宋体" w:hAnsi="宋体" w:cs="宋体" w:hint="eastAsia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小时</w:t>
      </w:r>
      <w:r>
        <w:rPr>
          <w:rFonts w:ascii="宋体" w:hAnsi="宋体" w:cs="宋体" w:hint="eastAsia"/>
          <w:szCs w:val="21"/>
        </w:rPr>
        <w:t>。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ascii="宋体" w:hAnsi="宋体" w:cs="宋体" w:hint="eastAsia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:rsidR="00BE7B3F" w:rsidRDefault="00645C22">
      <w:pPr>
        <w:numPr>
          <w:ilvl w:val="0"/>
          <w:numId w:val="11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服务商应提出故障解决方案，工作至故障修</w:t>
      </w:r>
      <w:proofErr w:type="gramStart"/>
      <w:r>
        <w:rPr>
          <w:rFonts w:ascii="宋体" w:hAnsi="宋体" w:cs="宋体" w:hint="eastAsia"/>
          <w:szCs w:val="21"/>
        </w:rPr>
        <w:t>妥</w:t>
      </w:r>
      <w:proofErr w:type="gramEnd"/>
      <w:r>
        <w:rPr>
          <w:rFonts w:ascii="宋体" w:hAnsi="宋体" w:cs="宋体" w:hint="eastAsia"/>
          <w:szCs w:val="21"/>
        </w:rPr>
        <w:t>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个工作日。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修改调整、系统集成响应：</w:t>
      </w:r>
      <w:r>
        <w:rPr>
          <w:rFonts w:ascii="宋体" w:hAnsi="宋体" w:hint="eastAsia"/>
          <w:bCs/>
          <w:szCs w:val="21"/>
        </w:rPr>
        <w:t>服务商应在院方提交修改调整内容后的30天内落实交付。</w:t>
      </w:r>
    </w:p>
    <w:p w:rsidR="00BE7B3F" w:rsidRDefault="00645C22">
      <w:pPr>
        <w:tabs>
          <w:tab w:val="left" w:pos="0"/>
        </w:tabs>
        <w:spacing w:beforeLines="50" w:before="156" w:line="360" w:lineRule="auto"/>
        <w:outlineLvl w:val="0"/>
        <w:rPr>
          <w:rFonts w:ascii="宋体" w:hAnsi="宋体"/>
          <w:bCs/>
          <w:szCs w:val="21"/>
        </w:rPr>
      </w:pPr>
      <w:proofErr w:type="gramStart"/>
      <w:r>
        <w:rPr>
          <w:rFonts w:ascii="宋体" w:hAnsi="宋体" w:hint="eastAsia"/>
          <w:bCs/>
          <w:szCs w:val="21"/>
        </w:rPr>
        <w:t>若服务商未能</w:t>
      </w:r>
      <w:proofErr w:type="gramEnd"/>
      <w:r>
        <w:rPr>
          <w:rFonts w:ascii="宋体" w:hAnsi="宋体" w:hint="eastAsia"/>
          <w:bCs/>
          <w:szCs w:val="21"/>
        </w:rPr>
        <w:t>及时进行需求响应，院方有权终止维护合同。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服务商应</w:t>
      </w:r>
      <w:proofErr w:type="gramStart"/>
      <w:r>
        <w:rPr>
          <w:rFonts w:ascii="宋体" w:hAnsi="宋体" w:hint="eastAsia"/>
          <w:b/>
          <w:szCs w:val="21"/>
        </w:rPr>
        <w:t>作出</w:t>
      </w:r>
      <w:proofErr w:type="gramEnd"/>
      <w:r>
        <w:rPr>
          <w:rFonts w:ascii="宋体" w:hAnsi="宋体" w:hint="eastAsia"/>
          <w:b/>
          <w:szCs w:val="21"/>
        </w:rPr>
        <w:t>无推诿承诺：</w:t>
      </w:r>
      <w:r>
        <w:rPr>
          <w:rFonts w:ascii="宋体" w:hAnsi="宋体" w:hint="eastAsia"/>
          <w:szCs w:val="21"/>
        </w:rPr>
        <w:t>即服务商在收到院方报修通知及要求后，须立即派技术人员到场，全力协助、使系统尽快恢复正常。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提供详细的维护人员清单</w:t>
      </w:r>
    </w:p>
    <w:p w:rsidR="00BE7B3F" w:rsidRDefault="00645C22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:rsidR="00BE7B3F" w:rsidRDefault="00645C22">
      <w:pPr>
        <w:numPr>
          <w:ilvl w:val="0"/>
          <w:numId w:val="10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系统维护工作要求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</w:t>
      </w:r>
      <w:proofErr w:type="gramStart"/>
      <w:r>
        <w:rPr>
          <w:rFonts w:ascii="宋体" w:hAnsi="宋体" w:cs="宋体" w:hint="eastAsia"/>
          <w:szCs w:val="21"/>
        </w:rPr>
        <w:t>作为维保履约</w:t>
      </w:r>
      <w:proofErr w:type="gramEnd"/>
      <w:r>
        <w:rPr>
          <w:rFonts w:ascii="宋体" w:hAnsi="宋体" w:cs="宋体" w:hint="eastAsia"/>
          <w:szCs w:val="21"/>
        </w:rPr>
        <w:t>证明。</w:t>
      </w:r>
    </w:p>
    <w:p w:rsidR="00BE7B3F" w:rsidRDefault="00645C22">
      <w:pPr>
        <w:numPr>
          <w:ilvl w:val="0"/>
          <w:numId w:val="12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定期每季度进行系统巡检，对系统运行的软硬件情况（尤其是数据库环境）进行监控，并出</w:t>
      </w:r>
      <w:r>
        <w:rPr>
          <w:rFonts w:ascii="宋体" w:hAnsi="宋体" w:cs="宋体" w:hint="eastAsia"/>
          <w:szCs w:val="21"/>
        </w:rPr>
        <w:lastRenderedPageBreak/>
        <w:t>具巡检报告，针对潜在的风险应提供解决方案并实施。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 w:cs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维护</w:t>
      </w:r>
      <w:r>
        <w:rPr>
          <w:rFonts w:ascii="宋体" w:hAnsi="宋体"/>
          <w:sz w:val="32"/>
          <w:szCs w:val="32"/>
        </w:rPr>
        <w:t>服务</w:t>
      </w:r>
      <w:r>
        <w:rPr>
          <w:rFonts w:ascii="宋体" w:hAnsi="宋体" w:hint="eastAsia"/>
          <w:sz w:val="32"/>
          <w:szCs w:val="32"/>
        </w:rPr>
        <w:t>验收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验收时间：由服务商向院方申请验收，合同到期后30个工作日内院方需启动验收。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验收人员：双方相关人员。</w:t>
      </w:r>
    </w:p>
    <w:p w:rsidR="00BE7B3F" w:rsidRDefault="00645C22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验收标准</w:t>
      </w:r>
    </w:p>
    <w:p w:rsidR="00BE7B3F" w:rsidRDefault="00645C22">
      <w:pPr>
        <w:numPr>
          <w:ilvl w:val="0"/>
          <w:numId w:val="14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日常维护、系统集成的验收：服务商提供维护记录（系统错误修复、系统数据修复、系统集成）经院方审核确认后验收。</w:t>
      </w:r>
    </w:p>
    <w:p w:rsidR="00BE7B3F" w:rsidRDefault="00645C22">
      <w:pPr>
        <w:numPr>
          <w:ilvl w:val="0"/>
          <w:numId w:val="14"/>
        </w:numPr>
        <w:tabs>
          <w:tab w:val="left" w:pos="0"/>
          <w:tab w:val="left" w:pos="420"/>
        </w:tabs>
        <w:spacing w:line="360" w:lineRule="auto"/>
        <w:ind w:firstLineChars="200" w:firstLine="420"/>
        <w:outlineLvl w:val="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修改调整：完成实施10个工作日后，服务商可申请</w:t>
      </w:r>
      <w:proofErr w:type="gramStart"/>
      <w:r>
        <w:rPr>
          <w:rFonts w:ascii="宋体" w:hAnsi="宋体" w:cs="宋体" w:hint="eastAsia"/>
          <w:szCs w:val="21"/>
        </w:rPr>
        <w:t>验收此</w:t>
      </w:r>
      <w:proofErr w:type="gramEnd"/>
      <w:r>
        <w:rPr>
          <w:rFonts w:ascii="宋体" w:hAnsi="宋体" w:cs="宋体" w:hint="eastAsia"/>
          <w:szCs w:val="21"/>
        </w:rPr>
        <w:t>修改调整。</w:t>
      </w:r>
    </w:p>
    <w:p w:rsidR="00BE7B3F" w:rsidRDefault="00BE7B3F">
      <w:pPr>
        <w:tabs>
          <w:tab w:val="left" w:pos="0"/>
          <w:tab w:val="left" w:pos="420"/>
        </w:tabs>
        <w:spacing w:line="360" w:lineRule="auto"/>
        <w:outlineLvl w:val="0"/>
        <w:rPr>
          <w:rFonts w:ascii="宋体" w:hAnsi="宋体"/>
          <w:szCs w:val="21"/>
        </w:rPr>
      </w:pPr>
    </w:p>
    <w:p w:rsidR="00BE7B3F" w:rsidRDefault="00645C22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BE7B3F" w:rsidRDefault="00645C22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服务期开始后，在收到开具相应金额正式发票后，支付合同总金额的30%。</w:t>
      </w:r>
    </w:p>
    <w:p w:rsidR="00BE7B3F" w:rsidRDefault="00645C22"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合同期满（服务时间达到100%）且通过维护验收，服务商提供完整维护服务记录及开具相应金额正式发票后，支付合同总金额的</w:t>
      </w:r>
      <w:r w:rsidR="004717F6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0%。</w:t>
      </w:r>
    </w:p>
    <w:sectPr w:rsidR="00BE7B3F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11" w:rsidRDefault="00822F11">
      <w:r>
        <w:separator/>
      </w:r>
    </w:p>
  </w:endnote>
  <w:endnote w:type="continuationSeparator" w:id="0">
    <w:p w:rsidR="00822F11" w:rsidRDefault="0082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F" w:rsidRDefault="00645C22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9623A4">
      <w:rPr>
        <w:caps/>
        <w:noProof/>
        <w:color w:val="5B9BD5"/>
      </w:rPr>
      <w:t>4</w:t>
    </w:r>
    <w:r>
      <w:rPr>
        <w:caps/>
        <w:color w:val="5B9BD5"/>
      </w:rPr>
      <w:fldChar w:fldCharType="end"/>
    </w:r>
  </w:p>
  <w:p w:rsidR="00BE7B3F" w:rsidRDefault="00BE7B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11" w:rsidRDefault="00822F11">
      <w:r>
        <w:separator/>
      </w:r>
    </w:p>
  </w:footnote>
  <w:footnote w:type="continuationSeparator" w:id="0">
    <w:p w:rsidR="00822F11" w:rsidRDefault="0082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915FB8"/>
    <w:multiLevelType w:val="multilevel"/>
    <w:tmpl w:val="A4915FB8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AC36344B"/>
    <w:multiLevelType w:val="singleLevel"/>
    <w:tmpl w:val="AC36344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 w15:restartNumberingAfterBreak="0">
    <w:nsid w:val="E27B7D34"/>
    <w:multiLevelType w:val="singleLevel"/>
    <w:tmpl w:val="E27B7D3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3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4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20785981"/>
    <w:multiLevelType w:val="multilevel"/>
    <w:tmpl w:val="20785981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56F8EC3"/>
    <w:multiLevelType w:val="singleLevel"/>
    <w:tmpl w:val="456F8EC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3" w15:restartNumberingAfterBreak="0">
    <w:nsid w:val="639C1ACD"/>
    <w:multiLevelType w:val="singleLevel"/>
    <w:tmpl w:val="639C1AC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4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44651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108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17F6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5C22"/>
    <w:rsid w:val="00646B59"/>
    <w:rsid w:val="006604C2"/>
    <w:rsid w:val="006861F5"/>
    <w:rsid w:val="00697FBB"/>
    <w:rsid w:val="006B2085"/>
    <w:rsid w:val="006B21B8"/>
    <w:rsid w:val="006B7B58"/>
    <w:rsid w:val="006C36EB"/>
    <w:rsid w:val="006C7C82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22F11"/>
    <w:rsid w:val="008419E9"/>
    <w:rsid w:val="008548FB"/>
    <w:rsid w:val="008623FD"/>
    <w:rsid w:val="00866774"/>
    <w:rsid w:val="00873B97"/>
    <w:rsid w:val="008A62AC"/>
    <w:rsid w:val="008B2206"/>
    <w:rsid w:val="008C255D"/>
    <w:rsid w:val="008C48CB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10145"/>
    <w:rsid w:val="0092017A"/>
    <w:rsid w:val="00922032"/>
    <w:rsid w:val="00925C23"/>
    <w:rsid w:val="00927E08"/>
    <w:rsid w:val="009303FA"/>
    <w:rsid w:val="00941F0C"/>
    <w:rsid w:val="00943004"/>
    <w:rsid w:val="00952F4C"/>
    <w:rsid w:val="009623A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74D5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E7B3F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8DC"/>
    <w:rsid w:val="00D23E20"/>
    <w:rsid w:val="00D30FA6"/>
    <w:rsid w:val="00D32842"/>
    <w:rsid w:val="00D407EB"/>
    <w:rsid w:val="00D454AB"/>
    <w:rsid w:val="00D536AB"/>
    <w:rsid w:val="00D54E0C"/>
    <w:rsid w:val="00D54EC3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3D3046D"/>
    <w:rsid w:val="07660241"/>
    <w:rsid w:val="081163FE"/>
    <w:rsid w:val="08BD20E2"/>
    <w:rsid w:val="1135092D"/>
    <w:rsid w:val="128D4874"/>
    <w:rsid w:val="138607AB"/>
    <w:rsid w:val="1D8F0099"/>
    <w:rsid w:val="24FB58B4"/>
    <w:rsid w:val="2694227D"/>
    <w:rsid w:val="272A498F"/>
    <w:rsid w:val="2EF04710"/>
    <w:rsid w:val="2EF517F7"/>
    <w:rsid w:val="30E83CED"/>
    <w:rsid w:val="377759CE"/>
    <w:rsid w:val="3958490F"/>
    <w:rsid w:val="398048E2"/>
    <w:rsid w:val="3ADE7B13"/>
    <w:rsid w:val="3B806EA2"/>
    <w:rsid w:val="3E18333B"/>
    <w:rsid w:val="42200080"/>
    <w:rsid w:val="42332E3A"/>
    <w:rsid w:val="446258EF"/>
    <w:rsid w:val="488C513A"/>
    <w:rsid w:val="4CD6689C"/>
    <w:rsid w:val="4CEE1E37"/>
    <w:rsid w:val="4FEB08B0"/>
    <w:rsid w:val="576A47B0"/>
    <w:rsid w:val="598C7745"/>
    <w:rsid w:val="59E3084A"/>
    <w:rsid w:val="5A920A05"/>
    <w:rsid w:val="5D9F2CDA"/>
    <w:rsid w:val="5DC159D2"/>
    <w:rsid w:val="5FB07420"/>
    <w:rsid w:val="609F2058"/>
    <w:rsid w:val="61A909EB"/>
    <w:rsid w:val="627C183B"/>
    <w:rsid w:val="63A64DC2"/>
    <w:rsid w:val="63A81BA8"/>
    <w:rsid w:val="645E3C90"/>
    <w:rsid w:val="660F1965"/>
    <w:rsid w:val="6F2319BD"/>
    <w:rsid w:val="726E2F4F"/>
    <w:rsid w:val="72FF7B02"/>
    <w:rsid w:val="7671300D"/>
    <w:rsid w:val="7E327526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8EAF02-FA01-426E-A7F1-F4EEFEB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autoRedefine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autoRedefine/>
    <w:qFormat/>
    <w:rPr>
      <w:sz w:val="18"/>
      <w:szCs w:val="18"/>
      <w:lang w:val="zh-CN"/>
    </w:rPr>
  </w:style>
  <w:style w:type="paragraph" w:styleId="ac">
    <w:name w:val="footer"/>
    <w:basedOn w:val="a1"/>
    <w:link w:val="1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autoRedefine/>
    <w:qFormat/>
    <w:rPr>
      <w:color w:val="0563C1"/>
      <w:u w:val="single"/>
    </w:rPr>
  </w:style>
  <w:style w:type="character" w:styleId="af4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autoRedefine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autoRedefine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autoRedefine/>
    <w:qFormat/>
    <w:rPr>
      <w:szCs w:val="24"/>
    </w:rPr>
  </w:style>
  <w:style w:type="character" w:customStyle="1" w:styleId="a9">
    <w:name w:val="纯文本 字符"/>
    <w:link w:val="a8"/>
    <w:autoRedefine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autoRedefine/>
    <w:qFormat/>
    <w:rPr>
      <w:kern w:val="2"/>
      <w:sz w:val="18"/>
      <w:szCs w:val="18"/>
    </w:rPr>
  </w:style>
  <w:style w:type="character" w:customStyle="1" w:styleId="12">
    <w:name w:val="页脚 字符1"/>
    <w:link w:val="ac"/>
    <w:autoRedefine/>
    <w:qFormat/>
    <w:rPr>
      <w:kern w:val="2"/>
      <w:sz w:val="18"/>
      <w:szCs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13">
    <w:name w:val="已访问的超链接1"/>
    <w:autoRedefine/>
    <w:qFormat/>
    <w:rPr>
      <w:color w:val="800080"/>
      <w:u w:val="single"/>
    </w:rPr>
  </w:style>
  <w:style w:type="character" w:customStyle="1" w:styleId="2Char">
    <w:name w:val="正文（首行缩进2字符） Char"/>
    <w:link w:val="21"/>
    <w:autoRedefine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autoRedefine/>
    <w:uiPriority w:val="99"/>
    <w:qFormat/>
  </w:style>
  <w:style w:type="character" w:customStyle="1" w:styleId="af8">
    <w:name w:val="列出段落 字符"/>
    <w:link w:val="af9"/>
    <w:autoRedefine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autoRedefine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autoRedefine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11</cp:revision>
  <dcterms:created xsi:type="dcterms:W3CDTF">2022-01-06T02:43:00Z</dcterms:created>
  <dcterms:modified xsi:type="dcterms:W3CDTF">2025-07-02T08:40:00Z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E6BF652D54F944798887341195E59480</vt:lpwstr>
  </property>
</Properties>
</file>