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14EE3">
      <w:pPr>
        <w:pStyle w:val="3"/>
        <w:numPr>
          <w:ilvl w:val="0"/>
          <w:numId w:val="0"/>
        </w:numPr>
        <w:bidi w:val="0"/>
        <w:ind w:leftChars="0"/>
        <w:jc w:val="center"/>
        <w:rPr>
          <w:rFonts w:hint="eastAsia" w:ascii="宋体" w:hAnsi="宋体" w:eastAsia="宋体" w:cs="宋体"/>
        </w:rPr>
      </w:pPr>
      <w:r>
        <w:rPr>
          <w:rFonts w:hint="eastAsia" w:ascii="宋体" w:hAnsi="宋体" w:eastAsia="宋体" w:cs="宋体"/>
        </w:rPr>
        <w:t>支撑辅助及管理类信息系统运维管理</w:t>
      </w:r>
    </w:p>
    <w:p w14:paraId="4C3A12B6">
      <w:pPr>
        <w:pStyle w:val="3"/>
        <w:numPr>
          <w:ilvl w:val="0"/>
          <w:numId w:val="0"/>
        </w:numPr>
        <w:bidi w:val="0"/>
        <w:ind w:leftChars="0"/>
        <w:jc w:val="center"/>
        <w:rPr>
          <w:rFonts w:hint="eastAsia" w:ascii="宋体" w:hAnsi="宋体" w:eastAsia="宋体" w:cs="宋体"/>
          <w:lang w:val="en-US"/>
        </w:rPr>
      </w:pPr>
      <w:r>
        <w:rPr>
          <w:rFonts w:hint="eastAsia" w:ascii="宋体" w:hAnsi="宋体" w:eastAsia="宋体" w:cs="宋体"/>
        </w:rPr>
        <w:t>服务项目(202</w:t>
      </w:r>
      <w:r>
        <w:rPr>
          <w:rFonts w:hint="eastAsia" w:ascii="宋体" w:hAnsi="宋体" w:cs="宋体"/>
          <w:lang w:val="en-US" w:eastAsia="zh-CN"/>
        </w:rPr>
        <w:t>6</w:t>
      </w:r>
      <w:r>
        <w:rPr>
          <w:rFonts w:hint="eastAsia" w:ascii="宋体" w:hAnsi="宋体" w:eastAsia="宋体" w:cs="宋体"/>
        </w:rPr>
        <w:t>年)需求</w:t>
      </w:r>
    </w:p>
    <w:p w14:paraId="64B556BB">
      <w:pPr>
        <w:pStyle w:val="3"/>
        <w:numPr>
          <w:ilvl w:val="0"/>
          <w:numId w:val="2"/>
        </w:numPr>
        <w:spacing w:before="0" w:after="0"/>
        <w:rPr>
          <w:rFonts w:hint="eastAsia" w:ascii="宋体" w:hAnsi="宋体" w:eastAsia="宋体" w:cs="宋体"/>
          <w:sz w:val="32"/>
          <w:szCs w:val="32"/>
          <w:lang w:val="en-US"/>
        </w:rPr>
      </w:pPr>
      <w:r>
        <w:rPr>
          <w:rFonts w:hint="eastAsia" w:ascii="宋体" w:hAnsi="宋体" w:eastAsia="宋体" w:cs="宋体"/>
          <w:sz w:val="32"/>
          <w:szCs w:val="32"/>
          <w:lang w:val="en-US"/>
        </w:rPr>
        <w:t>项目名称</w:t>
      </w:r>
    </w:p>
    <w:p w14:paraId="2EA326BB">
      <w:pPr>
        <w:pStyle w:val="3"/>
        <w:keepNext/>
        <w:keepLines/>
        <w:pageBreakBefore w:val="0"/>
        <w:widowControl w:val="0"/>
        <w:numPr>
          <w:ilvl w:val="0"/>
          <w:numId w:val="0"/>
        </w:numPr>
        <w:kinsoku/>
        <w:wordWrap/>
        <w:overflowPunct/>
        <w:topLinePunct w:val="0"/>
        <w:autoSpaceDE/>
        <w:autoSpaceDN/>
        <w:bidi w:val="0"/>
        <w:adjustRightInd/>
        <w:snapToGrid/>
        <w:spacing w:before="0" w:after="0" w:line="579" w:lineRule="auto"/>
        <w:ind w:left="0" w:firstLine="420" w:firstLineChars="200"/>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项目名称:支撑辅助及管理类信息系统运维管理服务项目(202</w:t>
      </w:r>
      <w:r>
        <w:rPr>
          <w:rFonts w:hint="eastAsia" w:ascii="宋体" w:hAnsi="宋体" w:cs="宋体"/>
          <w:b w:val="0"/>
          <w:bCs w:val="0"/>
          <w:kern w:val="2"/>
          <w:sz w:val="21"/>
          <w:szCs w:val="24"/>
          <w:lang w:val="en-US" w:eastAsia="zh-CN" w:bidi="ar-SA"/>
        </w:rPr>
        <w:t>6</w:t>
      </w:r>
      <w:r>
        <w:rPr>
          <w:rFonts w:hint="eastAsia" w:ascii="宋体" w:hAnsi="宋体" w:eastAsia="宋体" w:cs="宋体"/>
          <w:b w:val="0"/>
          <w:bCs w:val="0"/>
          <w:kern w:val="2"/>
          <w:sz w:val="21"/>
          <w:szCs w:val="24"/>
          <w:lang w:val="en-US" w:eastAsia="zh-CN" w:bidi="ar-SA"/>
        </w:rPr>
        <w:t>年)</w:t>
      </w:r>
    </w:p>
    <w:p w14:paraId="64A236E8">
      <w:pPr>
        <w:pStyle w:val="3"/>
        <w:numPr>
          <w:ilvl w:val="0"/>
          <w:numId w:val="2"/>
        </w:numPr>
        <w:spacing w:before="0" w:after="0"/>
        <w:rPr>
          <w:rFonts w:hint="eastAsia" w:ascii="宋体" w:hAnsi="宋体" w:eastAsia="宋体" w:cs="宋体"/>
          <w:sz w:val="32"/>
          <w:szCs w:val="32"/>
        </w:rPr>
      </w:pPr>
      <w:r>
        <w:rPr>
          <w:rFonts w:hint="eastAsia" w:ascii="宋体" w:hAnsi="宋体" w:eastAsia="宋体" w:cs="宋体"/>
          <w:sz w:val="32"/>
          <w:szCs w:val="32"/>
          <w:lang w:val="en-US"/>
        </w:rPr>
        <w:t>项目背景</w:t>
      </w:r>
    </w:p>
    <w:p w14:paraId="443DF010">
      <w:pPr>
        <w:spacing w:line="360" w:lineRule="auto"/>
        <w:ind w:firstLine="420" w:firstLineChars="200"/>
        <w:rPr>
          <w:rFonts w:hint="eastAsia" w:ascii="宋体" w:hAnsi="宋体" w:eastAsia="宋体" w:cs="宋体"/>
        </w:rPr>
      </w:pPr>
      <w:r>
        <w:rPr>
          <w:rFonts w:hint="eastAsia" w:ascii="宋体" w:hAnsi="宋体" w:eastAsia="宋体" w:cs="宋体"/>
        </w:rPr>
        <w:t>随着医疗技术的不断发展和医疗需求的增加，医院支撑辅助及管理类信息系统已经成为医院运营的重要组成部分。这些系统不仅包括传统的医院管理系统，还</w:t>
      </w:r>
      <w:r>
        <w:rPr>
          <w:rFonts w:hint="eastAsia" w:ascii="宋体" w:hAnsi="宋体" w:eastAsia="宋体" w:cs="宋体"/>
          <w:lang w:val="en-US" w:eastAsia="zh-CN"/>
        </w:rPr>
        <w:t>涵</w:t>
      </w:r>
      <w:r>
        <w:rPr>
          <w:rFonts w:hint="eastAsia" w:ascii="宋体" w:hAnsi="宋体" w:eastAsia="宋体" w:cs="宋体"/>
        </w:rPr>
        <w:t>盖了医疗影像系统、实验室信息系统、药品管理系统等多个方面</w:t>
      </w:r>
      <w:r>
        <w:rPr>
          <w:rFonts w:hint="eastAsia" w:ascii="宋体" w:hAnsi="宋体" w:eastAsia="宋体" w:cs="宋体"/>
          <w:lang w:val="en-US" w:eastAsia="zh-CN"/>
        </w:rPr>
        <w:t>的系统</w:t>
      </w:r>
      <w:r>
        <w:rPr>
          <w:rFonts w:hint="eastAsia" w:ascii="宋体" w:hAnsi="宋体" w:eastAsia="宋体" w:cs="宋体"/>
        </w:rPr>
        <w:t>，为医院提供了全面的支持和辅助功能。这些系统的运行稳定性和安全性对医院的正常运营和医疗服务质量至关重要。</w:t>
      </w:r>
    </w:p>
    <w:p w14:paraId="41F79356">
      <w:pPr>
        <w:spacing w:line="360" w:lineRule="auto"/>
        <w:ind w:firstLine="420" w:firstLineChars="200"/>
        <w:rPr>
          <w:rFonts w:hint="eastAsia" w:ascii="宋体" w:hAnsi="宋体" w:eastAsia="宋体" w:cs="宋体"/>
        </w:rPr>
      </w:pPr>
      <w:r>
        <w:rPr>
          <w:rFonts w:hint="eastAsia" w:ascii="宋体" w:hAnsi="宋体" w:eastAsia="宋体" w:cs="宋体"/>
        </w:rPr>
        <w:t>然而，随着医院信息系统的不断升级和扩展，系统的管理和运维工作变得日益复杂和繁重。为了确保系统的稳定运行和高效运转，医院需要建立一个完善的一体化运维管理服务体系。这个体系将涵盖系统监控、故障排除、性能优化、安全防护、系统优化、选代升级</w:t>
      </w:r>
      <w:r>
        <w:rPr>
          <w:rFonts w:hint="eastAsia" w:ascii="宋体" w:hAnsi="宋体" w:eastAsia="宋体" w:cs="宋体"/>
          <w:lang w:val="en-US" w:eastAsia="zh-CN"/>
        </w:rPr>
        <w:t>以</w:t>
      </w:r>
      <w:r>
        <w:rPr>
          <w:rFonts w:hint="eastAsia" w:ascii="宋体" w:hAnsi="宋体" w:eastAsia="宋体" w:cs="宋体"/>
        </w:rPr>
        <w:t>及人员驻场运维服务等多个方面</w:t>
      </w:r>
      <w:r>
        <w:rPr>
          <w:rFonts w:hint="eastAsia" w:ascii="宋体" w:hAnsi="宋体" w:eastAsia="宋体" w:cs="宋体"/>
          <w:lang w:val="en-US" w:eastAsia="zh-CN"/>
        </w:rPr>
        <w:t>内容</w:t>
      </w:r>
      <w:r>
        <w:rPr>
          <w:rFonts w:hint="eastAsia" w:ascii="宋体" w:hAnsi="宋体" w:eastAsia="宋体" w:cs="宋体"/>
        </w:rPr>
        <w:t>，为医院的信息系统提供全方位的管理和支持。</w:t>
      </w:r>
    </w:p>
    <w:p w14:paraId="4CF9A725">
      <w:pPr>
        <w:spacing w:line="360" w:lineRule="auto"/>
        <w:ind w:firstLine="420" w:firstLineChars="200"/>
        <w:rPr>
          <w:rFonts w:hint="eastAsia" w:ascii="宋体" w:hAnsi="宋体" w:eastAsia="宋体" w:cs="宋体"/>
          <w:sz w:val="21"/>
          <w:szCs w:val="24"/>
          <w:lang w:val="en-US"/>
        </w:rPr>
      </w:pPr>
      <w:r>
        <w:rPr>
          <w:rFonts w:hint="eastAsia" w:ascii="宋体" w:hAnsi="宋体" w:eastAsia="宋体" w:cs="宋体"/>
        </w:rPr>
        <w:t>本项目的建设目标是通过建立一个完善的医院支撑辅助及管理类信息系统一体化运维管理服务体系，提升医院信息化水平，优化医疗服务流程，提高医疗服务质里和效率。具体目标包括</w:t>
      </w:r>
      <w:r>
        <w:rPr>
          <w:rFonts w:hint="eastAsia" w:ascii="宋体" w:hAnsi="宋体" w:eastAsia="宋体" w:cs="宋体"/>
          <w:lang w:eastAsia="zh-CN"/>
        </w:rPr>
        <w:t>：</w:t>
      </w:r>
      <w:r>
        <w:rPr>
          <w:rFonts w:hint="eastAsia" w:ascii="宋体" w:hAnsi="宋体" w:eastAsia="宋体" w:cs="宋体"/>
        </w:rPr>
        <w:t>1.提高系统稳定性</w:t>
      </w:r>
      <w:r>
        <w:rPr>
          <w:rFonts w:hint="eastAsia" w:ascii="宋体" w:hAnsi="宋体" w:eastAsia="宋体" w:cs="宋体"/>
          <w:lang w:eastAsia="zh-CN"/>
        </w:rPr>
        <w:t>：</w:t>
      </w:r>
      <w:r>
        <w:rPr>
          <w:rFonts w:hint="eastAsia" w:ascii="宋体" w:hAnsi="宋体" w:eastAsia="宋体" w:cs="宋体"/>
        </w:rPr>
        <w:t>通过全面监控和及时响应系统问题，降低系统故障率，确保医院信息系统的稳定运行。2.提升系统性能</w:t>
      </w:r>
      <w:r>
        <w:rPr>
          <w:rFonts w:hint="eastAsia" w:ascii="宋体" w:hAnsi="宋体" w:eastAsia="宋体" w:cs="宋体"/>
          <w:lang w:eastAsia="zh-CN"/>
        </w:rPr>
        <w:t>：</w:t>
      </w:r>
      <w:r>
        <w:rPr>
          <w:rFonts w:hint="eastAsia" w:ascii="宋体" w:hAnsi="宋体" w:eastAsia="宋体" w:cs="宋体"/>
        </w:rPr>
        <w:t>优化系统配置和性能调整，提高系统运行效率，加快数据处理速度，提升用户体验</w:t>
      </w:r>
      <w:r>
        <w:rPr>
          <w:rFonts w:hint="eastAsia" w:ascii="宋体" w:hAnsi="宋体" w:eastAsia="宋体" w:cs="宋体"/>
          <w:lang w:eastAsia="zh-CN"/>
        </w:rPr>
        <w:t>。</w:t>
      </w:r>
      <w:r>
        <w:rPr>
          <w:rFonts w:hint="eastAsia" w:ascii="宋体" w:hAnsi="宋体" w:eastAsia="宋体" w:cs="宋体"/>
        </w:rPr>
        <w:t>3.强化安全防护</w:t>
      </w:r>
      <w:r>
        <w:rPr>
          <w:rFonts w:hint="eastAsia" w:ascii="宋体" w:hAnsi="宋体" w:eastAsia="宋体" w:cs="宋体"/>
          <w:lang w:eastAsia="zh-CN"/>
        </w:rPr>
        <w:t>：</w:t>
      </w:r>
      <w:r>
        <w:rPr>
          <w:rFonts w:hint="eastAsia" w:ascii="宋体" w:hAnsi="宋体" w:eastAsia="宋体" w:cs="宋体"/>
        </w:rPr>
        <w:t>建立完善的安全管理机制，加强系统安全防护，保障医院信息系统数据的安全性和完整性。4.提高运维效率</w:t>
      </w:r>
      <w:r>
        <w:rPr>
          <w:rFonts w:hint="eastAsia" w:ascii="宋体" w:hAnsi="宋体" w:eastAsia="宋体" w:cs="宋体"/>
          <w:lang w:eastAsia="zh-CN"/>
        </w:rPr>
        <w:t>：</w:t>
      </w:r>
      <w:r>
        <w:rPr>
          <w:rFonts w:hint="eastAsia" w:ascii="宋体" w:hAnsi="宋体" w:eastAsia="宋体" w:cs="宋体"/>
        </w:rPr>
        <w:t>优化运维流程，提高运维团队的工作效率，减少系统故障的处理时间，提升整体运维管理水平。5.支持医院发展</w:t>
      </w:r>
      <w:r>
        <w:rPr>
          <w:rFonts w:hint="eastAsia" w:ascii="宋体" w:hAnsi="宋体" w:eastAsia="宋体" w:cs="宋体"/>
          <w:lang w:eastAsia="zh-CN"/>
        </w:rPr>
        <w:t>：</w:t>
      </w:r>
      <w:r>
        <w:rPr>
          <w:rFonts w:hint="eastAsia" w:ascii="宋体" w:hAnsi="宋体" w:eastAsia="宋体" w:cs="宋体"/>
        </w:rPr>
        <w:t>为医院的信息化建设提供可靠的技术支持，推动医院信息化水平的不断提升，促进医院的可持续发展。通过实现以上目标，我们将为医院打造一个高效、安全、稳定的信息化运维管理体系，为医院的发展和病患的健康提供更加可靠的支持和保障。</w:t>
      </w:r>
    </w:p>
    <w:p w14:paraId="687CD791">
      <w:pPr>
        <w:pStyle w:val="3"/>
        <w:numPr>
          <w:ilvl w:val="0"/>
          <w:numId w:val="2"/>
        </w:numPr>
        <w:spacing w:before="0" w:after="0"/>
        <w:rPr>
          <w:rFonts w:hint="eastAsia" w:ascii="宋体" w:hAnsi="宋体" w:eastAsia="宋体" w:cs="宋体"/>
        </w:rPr>
      </w:pPr>
      <w:r>
        <w:rPr>
          <w:rFonts w:hint="eastAsia" w:ascii="宋体" w:hAnsi="宋体" w:eastAsia="宋体" w:cs="宋体"/>
          <w:sz w:val="32"/>
          <w:szCs w:val="32"/>
          <w:lang w:val="en-US"/>
        </w:rPr>
        <w:t>项目内容</w:t>
      </w:r>
      <w:bookmarkStart w:id="0" w:name="_6.1.2、容器服务器"/>
      <w:bookmarkEnd w:id="0"/>
    </w:p>
    <w:p w14:paraId="507AE495">
      <w:pPr>
        <w:pStyle w:val="4"/>
        <w:rPr>
          <w:rFonts w:hint="eastAsia" w:ascii="宋体" w:hAnsi="宋体" w:eastAsia="宋体" w:cs="宋体"/>
        </w:rPr>
      </w:pPr>
      <w:r>
        <w:rPr>
          <w:rFonts w:hint="eastAsia" w:ascii="宋体" w:hAnsi="宋体" w:eastAsia="宋体" w:cs="宋体"/>
          <w:sz w:val="30"/>
          <w:szCs w:val="30"/>
          <w:lang w:val="en-US"/>
        </w:rPr>
        <w:t>3.1服务内容</w:t>
      </w:r>
    </w:p>
    <w:p w14:paraId="1E2CFA4E">
      <w:pPr>
        <w:pStyle w:val="5"/>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lang w:val="en-US" w:eastAsia="zh-CN"/>
        </w:rPr>
        <w:t>1</w:t>
      </w:r>
      <w:r>
        <w:rPr>
          <w:rFonts w:hint="eastAsia" w:ascii="宋体" w:hAnsi="宋体" w:eastAsia="宋体" w:cs="宋体"/>
          <w:lang w:val="en-US"/>
        </w:rPr>
        <w:t>.1业务系统一线驻场技术服务</w:t>
      </w:r>
    </w:p>
    <w:p w14:paraId="6B7E16AF">
      <w:pPr>
        <w:numPr>
          <w:ilvl w:val="0"/>
          <w:numId w:val="0"/>
        </w:numPr>
        <w:spacing w:line="360" w:lineRule="auto"/>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驻场运维服务： 在服务周期内，安排</w:t>
      </w:r>
      <w:r>
        <w:rPr>
          <w:rFonts w:hint="eastAsia" w:ascii="宋体" w:hAnsi="宋体" w:cs="宋体"/>
          <w:szCs w:val="21"/>
          <w:highlight w:val="none"/>
          <w:lang w:val="en-US" w:eastAsia="zh-CN"/>
        </w:rPr>
        <w:t>不少于</w:t>
      </w:r>
      <w:r>
        <w:rPr>
          <w:rFonts w:hint="eastAsia" w:ascii="宋体" w:hAnsi="宋体" w:eastAsia="宋体" w:cs="宋体"/>
          <w:szCs w:val="21"/>
          <w:highlight w:val="none"/>
        </w:rPr>
        <w:t>1名项目经理及</w:t>
      </w:r>
      <w:r>
        <w:rPr>
          <w:rFonts w:hint="eastAsia" w:ascii="宋体" w:hAnsi="宋体" w:cs="宋体"/>
          <w:szCs w:val="21"/>
          <w:highlight w:val="none"/>
          <w:lang w:val="en-US" w:eastAsia="zh-CN"/>
        </w:rPr>
        <w:t>不少于</w:t>
      </w:r>
      <w:r>
        <w:rPr>
          <w:rFonts w:hint="eastAsia" w:ascii="宋体" w:hAnsi="宋体" w:eastAsia="宋体" w:cs="宋体"/>
          <w:szCs w:val="21"/>
          <w:highlight w:val="none"/>
        </w:rPr>
        <w:t>3名技术工程师长期</w:t>
      </w:r>
      <w:r>
        <w:rPr>
          <w:rFonts w:hint="eastAsia" w:ascii="宋体" w:hAnsi="宋体" w:cs="宋体"/>
          <w:szCs w:val="21"/>
          <w:highlight w:val="none"/>
          <w:lang w:val="en-US" w:eastAsia="zh-CN"/>
        </w:rPr>
        <w:t>驻场</w:t>
      </w:r>
      <w:r>
        <w:rPr>
          <w:rFonts w:hint="eastAsia" w:ascii="宋体" w:hAnsi="宋体" w:eastAsia="宋体" w:cs="宋体"/>
          <w:szCs w:val="21"/>
          <w:highlight w:val="none"/>
        </w:rPr>
        <w:t>在院内对各业务系统（附件）提供日常的</w:t>
      </w:r>
      <w:r>
        <w:rPr>
          <w:rFonts w:hint="eastAsia" w:ascii="宋体" w:hAnsi="宋体" w:cs="宋体"/>
          <w:szCs w:val="21"/>
          <w:highlight w:val="none"/>
          <w:lang w:val="en-US" w:eastAsia="zh-CN"/>
        </w:rPr>
        <w:t>技术</w:t>
      </w:r>
      <w:r>
        <w:rPr>
          <w:rFonts w:hint="eastAsia" w:ascii="宋体" w:hAnsi="宋体" w:eastAsia="宋体" w:cs="宋体"/>
          <w:szCs w:val="21"/>
          <w:highlight w:val="none"/>
        </w:rPr>
        <w:t>服务管理及</w:t>
      </w:r>
      <w:r>
        <w:rPr>
          <w:rFonts w:hint="eastAsia" w:ascii="宋体" w:hAnsi="宋体" w:cs="宋体"/>
          <w:szCs w:val="21"/>
          <w:highlight w:val="none"/>
          <w:lang w:val="en-US" w:eastAsia="zh-CN"/>
        </w:rPr>
        <w:t>软硬件技术</w:t>
      </w:r>
      <w:r>
        <w:rPr>
          <w:rFonts w:hint="eastAsia" w:ascii="宋体" w:hAnsi="宋体" w:eastAsia="宋体" w:cs="宋体"/>
          <w:szCs w:val="21"/>
          <w:highlight w:val="none"/>
        </w:rPr>
        <w:t>服务支持工作。本项目涉及</w:t>
      </w:r>
      <w:r>
        <w:rPr>
          <w:rFonts w:hint="eastAsia" w:ascii="宋体" w:hAnsi="宋体" w:eastAsia="宋体" w:cs="宋体"/>
          <w:szCs w:val="21"/>
          <w:highlight w:val="none"/>
          <w:lang w:val="en-US" w:eastAsia="zh-CN"/>
        </w:rPr>
        <w:t>系统</w:t>
      </w:r>
      <w:r>
        <w:rPr>
          <w:rFonts w:hint="eastAsia" w:ascii="宋体" w:hAnsi="宋体" w:eastAsia="宋体" w:cs="宋体"/>
          <w:szCs w:val="21"/>
          <w:highlight w:val="none"/>
        </w:rPr>
        <w:t>运维范围较广，需对</w:t>
      </w:r>
      <w:r>
        <w:rPr>
          <w:rFonts w:hint="eastAsia" w:ascii="宋体" w:hAnsi="宋体" w:eastAsia="宋体" w:cs="宋体"/>
          <w:szCs w:val="21"/>
          <w:highlight w:val="none"/>
          <w:lang w:val="en-US" w:eastAsia="zh-CN"/>
        </w:rPr>
        <w:t>多个系统</w:t>
      </w:r>
      <w:r>
        <w:rPr>
          <w:rFonts w:hint="eastAsia" w:ascii="宋体" w:hAnsi="宋体" w:eastAsia="宋体" w:cs="宋体"/>
          <w:szCs w:val="21"/>
          <w:highlight w:val="none"/>
        </w:rPr>
        <w:t>进行整体运维，</w:t>
      </w:r>
      <w:r>
        <w:rPr>
          <w:rFonts w:ascii="Segoe UI" w:hAnsi="Segoe UI" w:eastAsia="Segoe UI" w:cs="Segoe UI"/>
          <w:i w:val="0"/>
          <w:iCs w:val="0"/>
          <w:caps w:val="0"/>
          <w:color w:val="05073B"/>
          <w:spacing w:val="0"/>
          <w:sz w:val="22"/>
          <w:szCs w:val="22"/>
          <w:shd w:val="clear" w:fill="FDFDFE"/>
        </w:rPr>
        <w:t>针对重点业务系统，提供原厂维保服务，以确保服务质量</w:t>
      </w:r>
      <w:r>
        <w:rPr>
          <w:rFonts w:hint="eastAsia" w:ascii="宋体" w:hAnsi="宋体" w:eastAsia="宋体" w:cs="宋体"/>
          <w:szCs w:val="21"/>
          <w:highlight w:val="none"/>
          <w:lang w:val="en-US" w:eastAsia="zh-CN"/>
        </w:rPr>
        <w:t>。</w:t>
      </w:r>
    </w:p>
    <w:p w14:paraId="7C200EBE">
      <w:pPr>
        <w:numPr>
          <w:ilvl w:val="0"/>
          <w:numId w:val="3"/>
        </w:numPr>
        <w:spacing w:line="360" w:lineRule="auto"/>
        <w:rPr>
          <w:rFonts w:hint="eastAsia" w:ascii="宋体" w:hAnsi="宋体" w:eastAsia="宋体" w:cs="宋体"/>
        </w:rPr>
      </w:pPr>
      <w:r>
        <w:rPr>
          <w:rFonts w:hint="eastAsia" w:ascii="宋体" w:hAnsi="宋体" w:eastAsia="宋体" w:cs="宋体"/>
        </w:rPr>
        <w:t>日常服务：定期分析与处理业务系统的问题和潜在风险；对系统及其数据进行常规维护；</w:t>
      </w:r>
      <w:r>
        <w:rPr>
          <w:rFonts w:ascii="Segoe UI" w:hAnsi="Segoe UI" w:eastAsia="Segoe UI" w:cs="Segoe UI"/>
          <w:i w:val="0"/>
          <w:iCs w:val="0"/>
          <w:caps w:val="0"/>
          <w:color w:val="05073B"/>
          <w:spacing w:val="0"/>
          <w:sz w:val="22"/>
          <w:szCs w:val="22"/>
          <w:shd w:val="clear" w:fill="FDFDFE"/>
        </w:rPr>
        <w:t>对业务系统进行优化调整</w:t>
      </w:r>
      <w:r>
        <w:rPr>
          <w:rFonts w:hint="eastAsia" w:ascii="宋体" w:hAnsi="宋体" w:eastAsia="宋体" w:cs="宋体"/>
        </w:rPr>
        <w:t>；</w:t>
      </w:r>
      <w:r>
        <w:rPr>
          <w:rFonts w:ascii="Segoe UI" w:hAnsi="Segoe UI" w:eastAsia="Segoe UI" w:cs="Segoe UI"/>
          <w:i w:val="0"/>
          <w:iCs w:val="0"/>
          <w:caps w:val="0"/>
          <w:color w:val="05073B"/>
          <w:spacing w:val="0"/>
          <w:sz w:val="22"/>
          <w:szCs w:val="22"/>
          <w:shd w:val="clear" w:fill="FDFDFE"/>
        </w:rPr>
        <w:t>实施系统与数据安全策略</w:t>
      </w:r>
      <w:r>
        <w:rPr>
          <w:rFonts w:hint="eastAsia" w:ascii="宋体" w:hAnsi="宋体" w:eastAsia="宋体" w:cs="宋体"/>
        </w:rPr>
        <w:t>；确保系统现有接口的稳定运行；配合完成信息系统评审工作（</w:t>
      </w:r>
      <w:r>
        <w:rPr>
          <w:rFonts w:ascii="Segoe UI" w:hAnsi="Segoe UI" w:eastAsia="Segoe UI" w:cs="Segoe UI"/>
          <w:i w:val="0"/>
          <w:iCs w:val="0"/>
          <w:caps w:val="0"/>
          <w:color w:val="05073B"/>
          <w:spacing w:val="0"/>
          <w:sz w:val="22"/>
          <w:szCs w:val="22"/>
          <w:shd w:val="clear" w:fill="FDFDFE"/>
        </w:rPr>
        <w:t>如提供数据视图、数据补充与完善等</w:t>
      </w:r>
      <w:r>
        <w:rPr>
          <w:rFonts w:hint="eastAsia" w:ascii="宋体" w:hAnsi="宋体" w:eastAsia="宋体" w:cs="宋体"/>
        </w:rPr>
        <w:t>）</w:t>
      </w:r>
      <w:r>
        <w:rPr>
          <w:rFonts w:hint="eastAsia" w:ascii="宋体" w:hAnsi="宋体" w:eastAsia="宋体" w:cs="宋体"/>
          <w:lang w:eastAsia="zh-CN"/>
        </w:rPr>
        <w:t>；</w:t>
      </w:r>
      <w:r>
        <w:rPr>
          <w:rFonts w:ascii="Segoe UI" w:hAnsi="Segoe UI" w:eastAsia="Segoe UI" w:cs="Segoe UI"/>
          <w:i w:val="0"/>
          <w:iCs w:val="0"/>
          <w:caps w:val="0"/>
          <w:color w:val="05073B"/>
          <w:spacing w:val="0"/>
          <w:sz w:val="22"/>
          <w:szCs w:val="22"/>
          <w:shd w:val="clear" w:fill="FDFDFE"/>
        </w:rPr>
        <w:t>为用户提供系统操作指引和培训</w:t>
      </w:r>
      <w:r>
        <w:rPr>
          <w:rFonts w:hint="eastAsia" w:ascii="宋体" w:hAnsi="宋体" w:eastAsia="宋体" w:cs="宋体"/>
        </w:rPr>
        <w:t>；</w:t>
      </w:r>
      <w:r>
        <w:rPr>
          <w:rFonts w:ascii="Segoe UI" w:hAnsi="Segoe UI" w:eastAsia="Segoe UI" w:cs="Segoe UI"/>
          <w:i w:val="0"/>
          <w:iCs w:val="0"/>
          <w:caps w:val="0"/>
          <w:color w:val="05073B"/>
          <w:spacing w:val="0"/>
          <w:sz w:val="22"/>
          <w:szCs w:val="22"/>
          <w:shd w:val="clear" w:fill="FDFDFE"/>
        </w:rPr>
        <w:t>根据用户需求，提供其他支持，如报表导出、数据整理等</w:t>
      </w:r>
      <w:r>
        <w:rPr>
          <w:rFonts w:hint="eastAsia" w:ascii="宋体" w:hAnsi="宋体" w:eastAsia="宋体" w:cs="宋体"/>
        </w:rPr>
        <w:t>。</w:t>
      </w:r>
    </w:p>
    <w:p w14:paraId="677D3FBA">
      <w:pPr>
        <w:numPr>
          <w:ilvl w:val="0"/>
          <w:numId w:val="3"/>
        </w:numPr>
        <w:spacing w:line="360" w:lineRule="auto"/>
        <w:rPr>
          <w:rFonts w:hint="eastAsia" w:ascii="宋体" w:hAnsi="宋体" w:eastAsia="宋体" w:cs="宋体"/>
        </w:rPr>
      </w:pPr>
      <w:r>
        <w:rPr>
          <w:rFonts w:hint="eastAsia" w:ascii="宋体" w:hAnsi="宋体" w:eastAsia="宋体" w:cs="宋体"/>
        </w:rPr>
        <w:t>稳定运行保障：</w:t>
      </w:r>
      <w:r>
        <w:rPr>
          <w:rFonts w:ascii="Segoe UI" w:hAnsi="Segoe UI" w:eastAsia="Segoe UI" w:cs="Segoe UI"/>
          <w:i w:val="0"/>
          <w:iCs w:val="0"/>
          <w:caps w:val="0"/>
          <w:color w:val="05073B"/>
          <w:spacing w:val="0"/>
          <w:sz w:val="22"/>
          <w:szCs w:val="22"/>
          <w:shd w:val="clear" w:fill="FDFDFE"/>
        </w:rPr>
        <w:t>制定和调整系统检查及维护方案，确保系统功能的完整性和正确性</w:t>
      </w:r>
      <w:r>
        <w:rPr>
          <w:rFonts w:hint="eastAsia" w:ascii="宋体" w:hAnsi="宋体" w:eastAsia="宋体" w:cs="宋体"/>
          <w:lang w:eastAsia="zh-CN"/>
        </w:rPr>
        <w:t>；</w:t>
      </w:r>
      <w:r>
        <w:rPr>
          <w:rFonts w:ascii="Segoe UI" w:hAnsi="Segoe UI" w:eastAsia="Segoe UI" w:cs="Segoe UI"/>
          <w:i w:val="0"/>
          <w:iCs w:val="0"/>
          <w:caps w:val="0"/>
          <w:color w:val="05073B"/>
          <w:spacing w:val="0"/>
          <w:sz w:val="22"/>
          <w:szCs w:val="22"/>
          <w:shd w:val="clear" w:fill="FDFDFE"/>
        </w:rPr>
        <w:t>保障系统的高效、稳定运行，使其能够承受日益增长的业务和数据压力</w:t>
      </w:r>
      <w:r>
        <w:rPr>
          <w:rFonts w:hint="eastAsia" w:ascii="宋体" w:hAnsi="宋体" w:eastAsia="宋体" w:cs="宋体"/>
        </w:rPr>
        <w:t>。</w:t>
      </w:r>
    </w:p>
    <w:p w14:paraId="481B1887">
      <w:pPr>
        <w:numPr>
          <w:ilvl w:val="0"/>
          <w:numId w:val="3"/>
        </w:numPr>
        <w:spacing w:line="360" w:lineRule="auto"/>
        <w:rPr>
          <w:rFonts w:hint="eastAsia" w:ascii="宋体" w:hAnsi="宋体" w:eastAsia="宋体" w:cs="宋体"/>
        </w:rPr>
      </w:pPr>
      <w:r>
        <w:rPr>
          <w:rFonts w:hint="eastAsia" w:ascii="宋体" w:hAnsi="宋体" w:eastAsia="宋体" w:cs="宋体"/>
        </w:rPr>
        <w:t>系统错误修复：</w:t>
      </w:r>
      <w:r>
        <w:rPr>
          <w:rFonts w:ascii="Segoe UI" w:hAnsi="Segoe UI" w:eastAsia="Segoe UI" w:cs="Segoe UI"/>
          <w:i w:val="0"/>
          <w:iCs w:val="0"/>
          <w:caps w:val="0"/>
          <w:color w:val="05073B"/>
          <w:spacing w:val="0"/>
          <w:sz w:val="22"/>
          <w:szCs w:val="22"/>
          <w:shd w:val="clear" w:fill="FDFDFE"/>
        </w:rPr>
        <w:t>对于系统错误，承诺在2小时内完成修复</w:t>
      </w:r>
      <w:r>
        <w:rPr>
          <w:rFonts w:hint="eastAsia" w:ascii="宋体" w:hAnsi="宋体" w:eastAsia="宋体" w:cs="宋体"/>
        </w:rPr>
        <w:t>；</w:t>
      </w:r>
    </w:p>
    <w:p w14:paraId="30BAFEC0">
      <w:pPr>
        <w:numPr>
          <w:ilvl w:val="0"/>
          <w:numId w:val="3"/>
        </w:numPr>
        <w:spacing w:line="360" w:lineRule="auto"/>
        <w:rPr>
          <w:rFonts w:hint="eastAsia" w:ascii="宋体" w:hAnsi="宋体" w:eastAsia="宋体" w:cs="宋体"/>
        </w:rPr>
      </w:pPr>
      <w:r>
        <w:rPr>
          <w:rFonts w:hint="eastAsia" w:ascii="宋体" w:hAnsi="宋体" w:eastAsia="宋体" w:cs="宋体"/>
        </w:rPr>
        <w:t>系统数据修复：</w:t>
      </w:r>
      <w:r>
        <w:rPr>
          <w:rFonts w:ascii="Segoe UI" w:hAnsi="Segoe UI" w:eastAsia="Segoe UI" w:cs="Segoe UI"/>
          <w:i w:val="0"/>
          <w:iCs w:val="0"/>
          <w:caps w:val="0"/>
          <w:color w:val="05073B"/>
          <w:spacing w:val="0"/>
          <w:sz w:val="22"/>
          <w:szCs w:val="22"/>
          <w:shd w:val="clear" w:fill="FDFDFE"/>
        </w:rPr>
        <w:t>对于因用户误操作等原因导致的数据错误，将在</w:t>
      </w:r>
      <w:r>
        <w:rPr>
          <w:rFonts w:hint="eastAsia" w:ascii="Segoe UI" w:hAnsi="Segoe UI" w:eastAsia="宋体" w:cs="Segoe UI"/>
          <w:i w:val="0"/>
          <w:iCs w:val="0"/>
          <w:caps w:val="0"/>
          <w:color w:val="05073B"/>
          <w:spacing w:val="0"/>
          <w:sz w:val="22"/>
          <w:szCs w:val="22"/>
          <w:shd w:val="clear" w:fill="FDFDFE"/>
          <w:lang w:val="en-US" w:eastAsia="zh-CN"/>
        </w:rPr>
        <w:t>5</w:t>
      </w:r>
      <w:r>
        <w:rPr>
          <w:rFonts w:ascii="Segoe UI" w:hAnsi="Segoe UI" w:eastAsia="Segoe UI" w:cs="Segoe UI"/>
          <w:i w:val="0"/>
          <w:iCs w:val="0"/>
          <w:caps w:val="0"/>
          <w:color w:val="05073B"/>
          <w:spacing w:val="0"/>
          <w:sz w:val="22"/>
          <w:szCs w:val="22"/>
          <w:shd w:val="clear" w:fill="FDFDFE"/>
        </w:rPr>
        <w:t>个工作日内查明原因并完成数据修复</w:t>
      </w:r>
      <w:r>
        <w:rPr>
          <w:rFonts w:hint="eastAsia" w:ascii="宋体" w:hAnsi="宋体" w:eastAsia="宋体" w:cs="宋体"/>
        </w:rPr>
        <w:t>。</w:t>
      </w:r>
    </w:p>
    <w:p w14:paraId="190DAFE5">
      <w:pPr>
        <w:numPr>
          <w:ilvl w:val="0"/>
          <w:numId w:val="3"/>
        </w:numPr>
        <w:spacing w:line="360" w:lineRule="auto"/>
        <w:rPr>
          <w:rFonts w:hint="eastAsia" w:ascii="宋体" w:hAnsi="宋体" w:eastAsia="宋体" w:cs="宋体"/>
        </w:rPr>
      </w:pPr>
      <w:r>
        <w:rPr>
          <w:rFonts w:hint="eastAsia" w:ascii="宋体" w:hAnsi="宋体" w:eastAsia="宋体" w:cs="宋体"/>
          <w:color w:val="000000"/>
        </w:rPr>
        <w:t>实施培训：</w:t>
      </w:r>
      <w:r>
        <w:rPr>
          <w:rFonts w:ascii="Segoe UI" w:hAnsi="Segoe UI" w:eastAsia="Segoe UI" w:cs="Segoe UI"/>
          <w:i w:val="0"/>
          <w:iCs w:val="0"/>
          <w:caps w:val="0"/>
          <w:color w:val="05073B"/>
          <w:spacing w:val="0"/>
          <w:sz w:val="22"/>
          <w:szCs w:val="22"/>
          <w:shd w:val="clear" w:fill="FDFDFE"/>
        </w:rPr>
        <w:t>负责因项目变化或增加而产生的额外实施工作和人员培训</w:t>
      </w:r>
      <w:r>
        <w:rPr>
          <w:rFonts w:hint="eastAsia" w:ascii="宋体" w:hAnsi="宋体" w:eastAsia="宋体" w:cs="宋体"/>
          <w:color w:val="000000"/>
        </w:rPr>
        <w:t>。</w:t>
      </w:r>
    </w:p>
    <w:p w14:paraId="1D4CDBD8">
      <w:pPr>
        <w:numPr>
          <w:ilvl w:val="0"/>
          <w:numId w:val="3"/>
        </w:numPr>
        <w:spacing w:line="360" w:lineRule="auto"/>
        <w:rPr>
          <w:rFonts w:hint="eastAsia" w:ascii="宋体" w:hAnsi="宋体" w:eastAsia="宋体" w:cs="宋体"/>
        </w:rPr>
      </w:pPr>
      <w:r>
        <w:rPr>
          <w:rFonts w:hint="eastAsia" w:ascii="宋体" w:hAnsi="宋体" w:eastAsia="宋体" w:cs="宋体"/>
          <w:lang w:val="en-US" w:eastAsia="zh-CN"/>
        </w:rPr>
        <w:t>包括不限于以下服务：</w:t>
      </w:r>
    </w:p>
    <w:tbl>
      <w:tblPr>
        <w:tblStyle w:val="12"/>
        <w:tblpPr w:leftFromText="180" w:rightFromText="180" w:vertAnchor="text" w:horzAnchor="margin" w:tblpXSpec="center" w:tblpY="161"/>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265"/>
        <w:gridCol w:w="1269"/>
        <w:gridCol w:w="5785"/>
      </w:tblGrid>
      <w:tr w14:paraId="3D27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39" w:type="dxa"/>
            <w:noWrap w:val="0"/>
            <w:vAlign w:val="center"/>
          </w:tcPr>
          <w:p w14:paraId="47397B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sz w:val="22"/>
                <w:szCs w:val="22"/>
              </w:rPr>
            </w:pPr>
            <w:bookmarkStart w:id="1" w:name="_GoBack"/>
            <w:r>
              <w:rPr>
                <w:rFonts w:hint="eastAsia" w:ascii="宋体" w:hAnsi="宋体" w:eastAsia="宋体" w:cs="宋体"/>
                <w:b/>
                <w:bCs/>
                <w:color w:val="000000"/>
                <w:sz w:val="22"/>
                <w:szCs w:val="22"/>
              </w:rPr>
              <w:t>序号</w:t>
            </w:r>
          </w:p>
        </w:tc>
        <w:tc>
          <w:tcPr>
            <w:tcW w:w="1265" w:type="dxa"/>
            <w:noWrap w:val="0"/>
            <w:vAlign w:val="center"/>
          </w:tcPr>
          <w:p w14:paraId="0E3CFC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服务项</w:t>
            </w:r>
          </w:p>
        </w:tc>
        <w:tc>
          <w:tcPr>
            <w:tcW w:w="1269" w:type="dxa"/>
            <w:noWrap w:val="0"/>
            <w:vAlign w:val="center"/>
          </w:tcPr>
          <w:p w14:paraId="6EFAD4B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服务内容</w:t>
            </w:r>
          </w:p>
        </w:tc>
        <w:tc>
          <w:tcPr>
            <w:tcW w:w="5785" w:type="dxa"/>
            <w:noWrap w:val="0"/>
            <w:vAlign w:val="top"/>
          </w:tcPr>
          <w:p w14:paraId="5B5E72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业务要求</w:t>
            </w:r>
          </w:p>
        </w:tc>
      </w:tr>
      <w:tr w14:paraId="2053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39" w:type="dxa"/>
            <w:noWrap w:val="0"/>
            <w:vAlign w:val="center"/>
          </w:tcPr>
          <w:p w14:paraId="0E64E92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1265" w:type="dxa"/>
            <w:vMerge w:val="restart"/>
            <w:noWrap w:val="0"/>
            <w:vAlign w:val="center"/>
          </w:tcPr>
          <w:p w14:paraId="6F8EC2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软件</w:t>
            </w:r>
          </w:p>
          <w:p w14:paraId="255EBB7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维护</w:t>
            </w:r>
          </w:p>
        </w:tc>
        <w:tc>
          <w:tcPr>
            <w:tcW w:w="1269" w:type="dxa"/>
            <w:noWrap w:val="0"/>
            <w:vAlign w:val="center"/>
          </w:tcPr>
          <w:p w14:paraId="0F0519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常规运维</w:t>
            </w:r>
          </w:p>
        </w:tc>
        <w:tc>
          <w:tcPr>
            <w:tcW w:w="5785" w:type="dxa"/>
            <w:noWrap w:val="0"/>
            <w:vAlign w:val="top"/>
          </w:tcPr>
          <w:p w14:paraId="61B5961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2"/>
                <w:szCs w:val="22"/>
              </w:rPr>
            </w:pPr>
            <w:r>
              <w:rPr>
                <w:rFonts w:hint="eastAsia" w:ascii="宋体" w:hAnsi="宋体" w:eastAsia="宋体" w:cs="宋体"/>
                <w:sz w:val="22"/>
                <w:szCs w:val="22"/>
              </w:rPr>
              <w:t>负责全部院方在用系统功能模块的运维工作，确保各模块正常运行。</w:t>
            </w:r>
          </w:p>
        </w:tc>
      </w:tr>
      <w:tr w14:paraId="34BF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39" w:type="dxa"/>
            <w:noWrap w:val="0"/>
            <w:vAlign w:val="center"/>
          </w:tcPr>
          <w:p w14:paraId="0D5CCBB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1265" w:type="dxa"/>
            <w:vMerge w:val="continue"/>
            <w:noWrap w:val="0"/>
            <w:vAlign w:val="center"/>
          </w:tcPr>
          <w:p w14:paraId="36CC7B8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p>
        </w:tc>
        <w:tc>
          <w:tcPr>
            <w:tcW w:w="1269" w:type="dxa"/>
            <w:noWrap w:val="0"/>
            <w:vAlign w:val="center"/>
          </w:tcPr>
          <w:p w14:paraId="1F0CE5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BUG修复</w:t>
            </w:r>
          </w:p>
        </w:tc>
        <w:tc>
          <w:tcPr>
            <w:tcW w:w="5785" w:type="dxa"/>
            <w:noWrap w:val="0"/>
            <w:vAlign w:val="top"/>
          </w:tcPr>
          <w:p w14:paraId="42C1B3B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修复软件系统使用过程中所发现的BUG问题；运维方应积极响应与处理，对于软件存在的可复现的BUG问题，与医院确认修复时间后，必须在约定的时间之内完成修改。</w:t>
            </w:r>
          </w:p>
        </w:tc>
      </w:tr>
      <w:tr w14:paraId="3B15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39" w:type="dxa"/>
            <w:noWrap w:val="0"/>
            <w:vAlign w:val="center"/>
          </w:tcPr>
          <w:p w14:paraId="5F5192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1265" w:type="dxa"/>
            <w:vMerge w:val="continue"/>
            <w:noWrap w:val="0"/>
            <w:vAlign w:val="center"/>
          </w:tcPr>
          <w:p w14:paraId="5D3A55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p>
        </w:tc>
        <w:tc>
          <w:tcPr>
            <w:tcW w:w="1269" w:type="dxa"/>
            <w:noWrap w:val="0"/>
            <w:vAlign w:val="center"/>
          </w:tcPr>
          <w:p w14:paraId="3E8022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故障分析服务</w:t>
            </w:r>
          </w:p>
        </w:tc>
        <w:tc>
          <w:tcPr>
            <w:tcW w:w="5785" w:type="dxa"/>
            <w:noWrap w:val="0"/>
            <w:vAlign w:val="top"/>
          </w:tcPr>
          <w:p w14:paraId="374976E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在应用服务器出现故障后，提供高级程序员或系统分析师对应用服务器故障时的日志进行分析，以快速定位并解决问题。</w:t>
            </w:r>
          </w:p>
        </w:tc>
      </w:tr>
      <w:tr w14:paraId="2F60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39" w:type="dxa"/>
            <w:noWrap w:val="0"/>
            <w:vAlign w:val="center"/>
          </w:tcPr>
          <w:p w14:paraId="42865AA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1265" w:type="dxa"/>
            <w:vMerge w:val="continue"/>
            <w:noWrap w:val="0"/>
            <w:vAlign w:val="center"/>
          </w:tcPr>
          <w:p w14:paraId="7314842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p>
        </w:tc>
        <w:tc>
          <w:tcPr>
            <w:tcW w:w="1269" w:type="dxa"/>
            <w:noWrap w:val="0"/>
            <w:vAlign w:val="center"/>
          </w:tcPr>
          <w:p w14:paraId="21FAAB9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系统更新</w:t>
            </w:r>
          </w:p>
        </w:tc>
        <w:tc>
          <w:tcPr>
            <w:tcW w:w="5785" w:type="dxa"/>
            <w:noWrap w:val="0"/>
            <w:vAlign w:val="top"/>
          </w:tcPr>
          <w:p w14:paraId="6ECC9C8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提供现有软件系统的更新服务与后台指导；通过现场指导的方式，协助医院进行软件系统的更新，确保更新过程顺利，并提供相应的服务文档。</w:t>
            </w:r>
          </w:p>
        </w:tc>
      </w:tr>
      <w:tr w14:paraId="7499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39" w:type="dxa"/>
            <w:noWrap w:val="0"/>
            <w:vAlign w:val="center"/>
          </w:tcPr>
          <w:p w14:paraId="76595B5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1265" w:type="dxa"/>
            <w:noWrap w:val="0"/>
            <w:vAlign w:val="center"/>
          </w:tcPr>
          <w:p w14:paraId="498F512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接口</w:t>
            </w:r>
          </w:p>
          <w:p w14:paraId="2F99DE3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运维</w:t>
            </w:r>
          </w:p>
        </w:tc>
        <w:tc>
          <w:tcPr>
            <w:tcW w:w="1269" w:type="dxa"/>
            <w:noWrap w:val="0"/>
            <w:vAlign w:val="center"/>
          </w:tcPr>
          <w:p w14:paraId="3517C6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接口远程处理</w:t>
            </w:r>
          </w:p>
        </w:tc>
        <w:tc>
          <w:tcPr>
            <w:tcW w:w="5785" w:type="dxa"/>
            <w:noWrap w:val="0"/>
            <w:vAlign w:val="top"/>
          </w:tcPr>
          <w:p w14:paraId="7D057C1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提供远程技术支持与现场服务人员相结合的方式，确保系统现有接口的稳定运行，及时处理接口问题。</w:t>
            </w:r>
          </w:p>
        </w:tc>
      </w:tr>
      <w:tr w14:paraId="67B1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39" w:type="dxa"/>
            <w:noWrap w:val="0"/>
            <w:vAlign w:val="center"/>
          </w:tcPr>
          <w:p w14:paraId="0524DE5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1265" w:type="dxa"/>
            <w:vMerge w:val="restart"/>
            <w:noWrap w:val="0"/>
            <w:vAlign w:val="center"/>
          </w:tcPr>
          <w:p w14:paraId="51602B2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数据库</w:t>
            </w:r>
          </w:p>
          <w:p w14:paraId="5BDBE9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运维</w:t>
            </w:r>
          </w:p>
        </w:tc>
        <w:tc>
          <w:tcPr>
            <w:tcW w:w="1269" w:type="dxa"/>
            <w:noWrap w:val="0"/>
            <w:vAlign w:val="center"/>
          </w:tcPr>
          <w:p w14:paraId="26EF2C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数据库服务器巡检</w:t>
            </w:r>
          </w:p>
        </w:tc>
        <w:tc>
          <w:tcPr>
            <w:tcW w:w="5785" w:type="dxa"/>
            <w:noWrap w:val="0"/>
            <w:vAlign w:val="top"/>
          </w:tcPr>
          <w:p w14:paraId="5F4DFA8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提供数据库服务器巡检服务，对现有数据库运行状态进行定期检查评估，确保数据库正常运行，并反馈评估报告。</w:t>
            </w:r>
          </w:p>
        </w:tc>
      </w:tr>
      <w:tr w14:paraId="6CC6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39" w:type="dxa"/>
            <w:noWrap w:val="0"/>
            <w:vAlign w:val="center"/>
          </w:tcPr>
          <w:p w14:paraId="54574C2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1265" w:type="dxa"/>
            <w:vMerge w:val="continue"/>
            <w:noWrap w:val="0"/>
            <w:vAlign w:val="center"/>
          </w:tcPr>
          <w:p w14:paraId="1CA7F7F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p>
        </w:tc>
        <w:tc>
          <w:tcPr>
            <w:tcW w:w="1269" w:type="dxa"/>
            <w:noWrap w:val="0"/>
            <w:vAlign w:val="center"/>
          </w:tcPr>
          <w:p w14:paraId="1081AD2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问题日志远程处理</w:t>
            </w:r>
          </w:p>
        </w:tc>
        <w:tc>
          <w:tcPr>
            <w:tcW w:w="5785" w:type="dxa"/>
            <w:noWrap w:val="0"/>
            <w:vAlign w:val="center"/>
          </w:tcPr>
          <w:p w14:paraId="4C415CA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FF0000"/>
                <w:sz w:val="22"/>
                <w:szCs w:val="22"/>
              </w:rPr>
            </w:pPr>
            <w:r>
              <w:rPr>
                <w:rFonts w:hint="eastAsia" w:ascii="宋体" w:hAnsi="宋体" w:eastAsia="宋体" w:cs="宋体"/>
                <w:sz w:val="22"/>
                <w:szCs w:val="22"/>
              </w:rPr>
              <w:t>提供查看与指导数据库中产生的问题日志的服务，协助医院快速解决数据库问题。</w:t>
            </w:r>
          </w:p>
        </w:tc>
      </w:tr>
      <w:tr w14:paraId="574E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39" w:type="dxa"/>
            <w:noWrap w:val="0"/>
            <w:vAlign w:val="center"/>
          </w:tcPr>
          <w:p w14:paraId="4F77E62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9</w:t>
            </w:r>
          </w:p>
        </w:tc>
        <w:tc>
          <w:tcPr>
            <w:tcW w:w="1265" w:type="dxa"/>
            <w:vMerge w:val="continue"/>
            <w:noWrap w:val="0"/>
            <w:vAlign w:val="center"/>
          </w:tcPr>
          <w:p w14:paraId="316EC5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p>
        </w:tc>
        <w:tc>
          <w:tcPr>
            <w:tcW w:w="1269" w:type="dxa"/>
            <w:noWrap w:val="0"/>
            <w:vAlign w:val="center"/>
          </w:tcPr>
          <w:p w14:paraId="027713A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提供数据库巡检</w:t>
            </w:r>
          </w:p>
        </w:tc>
        <w:tc>
          <w:tcPr>
            <w:tcW w:w="5785" w:type="dxa"/>
            <w:noWrap w:val="0"/>
            <w:vAlign w:val="center"/>
          </w:tcPr>
          <w:p w14:paraId="3F222DB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通过数据库服务器巡检的评估报告，提供数据库优化方案；协助医院建设更好的应用数据库环境，保障数据库的良好运作，并提供服务相关文档。</w:t>
            </w:r>
          </w:p>
        </w:tc>
      </w:tr>
      <w:tr w14:paraId="770F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39" w:type="dxa"/>
            <w:noWrap w:val="0"/>
            <w:vAlign w:val="center"/>
          </w:tcPr>
          <w:p w14:paraId="68CEC7B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1265" w:type="dxa"/>
            <w:vMerge w:val="continue"/>
            <w:noWrap w:val="0"/>
            <w:vAlign w:val="center"/>
          </w:tcPr>
          <w:p w14:paraId="686BA7F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p>
        </w:tc>
        <w:tc>
          <w:tcPr>
            <w:tcW w:w="1269" w:type="dxa"/>
            <w:noWrap w:val="0"/>
            <w:vAlign w:val="center"/>
          </w:tcPr>
          <w:p w14:paraId="2E055F7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数据库备份</w:t>
            </w:r>
          </w:p>
        </w:tc>
        <w:tc>
          <w:tcPr>
            <w:tcW w:w="5785" w:type="dxa"/>
            <w:noWrap w:val="0"/>
            <w:vAlign w:val="top"/>
          </w:tcPr>
          <w:p w14:paraId="29D2CE7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2"/>
                <w:szCs w:val="22"/>
              </w:rPr>
            </w:pPr>
            <w:r>
              <w:rPr>
                <w:rFonts w:hint="eastAsia" w:ascii="宋体" w:hAnsi="宋体" w:eastAsia="宋体" w:cs="宋体"/>
                <w:sz w:val="22"/>
                <w:szCs w:val="22"/>
              </w:rPr>
              <w:t>提供数据库备份服务。定期对医院进行数据库备份，确保数据库数据信息的安全可靠。</w:t>
            </w:r>
          </w:p>
        </w:tc>
      </w:tr>
      <w:tr w14:paraId="2BD2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39" w:type="dxa"/>
            <w:noWrap w:val="0"/>
            <w:vAlign w:val="center"/>
          </w:tcPr>
          <w:p w14:paraId="6A3AC08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11</w:t>
            </w:r>
          </w:p>
        </w:tc>
        <w:tc>
          <w:tcPr>
            <w:tcW w:w="1265" w:type="dxa"/>
            <w:noWrap w:val="0"/>
            <w:vAlign w:val="center"/>
          </w:tcPr>
          <w:p w14:paraId="7C9905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指导与</w:t>
            </w:r>
          </w:p>
          <w:p w14:paraId="24DC741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咨询</w:t>
            </w:r>
          </w:p>
        </w:tc>
        <w:tc>
          <w:tcPr>
            <w:tcW w:w="1269" w:type="dxa"/>
            <w:noWrap w:val="0"/>
            <w:vAlign w:val="center"/>
          </w:tcPr>
          <w:p w14:paraId="2A8615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highlight w:val="darkRed"/>
              </w:rPr>
            </w:pPr>
            <w:r>
              <w:rPr>
                <w:rFonts w:hint="eastAsia" w:ascii="宋体" w:hAnsi="宋体" w:eastAsia="宋体" w:cs="宋体"/>
                <w:color w:val="000000"/>
                <w:sz w:val="22"/>
                <w:szCs w:val="22"/>
              </w:rPr>
              <w:t>业务操作指导</w:t>
            </w:r>
          </w:p>
        </w:tc>
        <w:tc>
          <w:tcPr>
            <w:tcW w:w="5785" w:type="dxa"/>
            <w:noWrap w:val="0"/>
            <w:vAlign w:val="top"/>
          </w:tcPr>
          <w:p w14:paraId="66D6BB3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2"/>
                <w:szCs w:val="22"/>
                <w:highlight w:val="darkRed"/>
              </w:rPr>
            </w:pPr>
            <w:r>
              <w:rPr>
                <w:rFonts w:hint="eastAsia" w:ascii="宋体" w:hAnsi="宋体" w:eastAsia="宋体" w:cs="宋体"/>
                <w:color w:val="000000"/>
                <w:sz w:val="22"/>
                <w:szCs w:val="22"/>
              </w:rPr>
              <w:t>在医院使用以及维护过程中，若遇到系统流程不熟悉或系统功能不会操作时，运维方需及时提供相应的指导与咨询，并回答提出的问题；同时，若遇到软件系统相关模块的功能问题时，运维方也应提供远程或者电话指导的方式，确保问题得到及时处理。</w:t>
            </w:r>
          </w:p>
        </w:tc>
      </w:tr>
      <w:tr w14:paraId="0097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739" w:type="dxa"/>
            <w:noWrap w:val="0"/>
            <w:vAlign w:val="center"/>
          </w:tcPr>
          <w:p w14:paraId="2C3A470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12</w:t>
            </w:r>
          </w:p>
        </w:tc>
        <w:tc>
          <w:tcPr>
            <w:tcW w:w="1265" w:type="dxa"/>
            <w:noWrap w:val="0"/>
            <w:vAlign w:val="center"/>
          </w:tcPr>
          <w:p w14:paraId="5E3A6B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000000"/>
                <w:sz w:val="22"/>
                <w:szCs w:val="22"/>
              </w:rPr>
            </w:pPr>
            <w:r>
              <w:rPr>
                <w:rFonts w:hint="eastAsia" w:ascii="宋体" w:hAnsi="宋体" w:eastAsia="宋体" w:cs="宋体"/>
                <w:color w:val="000000"/>
                <w:sz w:val="22"/>
                <w:szCs w:val="22"/>
              </w:rPr>
              <w:t>调研与培训</w:t>
            </w:r>
          </w:p>
        </w:tc>
        <w:tc>
          <w:tcPr>
            <w:tcW w:w="1269" w:type="dxa"/>
            <w:noWrap w:val="0"/>
            <w:vAlign w:val="center"/>
          </w:tcPr>
          <w:p w14:paraId="67A716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培训指导</w:t>
            </w:r>
          </w:p>
        </w:tc>
        <w:tc>
          <w:tcPr>
            <w:tcW w:w="5785" w:type="dxa"/>
            <w:noWrap w:val="0"/>
            <w:vAlign w:val="top"/>
          </w:tcPr>
          <w:p w14:paraId="6FA1A91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运维方应周期性安排专业人员到项目现场进行调研，现场听取客户意见，了解客户需求，以便更好地为客户提供优质的服务。此外，还需针对软件新功能及潜在功能进行培训指导，提高医院员工对软件系统的使用熟练度。</w:t>
            </w:r>
          </w:p>
        </w:tc>
      </w:tr>
      <w:tr w14:paraId="2B4B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39" w:type="dxa"/>
            <w:noWrap w:val="0"/>
            <w:vAlign w:val="center"/>
          </w:tcPr>
          <w:p w14:paraId="5E69A2A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13</w:t>
            </w:r>
          </w:p>
        </w:tc>
        <w:tc>
          <w:tcPr>
            <w:tcW w:w="1265" w:type="dxa"/>
            <w:noWrap w:val="0"/>
            <w:vAlign w:val="center"/>
          </w:tcPr>
          <w:p w14:paraId="40240D3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系统安全</w:t>
            </w:r>
          </w:p>
        </w:tc>
        <w:tc>
          <w:tcPr>
            <w:tcW w:w="1269" w:type="dxa"/>
            <w:noWrap w:val="0"/>
            <w:vAlign w:val="center"/>
          </w:tcPr>
          <w:p w14:paraId="2D4365C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系统漏洞修复</w:t>
            </w:r>
          </w:p>
        </w:tc>
        <w:tc>
          <w:tcPr>
            <w:tcW w:w="5785" w:type="dxa"/>
            <w:noWrap w:val="0"/>
            <w:vAlign w:val="top"/>
          </w:tcPr>
          <w:p w14:paraId="69A108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2"/>
                <w:szCs w:val="22"/>
              </w:rPr>
            </w:pPr>
            <w:r>
              <w:rPr>
                <w:rFonts w:hint="eastAsia" w:ascii="宋体" w:hAnsi="宋体" w:eastAsia="宋体" w:cs="宋体"/>
                <w:sz w:val="22"/>
                <w:szCs w:val="22"/>
              </w:rPr>
              <w:t>在运维期内，若软件在等级保护测评、安全评估、风险测评等检测过程中存在漏洞等问题，运维方必须无条件配合院方对系统漏洞进行修复改造，确保软件系统的安全性。</w:t>
            </w:r>
          </w:p>
        </w:tc>
      </w:tr>
      <w:tr w14:paraId="7415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39" w:type="dxa"/>
            <w:noWrap w:val="0"/>
            <w:vAlign w:val="center"/>
          </w:tcPr>
          <w:p w14:paraId="22ECF84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14</w:t>
            </w:r>
          </w:p>
        </w:tc>
        <w:tc>
          <w:tcPr>
            <w:tcW w:w="1265" w:type="dxa"/>
            <w:noWrap w:val="0"/>
            <w:vAlign w:val="center"/>
          </w:tcPr>
          <w:p w14:paraId="2F4FCEF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数据统计</w:t>
            </w:r>
          </w:p>
        </w:tc>
        <w:tc>
          <w:tcPr>
            <w:tcW w:w="1269" w:type="dxa"/>
            <w:noWrap w:val="0"/>
            <w:vAlign w:val="center"/>
          </w:tcPr>
          <w:p w14:paraId="5F140E2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系统数据报表</w:t>
            </w:r>
          </w:p>
        </w:tc>
        <w:tc>
          <w:tcPr>
            <w:tcW w:w="5785" w:type="dxa"/>
            <w:noWrap w:val="0"/>
            <w:vAlign w:val="center"/>
          </w:tcPr>
          <w:p w14:paraId="63271A6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根据医院需求，为其调取各项数据指标报表，帮助医院更好地了解和分析业务运行情况。</w:t>
            </w:r>
          </w:p>
        </w:tc>
      </w:tr>
      <w:bookmarkEnd w:id="1"/>
    </w:tbl>
    <w:p w14:paraId="4E5657A1">
      <w:pPr>
        <w:numPr>
          <w:ilvl w:val="0"/>
          <w:numId w:val="0"/>
        </w:numPr>
        <w:spacing w:line="360" w:lineRule="auto"/>
        <w:rPr>
          <w:rFonts w:hint="eastAsia" w:ascii="宋体" w:hAnsi="宋体" w:eastAsia="宋体" w:cs="宋体"/>
        </w:rPr>
      </w:pPr>
    </w:p>
    <w:p w14:paraId="049E1CD6">
      <w:pPr>
        <w:pStyle w:val="5"/>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lang w:val="en-US" w:eastAsia="zh-CN"/>
        </w:rPr>
        <w:t>1</w:t>
      </w:r>
      <w:r>
        <w:rPr>
          <w:rFonts w:hint="eastAsia" w:ascii="宋体" w:hAnsi="宋体" w:eastAsia="宋体" w:cs="宋体"/>
          <w:lang w:val="en-US"/>
        </w:rPr>
        <w:t>.2业务系统二线技术支持服务</w:t>
      </w:r>
    </w:p>
    <w:p w14:paraId="66AEB1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根据院方的实际需求，对信息系统进行持续的完善和调整，以及与第三方软件的接口集成，并将这些修改调整加以实施、培训、后续服务。</w:t>
      </w:r>
    </w:p>
    <w:p w14:paraId="6D582A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服务商根据院方所提出的需求，对软件进行本地化修改过程中，涉及数据库表结构，视图以及存储过程的变更，需要通过院方信息部门的评审，评审通过后方可修改。</w:t>
      </w:r>
    </w:p>
    <w:p w14:paraId="335BC564">
      <w:pPr>
        <w:numPr>
          <w:ilvl w:val="0"/>
          <w:numId w:val="4"/>
        </w:num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完善性调整</w:t>
      </w:r>
    </w:p>
    <w:p w14:paraId="0D6E67C8">
      <w:pPr>
        <w:numPr>
          <w:ilvl w:val="0"/>
          <w:numId w:val="5"/>
        </w:numPr>
        <w:spacing w:line="360" w:lineRule="auto"/>
        <w:ind w:left="0" w:firstLine="420" w:firstLineChars="200"/>
        <w:rPr>
          <w:rFonts w:hint="eastAsia" w:ascii="宋体" w:hAnsi="宋体" w:eastAsia="宋体" w:cs="宋体"/>
          <w:szCs w:val="21"/>
        </w:rPr>
      </w:pPr>
      <w:r>
        <w:rPr>
          <w:rFonts w:hint="eastAsia" w:ascii="宋体" w:hAnsi="宋体" w:eastAsia="宋体" w:cs="宋体"/>
          <w:szCs w:val="21"/>
        </w:rPr>
        <w:t>为满足政府规范和要求，</w:t>
      </w:r>
      <w:r>
        <w:rPr>
          <w:rFonts w:hint="eastAsia" w:ascii="宋体" w:hAnsi="宋体" w:eastAsia="宋体" w:cs="宋体"/>
          <w:szCs w:val="21"/>
          <w:lang w:val="en-US" w:eastAsia="zh-CN"/>
        </w:rPr>
        <w:t>需</w:t>
      </w:r>
      <w:r>
        <w:rPr>
          <w:rFonts w:hint="eastAsia" w:ascii="宋体" w:hAnsi="宋体" w:eastAsia="宋体" w:cs="宋体"/>
          <w:szCs w:val="21"/>
        </w:rPr>
        <w:t>将对系统进行必要的修改，以确保其合规性。这包括但不限于数据安全、隐私保护、系统日志记录等方面的调整。</w:t>
      </w:r>
    </w:p>
    <w:p w14:paraId="187BB3B6">
      <w:pPr>
        <w:numPr>
          <w:ilvl w:val="0"/>
          <w:numId w:val="5"/>
        </w:numPr>
        <w:spacing w:line="360" w:lineRule="auto"/>
        <w:ind w:left="0" w:firstLine="420" w:firstLineChars="200"/>
        <w:rPr>
          <w:rFonts w:hint="eastAsia" w:ascii="宋体" w:hAnsi="宋体" w:eastAsia="宋体" w:cs="宋体"/>
          <w:szCs w:val="21"/>
        </w:rPr>
      </w:pPr>
      <w:r>
        <w:rPr>
          <w:rFonts w:hint="eastAsia" w:ascii="宋体" w:hAnsi="宋体" w:eastAsia="宋体" w:cs="宋体"/>
          <w:szCs w:val="21"/>
        </w:rPr>
        <w:t>随着院方管理和业务的变化，</w:t>
      </w:r>
      <w:r>
        <w:rPr>
          <w:rFonts w:hint="eastAsia" w:ascii="宋体" w:hAnsi="宋体" w:eastAsia="宋体" w:cs="宋体"/>
          <w:szCs w:val="21"/>
          <w:lang w:val="en-US" w:eastAsia="zh-CN"/>
        </w:rPr>
        <w:t>需</w:t>
      </w:r>
      <w:r>
        <w:rPr>
          <w:rFonts w:hint="eastAsia" w:ascii="宋体" w:hAnsi="宋体" w:eastAsia="宋体" w:cs="宋体"/>
          <w:szCs w:val="21"/>
        </w:rPr>
        <w:t>将根据实际需求对系统进行流程变更、功能新增、调整和修改。同时，也负责执行和实施信息系统软件的升级操作，以确保系统功能的时效性和完整性。</w:t>
      </w:r>
    </w:p>
    <w:p w14:paraId="4C9EC301">
      <w:pPr>
        <w:numPr>
          <w:ilvl w:val="0"/>
          <w:numId w:val="4"/>
        </w:num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适应性调整</w:t>
      </w:r>
    </w:p>
    <w:p w14:paraId="5A6441C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在维护期内，</w:t>
      </w:r>
      <w:r>
        <w:rPr>
          <w:rFonts w:hint="eastAsia" w:ascii="宋体" w:hAnsi="宋体" w:eastAsia="宋体" w:cs="宋体"/>
          <w:szCs w:val="21"/>
          <w:lang w:val="en-US" w:eastAsia="zh-CN"/>
        </w:rPr>
        <w:t>需</w:t>
      </w:r>
      <w:r>
        <w:rPr>
          <w:rFonts w:hint="eastAsia" w:ascii="宋体" w:hAnsi="宋体" w:eastAsia="宋体" w:cs="宋体"/>
          <w:szCs w:val="21"/>
        </w:rPr>
        <w:t>密切关注支撑系统软件（如操作系统、数据库系统、浏览器等）的更新和变化。一旦这些软件发生改变，将及时对信息系统进行相应的调整，以确保系统的稳定性和兼容性。</w:t>
      </w:r>
    </w:p>
    <w:p w14:paraId="336BCD4C">
      <w:pPr>
        <w:numPr>
          <w:ilvl w:val="0"/>
          <w:numId w:val="4"/>
        </w:num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第三方软件接口开发</w:t>
      </w:r>
    </w:p>
    <w:p w14:paraId="745030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在维护期内，如果院方购买了第三方软件或设备，并需要将其集成到现有的信息系统中，将负责完成相应的接口开发工作。在系统结构允许的范围内，与第三方软件提供商紧密合作，确保接口的稳定性和高效性。</w:t>
      </w:r>
    </w:p>
    <w:p w14:paraId="4F11A42E">
      <w:pPr>
        <w:pStyle w:val="5"/>
        <w:rPr>
          <w:rFonts w:hint="eastAsia" w:ascii="宋体" w:hAnsi="宋体" w:eastAsia="宋体" w:cs="宋体"/>
        </w:rPr>
      </w:pPr>
      <w:r>
        <w:rPr>
          <w:rFonts w:hint="eastAsia" w:ascii="宋体" w:hAnsi="宋体" w:eastAsia="宋体" w:cs="宋体"/>
          <w:lang w:val="en-US"/>
        </w:rPr>
        <w:t>3.</w:t>
      </w:r>
      <w:r>
        <w:rPr>
          <w:rFonts w:hint="eastAsia" w:ascii="宋体" w:hAnsi="宋体" w:eastAsia="宋体" w:cs="宋体"/>
          <w:lang w:val="en-US" w:eastAsia="zh-CN"/>
        </w:rPr>
        <w:t>1</w:t>
      </w:r>
      <w:r>
        <w:rPr>
          <w:rFonts w:hint="eastAsia" w:ascii="宋体" w:hAnsi="宋体" w:eastAsia="宋体" w:cs="宋体"/>
          <w:lang w:val="en-US"/>
        </w:rPr>
        <w:t>.3业务</w:t>
      </w:r>
      <w:r>
        <w:rPr>
          <w:rFonts w:hint="eastAsia" w:ascii="宋体" w:hAnsi="宋体" w:eastAsia="宋体" w:cs="宋体"/>
        </w:rPr>
        <w:t>系统集成服务</w:t>
      </w:r>
    </w:p>
    <w:p w14:paraId="2568A34A">
      <w:pPr>
        <w:numPr>
          <w:ilvl w:val="0"/>
          <w:numId w:val="6"/>
        </w:numPr>
        <w:spacing w:line="360" w:lineRule="auto"/>
        <w:ind w:left="0" w:firstLine="420" w:firstLineChars="200"/>
        <w:rPr>
          <w:rFonts w:hint="eastAsia" w:ascii="宋体" w:hAnsi="宋体" w:eastAsia="宋体" w:cs="宋体"/>
          <w:szCs w:val="21"/>
        </w:rPr>
      </w:pPr>
      <w:r>
        <w:rPr>
          <w:rFonts w:hint="eastAsia" w:ascii="宋体" w:hAnsi="宋体" w:eastAsia="宋体" w:cs="宋体"/>
          <w:szCs w:val="21"/>
        </w:rPr>
        <w:t>系统维护：负责操作系统、数据库等系统平台软件的管理、监控和维护。</w:t>
      </w:r>
    </w:p>
    <w:p w14:paraId="39BC70C2">
      <w:pPr>
        <w:numPr>
          <w:ilvl w:val="0"/>
          <w:numId w:val="6"/>
        </w:numPr>
        <w:spacing w:line="360" w:lineRule="auto"/>
        <w:ind w:left="0" w:firstLine="420" w:firstLineChars="200"/>
        <w:rPr>
          <w:rFonts w:hint="eastAsia" w:ascii="宋体" w:hAnsi="宋体" w:eastAsia="宋体" w:cs="宋体"/>
          <w:szCs w:val="21"/>
        </w:rPr>
      </w:pPr>
      <w:r>
        <w:rPr>
          <w:rFonts w:hint="eastAsia" w:ascii="宋体" w:hAnsi="宋体" w:eastAsia="宋体" w:cs="宋体"/>
          <w:szCs w:val="21"/>
        </w:rPr>
        <w:t>系统安全：负责医院信息系统安全性方案的总体规划、设计和监控。</w:t>
      </w:r>
    </w:p>
    <w:p w14:paraId="33D2998C">
      <w:pPr>
        <w:numPr>
          <w:ilvl w:val="0"/>
          <w:numId w:val="6"/>
        </w:numPr>
        <w:spacing w:line="360" w:lineRule="auto"/>
        <w:ind w:left="0" w:firstLine="420" w:firstLineChars="200"/>
        <w:rPr>
          <w:rFonts w:hint="eastAsia" w:ascii="宋体" w:hAnsi="宋体" w:eastAsia="宋体" w:cs="宋体"/>
        </w:rPr>
      </w:pPr>
      <w:r>
        <w:rPr>
          <w:rFonts w:hint="eastAsia" w:ascii="宋体" w:hAnsi="宋体" w:eastAsia="宋体" w:cs="宋体"/>
          <w:szCs w:val="21"/>
        </w:rPr>
        <w:t>数据备份：负责医院数据备份</w:t>
      </w:r>
      <w:r>
        <w:rPr>
          <w:rFonts w:hint="eastAsia" w:ascii="宋体" w:hAnsi="宋体" w:eastAsia="宋体" w:cs="宋体"/>
          <w:szCs w:val="21"/>
          <w:lang w:eastAsia="zh-CN"/>
        </w:rPr>
        <w:t>，</w:t>
      </w:r>
      <w:r>
        <w:rPr>
          <w:rFonts w:hint="eastAsia" w:ascii="宋体" w:hAnsi="宋体" w:eastAsia="宋体" w:cs="宋体"/>
          <w:szCs w:val="21"/>
        </w:rPr>
        <w:t>包括实时备份</w:t>
      </w:r>
      <w:r>
        <w:rPr>
          <w:rFonts w:hint="eastAsia" w:ascii="宋体" w:hAnsi="宋体" w:eastAsia="宋体" w:cs="宋体"/>
          <w:szCs w:val="21"/>
          <w:lang w:eastAsia="zh-CN"/>
        </w:rPr>
        <w:t>、</w:t>
      </w:r>
      <w:r>
        <w:rPr>
          <w:rFonts w:hint="eastAsia" w:ascii="宋体" w:hAnsi="宋体" w:eastAsia="宋体" w:cs="宋体"/>
          <w:szCs w:val="21"/>
        </w:rPr>
        <w:t>系统安全性方案的设计和实施。</w:t>
      </w:r>
    </w:p>
    <w:p w14:paraId="66437BBE">
      <w:pPr>
        <w:pStyle w:val="5"/>
        <w:rPr>
          <w:rFonts w:hint="eastAsia" w:ascii="宋体" w:hAnsi="宋体" w:eastAsia="宋体" w:cs="宋体"/>
          <w:lang w:val="en-US"/>
        </w:rPr>
      </w:pPr>
      <w:r>
        <w:rPr>
          <w:rFonts w:hint="eastAsia" w:ascii="宋体" w:hAnsi="宋体" w:eastAsia="宋体" w:cs="宋体"/>
          <w:lang w:val="en-US"/>
        </w:rPr>
        <w:t>3.</w:t>
      </w:r>
      <w:r>
        <w:rPr>
          <w:rFonts w:hint="eastAsia" w:ascii="宋体" w:hAnsi="宋体" w:cs="宋体"/>
          <w:lang w:val="en-US" w:eastAsia="zh-CN"/>
        </w:rPr>
        <w:t>2</w:t>
      </w:r>
      <w:r>
        <w:rPr>
          <w:rFonts w:hint="eastAsia" w:ascii="宋体" w:hAnsi="宋体" w:eastAsia="宋体" w:cs="宋体"/>
          <w:lang w:val="en-US"/>
        </w:rPr>
        <w:t>.</w:t>
      </w:r>
      <w:r>
        <w:rPr>
          <w:rFonts w:hint="eastAsia" w:ascii="宋体" w:hAnsi="宋体" w:cs="宋体"/>
          <w:lang w:val="en-US" w:eastAsia="zh-CN"/>
        </w:rPr>
        <w:t>1</w:t>
      </w:r>
      <w:r>
        <w:rPr>
          <w:rFonts w:hint="eastAsia" w:ascii="宋体" w:hAnsi="宋体" w:eastAsia="宋体" w:cs="宋体"/>
          <w:lang w:val="en-US"/>
        </w:rPr>
        <w:t>服务方式要求</w:t>
      </w:r>
    </w:p>
    <w:p w14:paraId="3A90D44C">
      <w:pPr>
        <w:spacing w:line="360" w:lineRule="auto"/>
        <w:ind w:left="420" w:leftChars="200"/>
        <w:rPr>
          <w:rFonts w:hint="eastAsia" w:ascii="宋体" w:hAnsi="宋体" w:eastAsia="宋体" w:cs="宋体"/>
          <w:szCs w:val="21"/>
        </w:rPr>
      </w:pPr>
      <w:r>
        <w:rPr>
          <w:rFonts w:hint="eastAsia" w:ascii="宋体" w:hAnsi="宋体" w:eastAsia="宋体" w:cs="宋体"/>
          <w:szCs w:val="21"/>
        </w:rPr>
        <w:t>1.服务商成立专门的项目组开展工作，指派专人负责，按时完成工作内容。</w:t>
      </w:r>
    </w:p>
    <w:p w14:paraId="54ADE090">
      <w:pPr>
        <w:spacing w:line="360" w:lineRule="auto"/>
        <w:ind w:left="420" w:leftChars="200"/>
        <w:rPr>
          <w:rFonts w:hint="eastAsia" w:ascii="宋体" w:hAnsi="宋体" w:eastAsia="宋体" w:cs="宋体"/>
          <w:szCs w:val="21"/>
        </w:rPr>
      </w:pPr>
      <w:r>
        <w:rPr>
          <w:rFonts w:hint="eastAsia" w:ascii="宋体" w:hAnsi="宋体" w:eastAsia="宋体" w:cs="宋体"/>
          <w:szCs w:val="21"/>
        </w:rPr>
        <w:t>2.以现场服务为主，其它电话、邮件指导、远程维护、技术交流方式不限。</w:t>
      </w:r>
    </w:p>
    <w:p w14:paraId="75EE7571">
      <w:pPr>
        <w:pStyle w:val="5"/>
        <w:rPr>
          <w:rFonts w:hint="eastAsia" w:ascii="宋体" w:hAnsi="宋体" w:eastAsia="宋体" w:cs="宋体"/>
          <w:lang w:val="en-US"/>
        </w:rPr>
      </w:pPr>
      <w:r>
        <w:rPr>
          <w:rFonts w:hint="eastAsia" w:ascii="宋体" w:hAnsi="宋体" w:eastAsia="宋体" w:cs="宋体"/>
          <w:lang w:val="en-US"/>
        </w:rPr>
        <w:t>3.2.</w:t>
      </w:r>
      <w:r>
        <w:rPr>
          <w:rFonts w:hint="eastAsia" w:ascii="宋体" w:hAnsi="宋体" w:cs="宋体"/>
          <w:lang w:val="en-US" w:eastAsia="zh-CN"/>
        </w:rPr>
        <w:t>2</w:t>
      </w:r>
      <w:r>
        <w:rPr>
          <w:rFonts w:hint="eastAsia" w:ascii="宋体" w:hAnsi="宋体" w:eastAsia="宋体" w:cs="宋体"/>
        </w:rPr>
        <w:t>服务</w:t>
      </w:r>
      <w:r>
        <w:rPr>
          <w:rFonts w:hint="eastAsia" w:ascii="宋体" w:hAnsi="宋体" w:eastAsia="宋体" w:cs="宋体"/>
          <w:lang w:val="en-US"/>
        </w:rPr>
        <w:t>周期</w:t>
      </w:r>
    </w:p>
    <w:p w14:paraId="1AD761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合同生效起12个月内；上述“修改调整”部分要求的免费维护期从需求验收合格之日算起，期限为2个月。</w:t>
      </w:r>
    </w:p>
    <w:p w14:paraId="5E2BEED0">
      <w:pPr>
        <w:pStyle w:val="5"/>
        <w:rPr>
          <w:rFonts w:hint="eastAsia" w:ascii="宋体" w:hAnsi="宋体" w:eastAsia="宋体" w:cs="宋体"/>
        </w:rPr>
      </w:pPr>
      <w:r>
        <w:rPr>
          <w:rFonts w:hint="eastAsia" w:ascii="宋体" w:hAnsi="宋体" w:eastAsia="宋体" w:cs="宋体"/>
          <w:lang w:val="en-US"/>
        </w:rPr>
        <w:t>3.2.</w:t>
      </w:r>
      <w:r>
        <w:rPr>
          <w:rFonts w:hint="eastAsia" w:ascii="宋体" w:hAnsi="宋体" w:cs="宋体"/>
          <w:lang w:val="en-US" w:eastAsia="zh-CN"/>
        </w:rPr>
        <w:t>3</w:t>
      </w:r>
      <w:r>
        <w:rPr>
          <w:rFonts w:hint="eastAsia" w:ascii="宋体" w:hAnsi="宋体" w:eastAsia="宋体" w:cs="宋体"/>
        </w:rPr>
        <w:t>服务响应要求</w:t>
      </w:r>
    </w:p>
    <w:p w14:paraId="26A60AC9">
      <w:pPr>
        <w:pStyle w:val="6"/>
        <w:numPr>
          <w:ilvl w:val="0"/>
          <w:numId w:val="0"/>
        </w:numPr>
        <w:rPr>
          <w:rFonts w:hint="eastAsia" w:ascii="宋体" w:hAnsi="宋体" w:eastAsia="宋体" w:cs="宋体"/>
        </w:rPr>
      </w:pPr>
      <w:r>
        <w:rPr>
          <w:rFonts w:hint="eastAsia" w:ascii="宋体" w:hAnsi="宋体" w:eastAsia="宋体" w:cs="宋体"/>
          <w:lang w:val="en-US"/>
        </w:rPr>
        <w:t>3.2.</w:t>
      </w:r>
      <w:r>
        <w:rPr>
          <w:rFonts w:hint="eastAsia" w:cs="宋体"/>
          <w:lang w:val="en-US" w:eastAsia="zh-CN"/>
        </w:rPr>
        <w:t>3</w:t>
      </w:r>
      <w:r>
        <w:rPr>
          <w:rFonts w:hint="eastAsia" w:ascii="宋体" w:hAnsi="宋体" w:eastAsia="宋体" w:cs="宋体"/>
          <w:lang w:val="en-US"/>
        </w:rPr>
        <w:t>.1</w:t>
      </w:r>
      <w:r>
        <w:rPr>
          <w:rFonts w:hint="eastAsia" w:ascii="宋体" w:hAnsi="宋体" w:eastAsia="宋体" w:cs="宋体"/>
        </w:rPr>
        <w:t>日常维护响应</w:t>
      </w:r>
    </w:p>
    <w:p w14:paraId="7BA10DC8">
      <w:pPr>
        <w:numPr>
          <w:ilvl w:val="0"/>
          <w:numId w:val="7"/>
        </w:numPr>
        <w:spacing w:line="360" w:lineRule="auto"/>
        <w:rPr>
          <w:rFonts w:hint="eastAsia" w:ascii="宋体" w:hAnsi="宋体" w:eastAsia="宋体" w:cs="宋体"/>
        </w:rPr>
      </w:pPr>
      <w:r>
        <w:rPr>
          <w:rFonts w:hint="eastAsia" w:ascii="宋体" w:hAnsi="宋体" w:eastAsia="宋体" w:cs="宋体"/>
        </w:rPr>
        <w:t>工作期间（正常工作日8：00-18：00），信息系统故障响应时间不超过0.5小时，到达现场时间不超过1小时；</w:t>
      </w:r>
    </w:p>
    <w:p w14:paraId="70304A3D">
      <w:pPr>
        <w:numPr>
          <w:ilvl w:val="0"/>
          <w:numId w:val="7"/>
        </w:numPr>
        <w:spacing w:line="360" w:lineRule="auto"/>
        <w:rPr>
          <w:rFonts w:hint="eastAsia" w:ascii="宋体" w:hAnsi="宋体" w:eastAsia="宋体" w:cs="宋体"/>
        </w:rPr>
      </w:pPr>
      <w:r>
        <w:rPr>
          <w:rFonts w:hint="eastAsia" w:ascii="宋体" w:hAnsi="宋体" w:eastAsia="宋体" w:cs="宋体"/>
        </w:rPr>
        <w:t>非工作期间，信息系统故障响应时间不超过1小时，到达现场时间不超过2小时。</w:t>
      </w:r>
    </w:p>
    <w:p w14:paraId="44DFF91B">
      <w:pPr>
        <w:numPr>
          <w:ilvl w:val="0"/>
          <w:numId w:val="7"/>
        </w:numPr>
        <w:spacing w:line="360" w:lineRule="auto"/>
        <w:rPr>
          <w:rFonts w:hint="eastAsia" w:ascii="宋体" w:hAnsi="宋体" w:eastAsia="宋体" w:cs="宋体"/>
        </w:rPr>
      </w:pPr>
      <w:r>
        <w:rPr>
          <w:rFonts w:hint="eastAsia" w:ascii="宋体" w:hAnsi="宋体" w:eastAsia="宋体" w:cs="宋体"/>
        </w:rPr>
        <w:t>服务商应提出故障解决方案，工作至故障修妥完全恢复正常服务为止，修复时间不超过2个工作日。</w:t>
      </w:r>
    </w:p>
    <w:p w14:paraId="486AA493">
      <w:pPr>
        <w:pStyle w:val="6"/>
        <w:numPr>
          <w:ilvl w:val="0"/>
          <w:numId w:val="0"/>
        </w:numPr>
        <w:rPr>
          <w:rFonts w:hint="eastAsia" w:ascii="宋体" w:hAnsi="宋体" w:eastAsia="宋体" w:cs="宋体"/>
        </w:rPr>
      </w:pPr>
      <w:r>
        <w:rPr>
          <w:rFonts w:hint="eastAsia" w:ascii="宋体" w:hAnsi="宋体" w:eastAsia="宋体" w:cs="宋体"/>
          <w:lang w:val="en-US"/>
        </w:rPr>
        <w:t>3.2.</w:t>
      </w:r>
      <w:r>
        <w:rPr>
          <w:rFonts w:hint="eastAsia" w:cs="宋体"/>
          <w:lang w:val="en-US" w:eastAsia="zh-CN"/>
        </w:rPr>
        <w:t>3</w:t>
      </w:r>
      <w:r>
        <w:rPr>
          <w:rFonts w:hint="eastAsia" w:ascii="宋体" w:hAnsi="宋体" w:eastAsia="宋体" w:cs="宋体"/>
          <w:lang w:val="en-US"/>
        </w:rPr>
        <w:t>.2修改调整、系统集成响应</w:t>
      </w:r>
    </w:p>
    <w:p w14:paraId="0F1997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服务商应在院方提交修改调整内容后的7天内落实交付，若服务商未能及时进行需求响应，院方有权终止维护合同。</w:t>
      </w:r>
    </w:p>
    <w:p w14:paraId="195DED71">
      <w:pPr>
        <w:pStyle w:val="6"/>
        <w:numPr>
          <w:ilvl w:val="3"/>
          <w:numId w:val="0"/>
        </w:numPr>
        <w:rPr>
          <w:rFonts w:hint="eastAsia" w:ascii="宋体" w:hAnsi="宋体" w:eastAsia="宋体" w:cs="宋体"/>
          <w:lang w:val="en-US"/>
        </w:rPr>
      </w:pPr>
      <w:r>
        <w:rPr>
          <w:rFonts w:hint="eastAsia" w:ascii="宋体" w:hAnsi="宋体" w:eastAsia="宋体" w:cs="宋体"/>
          <w:lang w:val="en-US"/>
        </w:rPr>
        <w:t>3.2.</w:t>
      </w:r>
      <w:r>
        <w:rPr>
          <w:rFonts w:hint="eastAsia" w:cs="宋体"/>
          <w:lang w:val="en-US" w:eastAsia="zh-CN"/>
        </w:rPr>
        <w:t>3</w:t>
      </w:r>
      <w:r>
        <w:rPr>
          <w:rFonts w:hint="eastAsia" w:ascii="宋体" w:hAnsi="宋体" w:eastAsia="宋体" w:cs="宋体"/>
          <w:lang w:val="en-US"/>
        </w:rPr>
        <w:t>.3服务商应作出无推诿承诺</w:t>
      </w:r>
    </w:p>
    <w:p w14:paraId="2D2EDB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即服务商在收到院方报修通知及要求后，须立即派技术人员到场，全力协助、使系统尽快恢复正常。</w:t>
      </w:r>
    </w:p>
    <w:p w14:paraId="1F7481A5">
      <w:pPr>
        <w:pStyle w:val="5"/>
        <w:rPr>
          <w:rFonts w:hint="eastAsia" w:ascii="宋体" w:hAnsi="宋体" w:eastAsia="宋体" w:cs="宋体"/>
          <w:lang w:val="en-US"/>
        </w:rPr>
      </w:pPr>
      <w:r>
        <w:rPr>
          <w:rFonts w:hint="eastAsia" w:ascii="宋体" w:hAnsi="宋体" w:eastAsia="宋体" w:cs="宋体"/>
          <w:lang w:val="en-US"/>
        </w:rPr>
        <w:t>3.2.</w:t>
      </w:r>
      <w:r>
        <w:rPr>
          <w:rFonts w:hint="eastAsia" w:ascii="宋体" w:hAnsi="宋体" w:cs="宋体"/>
          <w:lang w:val="en-US" w:eastAsia="zh-CN"/>
        </w:rPr>
        <w:t>4</w:t>
      </w:r>
      <w:r>
        <w:rPr>
          <w:rFonts w:hint="eastAsia" w:ascii="宋体" w:hAnsi="宋体" w:eastAsia="宋体" w:cs="宋体"/>
          <w:lang w:val="en-US"/>
        </w:rPr>
        <w:t>系统维护工作要求</w:t>
      </w:r>
    </w:p>
    <w:p w14:paraId="1173E5B1">
      <w:pPr>
        <w:numPr>
          <w:ilvl w:val="0"/>
          <w:numId w:val="8"/>
        </w:numPr>
        <w:tabs>
          <w:tab w:val="left" w:pos="0"/>
          <w:tab w:val="left" w:pos="210"/>
          <w:tab w:val="left" w:pos="567"/>
        </w:tabs>
        <w:spacing w:line="360" w:lineRule="auto"/>
        <w:rPr>
          <w:rFonts w:hint="eastAsia" w:ascii="宋体" w:hAnsi="宋体" w:eastAsia="宋体" w:cs="宋体"/>
          <w:szCs w:val="21"/>
        </w:rPr>
      </w:pPr>
      <w:r>
        <w:rPr>
          <w:rFonts w:hint="eastAsia" w:ascii="宋体" w:hAnsi="宋体" w:eastAsia="宋体" w:cs="宋体"/>
          <w:szCs w:val="21"/>
        </w:rPr>
        <w:t>服务商须有完整的维护记录管理，确保所有问题提出及处理有记录，有供双方共同记录反馈的简捷的操作方式，达到经双方确认真实可信，可跟踪问题解决情况，查询所有维护记录，并可作为验收依据。</w:t>
      </w:r>
    </w:p>
    <w:p w14:paraId="59CD0115">
      <w:pPr>
        <w:numPr>
          <w:ilvl w:val="0"/>
          <w:numId w:val="8"/>
        </w:numPr>
        <w:tabs>
          <w:tab w:val="left" w:pos="0"/>
          <w:tab w:val="left" w:pos="210"/>
          <w:tab w:val="left" w:pos="567"/>
        </w:tabs>
        <w:spacing w:line="360" w:lineRule="auto"/>
        <w:rPr>
          <w:rFonts w:hint="eastAsia" w:ascii="宋体" w:hAnsi="宋体" w:eastAsia="宋体" w:cs="宋体"/>
          <w:szCs w:val="21"/>
        </w:rPr>
      </w:pPr>
      <w:r>
        <w:rPr>
          <w:rFonts w:hint="eastAsia" w:ascii="宋体" w:hAnsi="宋体" w:eastAsia="宋体" w:cs="宋体"/>
          <w:szCs w:val="21"/>
        </w:rPr>
        <w:t>服务商需根据院方要求，安排维护人员使用院方项目管理平台系统中的需求管理模块和缺陷（报障）管理模块，接收院方相关报障及需求信息，并反馈相应处理信息，该维护记录可作为维保履约证明。</w:t>
      </w:r>
    </w:p>
    <w:p w14:paraId="0ACCB6C1">
      <w:pPr>
        <w:numPr>
          <w:ilvl w:val="0"/>
          <w:numId w:val="8"/>
        </w:numPr>
        <w:tabs>
          <w:tab w:val="left" w:pos="0"/>
          <w:tab w:val="left" w:pos="210"/>
          <w:tab w:val="left" w:pos="567"/>
        </w:tabs>
        <w:spacing w:line="360" w:lineRule="auto"/>
        <w:rPr>
          <w:rFonts w:hint="eastAsia" w:ascii="宋体" w:hAnsi="宋体" w:eastAsia="宋体" w:cs="宋体"/>
          <w:color w:val="000000"/>
          <w:szCs w:val="21"/>
        </w:rPr>
      </w:pPr>
      <w:r>
        <w:rPr>
          <w:rFonts w:hint="eastAsia" w:ascii="宋体" w:hAnsi="宋体" w:eastAsia="宋体" w:cs="宋体"/>
          <w:szCs w:val="21"/>
        </w:rPr>
        <w:t>定期（每季度）进行系统巡检，对系统运行的软硬件情况（尤其是数据库环境）进行监控，并出具巡检报告，针对潜在的风险应提供解决方案并实施。</w:t>
      </w:r>
    </w:p>
    <w:p w14:paraId="248AF941">
      <w:pPr>
        <w:numPr>
          <w:ilvl w:val="0"/>
          <w:numId w:val="8"/>
        </w:numPr>
        <w:tabs>
          <w:tab w:val="left" w:pos="0"/>
          <w:tab w:val="left" w:pos="210"/>
          <w:tab w:val="left" w:pos="567"/>
        </w:tabs>
        <w:spacing w:line="360" w:lineRule="auto"/>
        <w:rPr>
          <w:rFonts w:hint="eastAsia" w:ascii="宋体" w:hAnsi="宋体" w:eastAsia="宋体" w:cs="宋体"/>
          <w:color w:val="000000"/>
          <w:szCs w:val="21"/>
        </w:rPr>
      </w:pPr>
      <w:r>
        <w:rPr>
          <w:rFonts w:hint="eastAsia" w:ascii="宋体" w:hAnsi="宋体" w:eastAsia="宋体" w:cs="宋体"/>
          <w:color w:val="000000"/>
          <w:szCs w:val="21"/>
        </w:rPr>
        <w:t>提供二线技术支持服务。在服务周期内，发生系统故障问题，则组织和安排各业务系统原厂商的技术专家或自身技术专家到现场为系统故障提供技术支援，缩短业务系统故障中断时间，最大限度减少对业务科室业务工作的影响。</w:t>
      </w:r>
    </w:p>
    <w:p w14:paraId="04DF9FD9">
      <w:pPr>
        <w:numPr>
          <w:ilvl w:val="0"/>
          <w:numId w:val="8"/>
        </w:numPr>
        <w:tabs>
          <w:tab w:val="left" w:pos="0"/>
          <w:tab w:val="left" w:pos="210"/>
          <w:tab w:val="left" w:pos="567"/>
        </w:tabs>
        <w:spacing w:line="360" w:lineRule="auto"/>
        <w:rPr>
          <w:rFonts w:hint="eastAsia" w:ascii="宋体" w:hAnsi="宋体" w:eastAsia="宋体" w:cs="宋体"/>
          <w:color w:val="000000"/>
          <w:szCs w:val="21"/>
        </w:rPr>
      </w:pPr>
      <w:r>
        <w:rPr>
          <w:rFonts w:hint="eastAsia" w:ascii="宋体" w:hAnsi="宋体" w:eastAsia="宋体" w:cs="宋体"/>
          <w:color w:val="000000"/>
          <w:szCs w:val="21"/>
        </w:rPr>
        <w:t>由项目经理每季度对各种服务流程（包括总体服务流程、故障受理流程、问题管理流程、变更管理流程等）的执行情况进行检查和分析，对服务过程中存在的问题进行汇总分析，制定可行的优化计划；同时，向用户部门展开服务质量、满意度的调研和沟通，认真听取用户部门意见；形成服务报告后向信息管理部门汇报，商讨服务改进计划。持续执行和优化，形成优质服务模式。</w:t>
      </w:r>
    </w:p>
    <w:p w14:paraId="1D79D642">
      <w:pPr>
        <w:numPr>
          <w:ilvl w:val="0"/>
          <w:numId w:val="8"/>
        </w:numPr>
        <w:tabs>
          <w:tab w:val="left" w:pos="0"/>
          <w:tab w:val="left" w:pos="210"/>
          <w:tab w:val="left" w:pos="567"/>
        </w:tabs>
        <w:spacing w:line="360" w:lineRule="auto"/>
        <w:rPr>
          <w:rFonts w:hint="eastAsia" w:ascii="宋体" w:hAnsi="宋体" w:eastAsia="宋体" w:cs="宋体"/>
          <w:color w:val="000000"/>
          <w:szCs w:val="21"/>
        </w:rPr>
      </w:pPr>
      <w:r>
        <w:rPr>
          <w:rFonts w:hint="eastAsia" w:ascii="宋体" w:hAnsi="宋体" w:eastAsia="宋体" w:cs="宋体"/>
          <w:color w:val="000000"/>
          <w:szCs w:val="21"/>
        </w:rPr>
        <w:t>提供运营数据统计及分析支持服务。运维服务最终目标除了提高服务质量，提升医护满意度外；还为院方运营提供数据支持，如业务系统的运行停顿时间及对业务收入的影响分析等。</w:t>
      </w:r>
    </w:p>
    <w:p w14:paraId="02BAAB53">
      <w:pPr>
        <w:pStyle w:val="5"/>
        <w:rPr>
          <w:rFonts w:hint="eastAsia" w:ascii="宋体" w:hAnsi="宋体" w:eastAsia="宋体" w:cs="宋体"/>
          <w:lang w:val="en-US"/>
        </w:rPr>
      </w:pPr>
      <w:r>
        <w:rPr>
          <w:rFonts w:hint="eastAsia" w:ascii="宋体" w:hAnsi="宋体" w:eastAsia="宋体" w:cs="宋体"/>
          <w:lang w:val="en-US"/>
        </w:rPr>
        <w:t>3.2.</w:t>
      </w:r>
      <w:r>
        <w:rPr>
          <w:rFonts w:hint="eastAsia" w:ascii="宋体" w:hAnsi="宋体" w:eastAsia="宋体" w:cs="宋体"/>
          <w:lang w:val="en-US" w:eastAsia="zh-CN"/>
        </w:rPr>
        <w:t>5</w:t>
      </w:r>
      <w:r>
        <w:rPr>
          <w:rFonts w:hint="eastAsia" w:ascii="宋体" w:hAnsi="宋体" w:eastAsia="宋体" w:cs="宋体"/>
          <w:lang w:val="en-US"/>
        </w:rPr>
        <w:t>服务验收</w:t>
      </w:r>
    </w:p>
    <w:p w14:paraId="6BD04F7D">
      <w:pPr>
        <w:numPr>
          <w:ilvl w:val="0"/>
          <w:numId w:val="9"/>
        </w:numPr>
        <w:tabs>
          <w:tab w:val="left" w:pos="0"/>
          <w:tab w:val="left" w:pos="210"/>
          <w:tab w:val="left" w:pos="567"/>
        </w:tabs>
        <w:spacing w:line="360" w:lineRule="auto"/>
        <w:ind w:left="0" w:firstLine="420" w:firstLineChars="0"/>
        <w:rPr>
          <w:rFonts w:hint="eastAsia" w:ascii="宋体" w:hAnsi="宋体" w:eastAsia="宋体" w:cs="宋体"/>
          <w:szCs w:val="21"/>
        </w:rPr>
      </w:pPr>
      <w:r>
        <w:rPr>
          <w:rFonts w:hint="eastAsia" w:ascii="宋体" w:hAnsi="宋体" w:eastAsia="宋体" w:cs="宋体"/>
          <w:szCs w:val="21"/>
        </w:rPr>
        <w:t>验收时间：由服务商向院方申请验收，合同到期后</w:t>
      </w:r>
      <w:r>
        <w:rPr>
          <w:rFonts w:hint="eastAsia" w:ascii="宋体" w:hAnsi="宋体" w:eastAsia="宋体" w:cs="宋体"/>
          <w:szCs w:val="21"/>
          <w:u w:val="single"/>
        </w:rPr>
        <w:t>7</w:t>
      </w:r>
      <w:r>
        <w:rPr>
          <w:rFonts w:hint="eastAsia" w:ascii="宋体" w:hAnsi="宋体" w:eastAsia="宋体" w:cs="宋体"/>
          <w:szCs w:val="21"/>
        </w:rPr>
        <w:t>个工作日内院方需启动验收。</w:t>
      </w:r>
    </w:p>
    <w:p w14:paraId="327C1982">
      <w:pPr>
        <w:numPr>
          <w:ilvl w:val="0"/>
          <w:numId w:val="9"/>
        </w:numPr>
        <w:tabs>
          <w:tab w:val="left" w:pos="0"/>
          <w:tab w:val="left" w:pos="210"/>
          <w:tab w:val="left" w:pos="567"/>
        </w:tabs>
        <w:spacing w:line="360" w:lineRule="auto"/>
        <w:ind w:left="0" w:firstLine="420" w:firstLineChars="0"/>
        <w:rPr>
          <w:rFonts w:hint="eastAsia" w:ascii="宋体" w:hAnsi="宋体" w:eastAsia="宋体" w:cs="宋体"/>
          <w:szCs w:val="21"/>
        </w:rPr>
      </w:pPr>
      <w:r>
        <w:rPr>
          <w:rFonts w:hint="eastAsia" w:ascii="宋体" w:hAnsi="宋体" w:eastAsia="宋体" w:cs="宋体"/>
          <w:szCs w:val="21"/>
        </w:rPr>
        <w:t>验收人员：双方相关人员。</w:t>
      </w:r>
    </w:p>
    <w:p w14:paraId="1A7FB61E">
      <w:pPr>
        <w:numPr>
          <w:ilvl w:val="0"/>
          <w:numId w:val="9"/>
        </w:numPr>
        <w:tabs>
          <w:tab w:val="left" w:pos="0"/>
          <w:tab w:val="left" w:pos="210"/>
          <w:tab w:val="left" w:pos="567"/>
        </w:tabs>
        <w:spacing w:line="360" w:lineRule="auto"/>
        <w:ind w:left="0" w:firstLine="420" w:firstLineChars="0"/>
        <w:rPr>
          <w:rFonts w:hint="eastAsia" w:ascii="宋体" w:hAnsi="宋体" w:eastAsia="宋体" w:cs="宋体"/>
          <w:szCs w:val="21"/>
        </w:rPr>
      </w:pPr>
      <w:r>
        <w:rPr>
          <w:rFonts w:hint="eastAsia" w:ascii="宋体" w:hAnsi="宋体" w:eastAsia="宋体" w:cs="宋体"/>
          <w:szCs w:val="21"/>
        </w:rPr>
        <w:t>验收标准</w:t>
      </w:r>
    </w:p>
    <w:p w14:paraId="7F1B5113">
      <w:pPr>
        <w:tabs>
          <w:tab w:val="left" w:pos="0"/>
          <w:tab w:val="left" w:pos="210"/>
          <w:tab w:val="left" w:pos="567"/>
        </w:tabs>
        <w:spacing w:line="360" w:lineRule="auto"/>
        <w:ind w:left="420"/>
        <w:rPr>
          <w:rFonts w:hint="eastAsia" w:ascii="宋体" w:hAnsi="宋体" w:eastAsia="宋体" w:cs="宋体"/>
          <w:szCs w:val="21"/>
        </w:rPr>
      </w:pPr>
      <w:r>
        <w:rPr>
          <w:rFonts w:hint="eastAsia" w:ascii="宋体" w:hAnsi="宋体" w:eastAsia="宋体" w:cs="宋体"/>
          <w:szCs w:val="21"/>
        </w:rPr>
        <w:t>1.日常维护、系统集成的验收：服务商提供维护记录（</w:t>
      </w:r>
      <w:r>
        <w:rPr>
          <w:rFonts w:hint="eastAsia" w:ascii="宋体" w:hAnsi="宋体" w:eastAsia="宋体" w:cs="宋体"/>
          <w:szCs w:val="21"/>
          <w:lang w:val="en-US" w:eastAsia="zh-CN"/>
        </w:rPr>
        <w:t>包括</w:t>
      </w:r>
      <w:r>
        <w:rPr>
          <w:rFonts w:hint="eastAsia" w:ascii="宋体" w:hAnsi="宋体" w:eastAsia="宋体" w:cs="宋体"/>
          <w:szCs w:val="21"/>
        </w:rPr>
        <w:t>系统错误修复、系统数据修复、系统集成</w:t>
      </w:r>
      <w:r>
        <w:rPr>
          <w:rFonts w:hint="eastAsia" w:ascii="宋体" w:hAnsi="宋体" w:eastAsia="宋体" w:cs="宋体"/>
          <w:szCs w:val="21"/>
          <w:lang w:val="en-US" w:eastAsia="zh-CN"/>
        </w:rPr>
        <w:t>等</w:t>
      </w:r>
      <w:r>
        <w:rPr>
          <w:rFonts w:hint="eastAsia" w:ascii="宋体" w:hAnsi="宋体" w:eastAsia="宋体" w:cs="宋体"/>
          <w:szCs w:val="21"/>
        </w:rPr>
        <w:t>）经院方审核确认后验收。</w:t>
      </w:r>
    </w:p>
    <w:p w14:paraId="57F241EE">
      <w:pPr>
        <w:tabs>
          <w:tab w:val="left" w:pos="0"/>
          <w:tab w:val="left" w:pos="210"/>
          <w:tab w:val="left" w:pos="567"/>
        </w:tabs>
        <w:spacing w:line="360" w:lineRule="auto"/>
        <w:ind w:left="420"/>
        <w:rPr>
          <w:rFonts w:hint="eastAsia" w:ascii="宋体" w:hAnsi="宋体" w:eastAsia="宋体" w:cs="宋体"/>
          <w:szCs w:val="21"/>
        </w:rPr>
      </w:pPr>
      <w:r>
        <w:rPr>
          <w:rFonts w:hint="eastAsia" w:ascii="宋体" w:hAnsi="宋体" w:eastAsia="宋体" w:cs="宋体"/>
          <w:szCs w:val="21"/>
        </w:rPr>
        <w:t>2.修改调整：完成实施</w:t>
      </w:r>
      <w:r>
        <w:rPr>
          <w:rFonts w:hint="eastAsia" w:ascii="宋体" w:hAnsi="宋体" w:eastAsia="宋体" w:cs="宋体"/>
          <w:szCs w:val="21"/>
          <w:u w:val="single"/>
        </w:rPr>
        <w:t>7</w:t>
      </w:r>
      <w:r>
        <w:rPr>
          <w:rFonts w:hint="eastAsia" w:ascii="宋体" w:hAnsi="宋体" w:eastAsia="宋体" w:cs="宋体"/>
          <w:szCs w:val="21"/>
        </w:rPr>
        <w:t>个工作日后，服务商可申请验收此修改调整。</w:t>
      </w:r>
    </w:p>
    <w:p w14:paraId="1C40AE40">
      <w:pPr>
        <w:pStyle w:val="3"/>
        <w:numPr>
          <w:ilvl w:val="0"/>
          <w:numId w:val="0"/>
        </w:numPr>
        <w:rPr>
          <w:rFonts w:hint="eastAsia" w:ascii="宋体" w:hAnsi="宋体" w:eastAsia="宋体" w:cs="宋体"/>
        </w:rPr>
      </w:pPr>
      <w:r>
        <w:rPr>
          <w:rFonts w:hint="eastAsia" w:ascii="宋体" w:hAnsi="宋体" w:eastAsia="宋体" w:cs="宋体"/>
          <w:lang w:val="en-US"/>
        </w:rPr>
        <w:t>四．</w:t>
      </w:r>
      <w:r>
        <w:rPr>
          <w:rFonts w:hint="eastAsia" w:ascii="宋体" w:hAnsi="宋体" w:eastAsia="宋体" w:cs="宋体"/>
        </w:rPr>
        <w:t>合同款支付方式</w:t>
      </w:r>
    </w:p>
    <w:p w14:paraId="46D31DD0">
      <w:pPr>
        <w:numPr>
          <w:ilvl w:val="0"/>
          <w:numId w:val="10"/>
        </w:numPr>
        <w:tabs>
          <w:tab w:val="left" w:pos="0"/>
          <w:tab w:val="left" w:pos="210"/>
          <w:tab w:val="left" w:pos="567"/>
        </w:tabs>
        <w:spacing w:line="360" w:lineRule="auto"/>
        <w:ind w:firstLine="420" w:firstLineChars="0"/>
        <w:rPr>
          <w:rFonts w:hint="eastAsia" w:ascii="宋体" w:hAnsi="宋体" w:eastAsia="宋体" w:cs="宋体"/>
          <w:szCs w:val="21"/>
        </w:rPr>
      </w:pPr>
      <w:r>
        <w:rPr>
          <w:rFonts w:hint="eastAsia" w:ascii="宋体" w:hAnsi="宋体" w:eastAsia="宋体" w:cs="宋体"/>
          <w:szCs w:val="21"/>
        </w:rPr>
        <w:t>服务期开始后，在收到开具相应金额正式发票后，支付合同总金额的40%。</w:t>
      </w:r>
    </w:p>
    <w:p w14:paraId="134BB26F">
      <w:pPr>
        <w:numPr>
          <w:ilvl w:val="0"/>
          <w:numId w:val="10"/>
        </w:numPr>
        <w:tabs>
          <w:tab w:val="left" w:pos="0"/>
          <w:tab w:val="left" w:pos="210"/>
          <w:tab w:val="left" w:pos="567"/>
        </w:tabs>
        <w:spacing w:line="360" w:lineRule="auto"/>
        <w:ind w:firstLine="420" w:firstLineChars="0"/>
        <w:rPr>
          <w:rFonts w:hint="eastAsia" w:ascii="宋体" w:hAnsi="宋体" w:eastAsia="宋体" w:cs="宋体"/>
          <w:szCs w:val="21"/>
        </w:rPr>
      </w:pPr>
      <w:r>
        <w:rPr>
          <w:rFonts w:hint="eastAsia" w:ascii="宋体" w:hAnsi="宋体" w:eastAsia="宋体" w:cs="宋体"/>
          <w:szCs w:val="21"/>
        </w:rPr>
        <w:t>合同期满（服务时间达到100%）且通过维护验收，服务商提供完整维护服务记录及开具相应金额正式发票后，支付合同总金额的60%。</w:t>
      </w:r>
    </w:p>
    <w:p w14:paraId="5D5116BC">
      <w:pPr>
        <w:spacing w:line="360" w:lineRule="auto"/>
        <w:rPr>
          <w:rFonts w:hint="eastAsia" w:ascii="宋体" w:hAnsi="宋体" w:eastAsia="宋体" w:cs="宋体"/>
        </w:rPr>
      </w:pPr>
      <w:r>
        <w:rPr>
          <w:rFonts w:hint="eastAsia" w:ascii="宋体" w:hAnsi="宋体" w:eastAsia="宋体" w:cs="宋体"/>
        </w:rPr>
        <w:t>（注：实际执行情况结算）</w:t>
      </w:r>
    </w:p>
    <w:p w14:paraId="4D3AB79B">
      <w:pPr>
        <w:shd w:val="clear"/>
        <w:tabs>
          <w:tab w:val="left" w:pos="780"/>
        </w:tabs>
        <w:spacing w:before="156" w:beforeLines="50" w:line="360" w:lineRule="auto"/>
        <w:ind w:firstLine="217" w:firstLineChars="68"/>
        <w:jc w:val="left"/>
        <w:outlineLvl w:val="0"/>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r>
        <w:rPr>
          <w:rFonts w:hint="eastAsia" w:ascii="宋体" w:hAnsi="宋体" w:eastAsia="宋体" w:cs="宋体"/>
          <w:sz w:val="32"/>
          <w:szCs w:val="32"/>
          <w:highlight w:val="none"/>
        </w:rPr>
        <w:t>附件：</w:t>
      </w:r>
    </w:p>
    <w:tbl>
      <w:tblPr>
        <w:tblStyle w:val="11"/>
        <w:tblW w:w="8799" w:type="dxa"/>
        <w:tblInd w:w="91" w:type="dxa"/>
        <w:tblLayout w:type="autofit"/>
        <w:tblCellMar>
          <w:top w:w="0" w:type="dxa"/>
          <w:left w:w="108" w:type="dxa"/>
          <w:bottom w:w="0" w:type="dxa"/>
          <w:right w:w="108" w:type="dxa"/>
        </w:tblCellMar>
      </w:tblPr>
      <w:tblGrid>
        <w:gridCol w:w="903"/>
        <w:gridCol w:w="7896"/>
      </w:tblGrid>
      <w:tr w14:paraId="3B507310">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0"/>
            <w:vAlign w:val="center"/>
          </w:tcPr>
          <w:p w14:paraId="09F2622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7896" w:type="dxa"/>
            <w:tcBorders>
              <w:top w:val="single" w:color="000000" w:sz="4" w:space="0"/>
              <w:left w:val="single" w:color="000000" w:sz="4" w:space="0"/>
              <w:bottom w:val="single" w:color="000000" w:sz="4" w:space="0"/>
              <w:right w:val="single" w:color="000000" w:sz="4" w:space="0"/>
            </w:tcBorders>
            <w:noWrap w:val="0"/>
            <w:vAlign w:val="center"/>
          </w:tcPr>
          <w:p w14:paraId="2410DF1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各业务系统维护项目</w:t>
            </w:r>
          </w:p>
        </w:tc>
      </w:tr>
      <w:tr w14:paraId="7DF2F00C">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6F20E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4D4B46FC">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EICU重症监护管理系统</w:t>
            </w:r>
          </w:p>
        </w:tc>
      </w:tr>
      <w:tr w14:paraId="0A19656C">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4F03D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397E8F8F">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病理流程管理系统</w:t>
            </w:r>
          </w:p>
        </w:tc>
      </w:tr>
      <w:tr w14:paraId="74E2BC01">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F3E87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35D5825F">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数字切片扫描系统</w:t>
            </w:r>
          </w:p>
        </w:tc>
      </w:tr>
      <w:tr w14:paraId="21CB00DE">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1FE3A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383E3B37">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院感系统维护</w:t>
            </w:r>
          </w:p>
        </w:tc>
      </w:tr>
      <w:tr w14:paraId="5FAAB78F">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5E91F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077EBE53">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辅助生殖信息系统</w:t>
            </w:r>
          </w:p>
        </w:tc>
      </w:tr>
      <w:tr w14:paraId="7B88F8A0">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1B470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137E9409">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惠福抽血室叫号排队系统</w:t>
            </w:r>
          </w:p>
        </w:tc>
      </w:tr>
      <w:tr w14:paraId="5F6B375C">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B1906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22C4CF3E">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康复科治疗信息采集系统</w:t>
            </w:r>
          </w:p>
        </w:tc>
      </w:tr>
      <w:tr w14:paraId="0AAFE773">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B80B1A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2155DACD">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产前诊断信息管理系统</w:t>
            </w:r>
          </w:p>
        </w:tc>
      </w:tr>
      <w:tr w14:paraId="6B224552">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06C31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01A40684">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医疗输送信息管理系统</w:t>
            </w:r>
          </w:p>
        </w:tc>
      </w:tr>
      <w:tr w14:paraId="34C4D69A">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31F3C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562BC43B">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医保公医病人申报服务流程管理软件</w:t>
            </w:r>
          </w:p>
        </w:tc>
      </w:tr>
      <w:tr w14:paraId="66BAC4A3">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23330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7CAA26DF">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儿童保健系统</w:t>
            </w:r>
          </w:p>
        </w:tc>
      </w:tr>
      <w:tr w14:paraId="1102F234">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3FCBC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407B4668">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进修生管理系统（子项目1）</w:t>
            </w:r>
          </w:p>
        </w:tc>
      </w:tr>
      <w:tr w14:paraId="09BD1E64">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63C80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17BEBAE5">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医保智能审核系统</w:t>
            </w:r>
          </w:p>
        </w:tc>
      </w:tr>
      <w:tr w14:paraId="24B3C943">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75BDA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1061FC4A">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中国疾病预防控制信息系统客户端KEY年审费用</w:t>
            </w:r>
          </w:p>
        </w:tc>
      </w:tr>
      <w:tr w14:paraId="1B5B83F4">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DB500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214AF00A">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临床用血管理系统护</w:t>
            </w:r>
          </w:p>
        </w:tc>
      </w:tr>
      <w:tr w14:paraId="623822F8">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92BC0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49A8476B">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输血系统优化项目</w:t>
            </w:r>
          </w:p>
        </w:tc>
      </w:tr>
      <w:tr w14:paraId="5277AA64">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31445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464D1799">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内镜系统病理标本申请单接口</w:t>
            </w:r>
          </w:p>
        </w:tc>
      </w:tr>
      <w:tr w14:paraId="5E1D8D57">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2918E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val="en-US" w:eastAsia="zh-CN" w:bidi="ar"/>
              </w:rPr>
              <w:t>8</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426DDB22">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临床用血管理系统优化项目</w:t>
            </w:r>
          </w:p>
        </w:tc>
      </w:tr>
      <w:tr w14:paraId="13E9001F">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16286FD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7E20732F">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传染病流感监测</w:t>
            </w:r>
          </w:p>
        </w:tc>
      </w:tr>
      <w:tr w14:paraId="4271DC24">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0E91D7E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53FDB40C">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医学在线考试系统西医、护理版</w:t>
            </w:r>
          </w:p>
        </w:tc>
      </w:tr>
      <w:tr w14:paraId="191E96F3">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6BE2712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46B0826B">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传染病报告推送信息系统</w:t>
            </w:r>
          </w:p>
        </w:tc>
      </w:tr>
      <w:tr w14:paraId="443A02F5">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647D2FB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0C8D39E1">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传染病监测预警管理系统</w:t>
            </w:r>
          </w:p>
        </w:tc>
      </w:tr>
      <w:tr w14:paraId="464CEE23">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42A19A7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57968198">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核医学信息管理系统</w:t>
            </w:r>
          </w:p>
        </w:tc>
      </w:tr>
      <w:tr w14:paraId="152B1F23">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64829F8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69EB2941">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中国医院药物警戒系统运维服务</w:t>
            </w:r>
          </w:p>
        </w:tc>
      </w:tr>
      <w:tr w14:paraId="2552E820">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693E453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0748E665">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计财处微信公众号二期项目</w:t>
            </w:r>
          </w:p>
        </w:tc>
      </w:tr>
      <w:tr w14:paraId="2C47FF80">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1D6CF2D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109907B5">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办公自动化系统</w:t>
            </w:r>
          </w:p>
        </w:tc>
      </w:tr>
      <w:tr w14:paraId="1395F23D">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3A5DC12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52A92DC8">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实验室信息化管理系统</w:t>
            </w:r>
          </w:p>
        </w:tc>
      </w:tr>
      <w:tr w14:paraId="16E88A77">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574A06F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479C9375">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电子票据系统运维服务</w:t>
            </w:r>
          </w:p>
        </w:tc>
      </w:tr>
      <w:tr w14:paraId="27904AD9">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7287D5A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624475D4">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消毒供应室追溯管理系统</w:t>
            </w:r>
          </w:p>
        </w:tc>
      </w:tr>
      <w:tr w14:paraId="257FFBFF">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70D871B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3C5DE213">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II-IV期全流程临床试验信息化管理系统采购软件</w:t>
            </w:r>
          </w:p>
        </w:tc>
      </w:tr>
      <w:tr w14:paraId="32025955">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1DB98B7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7DCC38B3">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静脉配置中心信息系统及配套硬件</w:t>
            </w:r>
          </w:p>
        </w:tc>
      </w:tr>
      <w:tr w14:paraId="70C28F91">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2A8B3F6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7B51937B">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门（急）诊输液中心管理系统</w:t>
            </w:r>
          </w:p>
        </w:tc>
      </w:tr>
      <w:tr w14:paraId="3E3C0C62">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0E06925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06081D8D">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检验LIS集成系统</w:t>
            </w:r>
          </w:p>
        </w:tc>
      </w:tr>
      <w:tr w14:paraId="202A1E1A">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659FBDA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bidi="ar"/>
              </w:rPr>
              <w:t>34</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0BD5620C">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物资库存及监管系统</w:t>
            </w:r>
          </w:p>
        </w:tc>
      </w:tr>
      <w:tr w14:paraId="5F2EC345">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31A3DE2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val="en-US" w:eastAsia="zh-CN" w:bidi="ar"/>
              </w:rPr>
              <w:t>5</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09D692A5">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智慧财务I期（银医）</w:t>
            </w:r>
          </w:p>
        </w:tc>
      </w:tr>
      <w:tr w14:paraId="715A5D17">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0BDF147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val="en-US" w:eastAsia="zh-CN" w:bidi="ar"/>
              </w:rPr>
              <w:t>6</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1EAAE164">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眼科影像信息管理系统（银医）</w:t>
            </w:r>
          </w:p>
        </w:tc>
      </w:tr>
      <w:tr w14:paraId="2878FAC4">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7B6E7EB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37</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2E787AAA">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一体化预约系统支撑体系（银医）</w:t>
            </w:r>
          </w:p>
        </w:tc>
      </w:tr>
      <w:tr w14:paraId="4DC4A2E3">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0859F93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38</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22251B4F">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科研数据备案管理系统</w:t>
            </w:r>
          </w:p>
        </w:tc>
      </w:tr>
      <w:tr w14:paraId="4D161813">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563670F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39</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6D0F95A3">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医德医风考评系统</w:t>
            </w:r>
          </w:p>
        </w:tc>
      </w:tr>
      <w:tr w14:paraId="21D35EE9">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28588C2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40</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26A7EC2D">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医保综合管理系统</w:t>
            </w:r>
          </w:p>
        </w:tc>
      </w:tr>
      <w:tr w14:paraId="5062F49B">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70658A3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41</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6153FF38">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中英文网站</w:t>
            </w:r>
          </w:p>
        </w:tc>
      </w:tr>
      <w:tr w14:paraId="0BE2F096">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0E26500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42</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3656E962">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产科电子病历系统</w:t>
            </w:r>
          </w:p>
        </w:tc>
      </w:tr>
      <w:tr w14:paraId="06D1503B">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305FAA0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43</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028079CE">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大成手麻系统</w:t>
            </w:r>
          </w:p>
        </w:tc>
      </w:tr>
      <w:tr w14:paraId="7E39A9A9">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74030E0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44</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17C1D10B">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医用耗材阳光管控系统</w:t>
            </w:r>
          </w:p>
        </w:tc>
      </w:tr>
      <w:tr w14:paraId="70FD2441">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43F78F7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45</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72098CE3">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治疗预约评估管理系统</w:t>
            </w:r>
          </w:p>
        </w:tc>
      </w:tr>
      <w:tr w14:paraId="696A37E5">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4CE1218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46</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4B23AEDC">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药品库存管理平台</w:t>
            </w:r>
          </w:p>
        </w:tc>
      </w:tr>
      <w:tr w14:paraId="51B7A2B2">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3E076B3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47</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3A98ECFE">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临床数据与样本资源库管理系统</w:t>
            </w:r>
          </w:p>
        </w:tc>
      </w:tr>
      <w:tr w14:paraId="72E51004">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307DCD7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48</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430F28BB">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PACS、RIS系统平台建设服务软件</w:t>
            </w:r>
          </w:p>
        </w:tc>
      </w:tr>
      <w:tr w14:paraId="1143026F">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0127AF6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49</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1D01A974">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科研管理综合服务平台</w:t>
            </w:r>
          </w:p>
        </w:tc>
      </w:tr>
      <w:tr w14:paraId="33C59944">
        <w:tblPrEx>
          <w:tblCellMar>
            <w:top w:w="0" w:type="dxa"/>
            <w:left w:w="108" w:type="dxa"/>
            <w:bottom w:w="0" w:type="dxa"/>
            <w:right w:w="108" w:type="dxa"/>
          </w:tblCellMar>
        </w:tblPrEx>
        <w:trPr>
          <w:trHeight w:val="454"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575219F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50</w:t>
            </w:r>
          </w:p>
        </w:tc>
        <w:tc>
          <w:tcPr>
            <w:tcW w:w="7896" w:type="dxa"/>
            <w:tcBorders>
              <w:top w:val="single" w:color="000000" w:sz="4" w:space="0"/>
              <w:left w:val="single" w:color="000000" w:sz="4" w:space="0"/>
              <w:bottom w:val="single" w:color="000000" w:sz="4" w:space="0"/>
              <w:right w:val="single" w:color="000000" w:sz="4" w:space="0"/>
            </w:tcBorders>
            <w:noWrap/>
            <w:vAlign w:val="center"/>
          </w:tcPr>
          <w:p w14:paraId="2AFD6DF6">
            <w:pPr>
              <w:keepNext w:val="0"/>
              <w:keepLines w:val="0"/>
              <w:widowControl/>
              <w:suppressLineNumbers w:val="0"/>
              <w:jc w:val="lef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“银医通”二期项目软件</w:t>
            </w:r>
          </w:p>
        </w:tc>
      </w:tr>
    </w:tbl>
    <w:p w14:paraId="47BD000F">
      <w:pPr>
        <w:rPr>
          <w:rFonts w:hint="eastAsia" w:ascii="宋体" w:hAnsi="宋体" w:eastAsia="宋体" w:cs="宋体"/>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E267">
    <w:pPr>
      <w:pStyle w:val="9"/>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6</w:t>
    </w:r>
    <w:r>
      <w:rPr>
        <w:caps/>
        <w:color w:val="5B9BD5"/>
      </w:rPr>
      <w:fldChar w:fldCharType="end"/>
    </w:r>
  </w:p>
  <w:p w14:paraId="45F3262D">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19A7C"/>
    <w:multiLevelType w:val="singleLevel"/>
    <w:tmpl w:val="86A19A7C"/>
    <w:lvl w:ilvl="0" w:tentative="0">
      <w:start w:val="1"/>
      <w:numFmt w:val="chineseCounting"/>
      <w:suff w:val="nothing"/>
      <w:lvlText w:val="（%1）"/>
      <w:lvlJc w:val="left"/>
      <w:pPr>
        <w:ind w:left="0" w:firstLine="420"/>
      </w:pPr>
      <w:rPr>
        <w:rFonts w:hint="eastAsia"/>
      </w:rPr>
    </w:lvl>
  </w:abstractNum>
  <w:abstractNum w:abstractNumId="1">
    <w:nsid w:val="C9C0BE8F"/>
    <w:multiLevelType w:val="singleLevel"/>
    <w:tmpl w:val="C9C0BE8F"/>
    <w:lvl w:ilvl="0" w:tentative="0">
      <w:start w:val="1"/>
      <w:numFmt w:val="chineseCounting"/>
      <w:suff w:val="nothing"/>
      <w:lvlText w:val="（%1）"/>
      <w:lvlJc w:val="left"/>
      <w:pPr>
        <w:ind w:left="0" w:firstLine="420"/>
      </w:pPr>
      <w:rPr>
        <w:rFonts w:hint="eastAsia"/>
      </w:rPr>
    </w:lvl>
  </w:abstractNum>
  <w:abstractNum w:abstractNumId="2">
    <w:nsid w:val="E54F1C6D"/>
    <w:multiLevelType w:val="singleLevel"/>
    <w:tmpl w:val="E54F1C6D"/>
    <w:lvl w:ilvl="0" w:tentative="0">
      <w:start w:val="1"/>
      <w:numFmt w:val="decimal"/>
      <w:lvlText w:val="(%1)"/>
      <w:lvlJc w:val="left"/>
      <w:pPr>
        <w:ind w:left="425" w:hanging="425"/>
      </w:pPr>
      <w:rPr>
        <w:rFonts w:hint="default"/>
      </w:rPr>
    </w:lvl>
  </w:abstractNum>
  <w:abstractNum w:abstractNumId="3">
    <w:nsid w:val="E7D6740C"/>
    <w:multiLevelType w:val="singleLevel"/>
    <w:tmpl w:val="E7D6740C"/>
    <w:lvl w:ilvl="0" w:tentative="0">
      <w:start w:val="1"/>
      <w:numFmt w:val="decimal"/>
      <w:suff w:val="nothing"/>
      <w:lvlText w:val="（%1）"/>
      <w:lvlJc w:val="left"/>
    </w:lvl>
  </w:abstractNum>
  <w:abstractNum w:abstractNumId="4">
    <w:nsid w:val="024304E0"/>
    <w:multiLevelType w:val="singleLevel"/>
    <w:tmpl w:val="024304E0"/>
    <w:lvl w:ilvl="0" w:tentative="0">
      <w:start w:val="1"/>
      <w:numFmt w:val="decimal"/>
      <w:suff w:val="nothing"/>
      <w:lvlText w:val="%1．"/>
      <w:lvlJc w:val="left"/>
      <w:pPr>
        <w:ind w:left="0" w:firstLine="400"/>
      </w:pPr>
      <w:rPr>
        <w:rFonts w:hint="default"/>
        <w:b w:val="0"/>
        <w:bCs w:val="0"/>
      </w:rPr>
    </w:lvl>
  </w:abstractNum>
  <w:abstractNum w:abstractNumId="5">
    <w:nsid w:val="0855128A"/>
    <w:multiLevelType w:val="singleLevel"/>
    <w:tmpl w:val="0855128A"/>
    <w:lvl w:ilvl="0" w:tentative="0">
      <w:start w:val="1"/>
      <w:numFmt w:val="decimal"/>
      <w:suff w:val="nothing"/>
      <w:lvlText w:val="%1．"/>
      <w:lvlJc w:val="left"/>
      <w:pPr>
        <w:ind w:left="0" w:firstLine="400"/>
      </w:pPr>
      <w:rPr>
        <w:rFonts w:hint="default"/>
      </w:rPr>
    </w:lvl>
  </w:abstractNum>
  <w:abstractNum w:abstractNumId="6">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3940A017"/>
    <w:multiLevelType w:val="singleLevel"/>
    <w:tmpl w:val="3940A017"/>
    <w:lvl w:ilvl="0" w:tentative="0">
      <w:start w:val="1"/>
      <w:numFmt w:val="decimal"/>
      <w:lvlText w:val="(%1)"/>
      <w:lvlJc w:val="left"/>
      <w:pPr>
        <w:ind w:left="425" w:hanging="425"/>
      </w:pPr>
      <w:rPr>
        <w:rFonts w:hint="default"/>
      </w:rPr>
    </w:lvl>
  </w:abstractNum>
  <w:abstractNum w:abstractNumId="8">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9">
    <w:nsid w:val="516C67E7"/>
    <w:multiLevelType w:val="multilevel"/>
    <w:tmpl w:val="516C67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8"/>
  </w:num>
  <w:num w:numId="3">
    <w:abstractNumId w:val="3"/>
  </w:num>
  <w:num w:numId="4">
    <w:abstractNumId w:val="5"/>
  </w:num>
  <w:num w:numId="5">
    <w:abstractNumId w:val="7"/>
  </w:num>
  <w:num w:numId="6">
    <w:abstractNumId w:val="9"/>
  </w:num>
  <w:num w:numId="7">
    <w:abstractNumId w:val="4"/>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WM1YzgwNzA5NGNiMzIzNDYyNWYyNDJmMmZkMTAifQ=="/>
  </w:docVars>
  <w:rsids>
    <w:rsidRoot w:val="00000000"/>
    <w:rsid w:val="15F70D4D"/>
    <w:rsid w:val="19A07A64"/>
    <w:rsid w:val="1AAC313E"/>
    <w:rsid w:val="1B105920"/>
    <w:rsid w:val="1E913D35"/>
    <w:rsid w:val="203C15C2"/>
    <w:rsid w:val="31E76B3F"/>
    <w:rsid w:val="33C31F00"/>
    <w:rsid w:val="36207FF7"/>
    <w:rsid w:val="41424F78"/>
    <w:rsid w:val="4D945A34"/>
    <w:rsid w:val="58775B87"/>
    <w:rsid w:val="596874C0"/>
    <w:rsid w:val="65C05036"/>
    <w:rsid w:val="69B3296D"/>
    <w:rsid w:val="7CF74C61"/>
    <w:rsid w:val="7E3E4F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lang w:val="zh-CN"/>
    </w:rPr>
  </w:style>
  <w:style w:type="paragraph" w:styleId="4">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5">
    <w:name w:val="heading 3"/>
    <w:basedOn w:val="1"/>
    <w:next w:val="1"/>
    <w:qFormat/>
    <w:uiPriority w:val="0"/>
    <w:pPr>
      <w:keepNext/>
      <w:keepLines/>
      <w:spacing w:before="260" w:after="260" w:line="416" w:lineRule="auto"/>
      <w:outlineLvl w:val="2"/>
    </w:pPr>
    <w:rPr>
      <w:b/>
      <w:bCs/>
      <w:sz w:val="30"/>
      <w:szCs w:val="30"/>
      <w:lang w:val="zh-CN"/>
    </w:rPr>
  </w:style>
  <w:style w:type="paragraph" w:styleId="6">
    <w:name w:val="heading 4"/>
    <w:basedOn w:val="1"/>
    <w:next w:val="1"/>
    <w:qFormat/>
    <w:uiPriority w:val="0"/>
    <w:pPr>
      <w:keepNext/>
      <w:keepLines/>
      <w:numPr>
        <w:ilvl w:val="3"/>
        <w:numId w:val="1"/>
      </w:numPr>
      <w:spacing w:before="280" w:after="290" w:line="376" w:lineRule="auto"/>
      <w:outlineLvl w:val="3"/>
    </w:pPr>
    <w:rPr>
      <w:rFonts w:ascii="宋体" w:hAnsi="宋体"/>
      <w:b/>
      <w:bCs/>
      <w:sz w:val="28"/>
      <w:szCs w:val="28"/>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Calibri" w:hAnsi="Courier New"/>
      <w:szCs w:val="20"/>
      <w:lang w:val="zh-CN"/>
    </w:rPr>
  </w:style>
  <w:style w:type="paragraph" w:styleId="7">
    <w:name w:val="annotation text"/>
    <w:basedOn w:val="1"/>
    <w:unhideWhenUsed/>
    <w:qFormat/>
    <w:uiPriority w:val="0"/>
    <w:pPr>
      <w:jc w:val="left"/>
    </w:pPr>
    <w:rPr>
      <w:kern w:val="0"/>
      <w:sz w:val="20"/>
      <w:lang w:val="zh-CN"/>
    </w:rPr>
  </w:style>
  <w:style w:type="paragraph" w:styleId="8">
    <w:name w:val="Body Text"/>
    <w:basedOn w:val="1"/>
    <w:next w:val="1"/>
    <w:qFormat/>
    <w:uiPriority w:val="0"/>
    <w:pPr>
      <w:spacing w:line="460" w:lineRule="exact"/>
    </w:pPr>
    <w:rPr>
      <w:sz w:val="24"/>
      <w:szCs w:val="22"/>
    </w:rPr>
  </w:style>
  <w:style w:type="paragraph" w:styleId="9">
    <w:name w:val="footer"/>
    <w:basedOn w:val="1"/>
    <w:qFormat/>
    <w:uiPriority w:val="0"/>
    <w:pPr>
      <w:tabs>
        <w:tab w:val="center" w:pos="4153"/>
        <w:tab w:val="right" w:pos="8306"/>
      </w:tabs>
      <w:snapToGrid w:val="0"/>
      <w:jc w:val="left"/>
    </w:pPr>
    <w:rPr>
      <w:sz w:val="18"/>
      <w:szCs w:val="18"/>
      <w:lang w:val="zh-CN"/>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annotation reference"/>
    <w:unhideWhenUsed/>
    <w:qFormat/>
    <w:uiPriority w:val="99"/>
    <w:rPr>
      <w:sz w:val="21"/>
      <w:szCs w:val="21"/>
    </w:rPr>
  </w:style>
  <w:style w:type="paragraph" w:styleId="15">
    <w:name w:val="List Paragraph"/>
    <w:basedOn w:val="1"/>
    <w:qFormat/>
    <w:uiPriority w:val="34"/>
    <w:pPr>
      <w:ind w:firstLine="420" w:firstLineChars="200"/>
    </w:pPr>
    <w:rPr>
      <w:rFonts w:ascii="等线" w:hAnsi="等线" w:eastAsia="等线"/>
      <w:szCs w:val="22"/>
      <w:lang w:val="zh-CN"/>
    </w:rPr>
  </w:style>
  <w:style w:type="paragraph" w:customStyle="1" w:styleId="16">
    <w:name w:val="_Style 32"/>
    <w:basedOn w:val="1"/>
    <w:next w:val="15"/>
    <w:unhideWhenUsed/>
    <w:qFormat/>
    <w:uiPriority w:val="34"/>
    <w:pPr>
      <w:ind w:firstLine="420" w:firstLineChars="200"/>
    </w:pPr>
    <w:rPr>
      <w:rFonts w:hint="eastAsia" w:ascii="微软雅黑" w:hAnsi="微软雅黑" w:eastAsia="微软雅黑" w:cs="Times New Roman"/>
      <w:szCs w:val="24"/>
    </w:rPr>
  </w:style>
  <w:style w:type="paragraph" w:customStyle="1" w:styleId="17">
    <w:name w:val="彩色列表 - 着色 11"/>
    <w:basedOn w:val="1"/>
    <w:qFormat/>
    <w:uiPriority w:val="34"/>
    <w:pPr>
      <w:spacing w:line="360" w:lineRule="auto"/>
      <w:ind w:firstLine="420" w:firstLineChars="200"/>
    </w:pPr>
    <w:rPr>
      <w:rFonts w:ascii="Arial" w:hAnsi="Arial"/>
      <w:szCs w:val="21"/>
    </w:rPr>
  </w:style>
  <w:style w:type="paragraph" w:customStyle="1" w:styleId="18">
    <w:name w:val="U_正文2"/>
    <w:basedOn w:val="1"/>
    <w:qFormat/>
    <w:uiPriority w:val="0"/>
    <w:pPr>
      <w:spacing w:beforeLines="10" w:afterLines="10" w:line="300" w:lineRule="auto"/>
      <w:jc w:val="left"/>
    </w:pPr>
    <w:rPr>
      <w:rFonts w:ascii="Calibri" w:hAnsi="Calibri" w:cs="宋体"/>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4568</Words>
  <Characters>4720</Characters>
  <Lines>0</Lines>
  <Paragraphs>0</Paragraphs>
  <TotalTime>1</TotalTime>
  <ScaleCrop>false</ScaleCrop>
  <LinksUpToDate>false</LinksUpToDate>
  <CharactersWithSpaces>4721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2024-05-24T02:24:00Z</dcterms:created>
  <dc:creator>15989</dc:creator>
  <cp:lastModifiedBy>Ben</cp:lastModifiedBy>
  <cp:lastPrinted>2024-05-31T08:51:00Z</cp:lastPrinted>
  <dcterms:modified xsi:type="dcterms:W3CDTF">2025-07-18T07:15:13Z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DBD122F2CAA247FEBB6D097BB9CB300C_13</vt:lpwstr>
  </property>
  <property fmtid="{D5CDD505-2E9C-101B-9397-08002B2CF9AE}" pid="4" name="KSOTemplateDocerSaveRecord">
    <vt:lpwstr>eyJoZGlkIjoiOWJhYWM1YzgwNzA5NGNiMzIzNDYyNWYyNDJmMmZkMTAiLCJ1c2VySWQiOiIyNjQwMTAyNjMifQ==</vt:lpwstr>
  </property>
</Properties>
</file>