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6DE7C">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rPr>
      </w:pPr>
      <w:bookmarkStart w:id="2" w:name="_GoBack"/>
      <w:r>
        <w:rPr>
          <w:rFonts w:hint="eastAsia" w:ascii="宋体" w:hAnsi="宋体"/>
          <w:b/>
          <w:sz w:val="44"/>
          <w:szCs w:val="30"/>
          <w:lang w:val="en-US" w:eastAsia="zh-CN"/>
        </w:rPr>
        <w:t>心导管室移动护理工作站</w:t>
      </w:r>
      <w:r>
        <w:rPr>
          <w:rFonts w:hint="eastAsia" w:ascii="宋体" w:hAnsi="宋体"/>
          <w:b/>
          <w:sz w:val="44"/>
          <w:szCs w:val="30"/>
        </w:rPr>
        <w:t>设备采购项目</w:t>
      </w:r>
      <w:bookmarkEnd w:id="2"/>
      <w:r>
        <w:rPr>
          <w:rFonts w:hint="eastAsia" w:ascii="宋体" w:hAnsi="宋体"/>
          <w:b/>
          <w:sz w:val="44"/>
          <w:szCs w:val="30"/>
        </w:rPr>
        <w:t>需求</w:t>
      </w:r>
    </w:p>
    <w:p w14:paraId="7ECE0EB3">
      <w:pPr>
        <w:pStyle w:val="2"/>
        <w:numPr>
          <w:ilvl w:val="0"/>
          <w:numId w:val="3"/>
        </w:numPr>
        <w:spacing w:before="0" w:after="0"/>
        <w:rPr>
          <w:rFonts w:ascii="仿宋" w:hAnsi="仿宋" w:eastAsia="仿宋"/>
          <w:sz w:val="32"/>
          <w:szCs w:val="32"/>
        </w:rPr>
      </w:pPr>
      <w:r>
        <w:rPr>
          <w:rFonts w:hint="eastAsia" w:ascii="仿宋" w:hAnsi="仿宋" w:eastAsia="仿宋"/>
          <w:sz w:val="32"/>
          <w:szCs w:val="32"/>
        </w:rPr>
        <w:t>项目名称</w:t>
      </w:r>
    </w:p>
    <w:p w14:paraId="35FB2F86">
      <w:pPr>
        <w:spacing w:line="360" w:lineRule="auto"/>
        <w:ind w:left="432"/>
        <w:rPr>
          <w:rFonts w:ascii="仿宋" w:hAnsi="仿宋" w:eastAsia="仿宋"/>
          <w:szCs w:val="21"/>
        </w:rPr>
      </w:pPr>
      <w:r>
        <w:rPr>
          <w:rFonts w:hint="eastAsia" w:ascii="仿宋" w:hAnsi="仿宋" w:eastAsia="仿宋"/>
          <w:szCs w:val="21"/>
        </w:rPr>
        <w:t>项目名称：心导管室移动护理工作站设备采购项目</w:t>
      </w:r>
    </w:p>
    <w:p w14:paraId="7070A06E">
      <w:pPr>
        <w:spacing w:line="240" w:lineRule="auto"/>
        <w:ind w:left="432"/>
        <w:rPr>
          <w:rFonts w:hint="eastAsia" w:ascii="仿宋" w:hAnsi="仿宋" w:eastAsia="仿宋"/>
          <w:sz w:val="22"/>
          <w:lang w:val="en-US" w:eastAsia="zh-CN"/>
        </w:rPr>
      </w:pPr>
      <w:r>
        <w:rPr>
          <w:rFonts w:hint="eastAsia" w:ascii="仿宋" w:hAnsi="仿宋" w:eastAsia="仿宋"/>
          <w:sz w:val="21"/>
          <w:szCs w:val="22"/>
          <w:lang w:val="en-US" w:eastAsia="zh-CN"/>
        </w:rPr>
        <w:t xml:space="preserve"> </w:t>
      </w:r>
    </w:p>
    <w:p w14:paraId="339FBD47">
      <w:pPr>
        <w:pStyle w:val="2"/>
        <w:numPr>
          <w:ilvl w:val="0"/>
          <w:numId w:val="3"/>
        </w:numPr>
        <w:spacing w:before="0" w:after="0"/>
        <w:rPr>
          <w:rFonts w:ascii="仿宋" w:hAnsi="仿宋" w:eastAsia="仿宋"/>
          <w:sz w:val="32"/>
          <w:szCs w:val="32"/>
        </w:rPr>
      </w:pPr>
      <w:r>
        <w:rPr>
          <w:rFonts w:hint="eastAsia" w:ascii="仿宋" w:hAnsi="仿宋" w:eastAsia="仿宋"/>
          <w:sz w:val="32"/>
          <w:szCs w:val="32"/>
          <w:lang w:eastAsia="zh-CN"/>
        </w:rPr>
        <w:t>采购清单</w:t>
      </w:r>
    </w:p>
    <w:p w14:paraId="2D054BB3">
      <w:pPr>
        <w:rPr>
          <w:rFonts w:ascii="仿宋" w:hAnsi="仿宋" w:eastAsia="仿宋"/>
        </w:rPr>
      </w:pPr>
      <w:r>
        <w:rPr>
          <w:rFonts w:hint="eastAsia" w:ascii="仿宋" w:hAnsi="仿宋" w:eastAsia="仿宋"/>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3180"/>
        <w:gridCol w:w="3864"/>
        <w:gridCol w:w="1349"/>
      </w:tblGrid>
      <w:tr w14:paraId="0CDE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14:paraId="118F86F9">
            <w:pPr>
              <w:jc w:val="center"/>
              <w:rPr>
                <w:rFonts w:ascii="仿宋" w:hAnsi="仿宋" w:eastAsia="仿宋"/>
                <w:b/>
              </w:rPr>
            </w:pPr>
            <w:r>
              <w:rPr>
                <w:rFonts w:hint="eastAsia" w:ascii="仿宋" w:hAnsi="仿宋" w:eastAsia="仿宋"/>
                <w:b/>
              </w:rPr>
              <w:t>序号</w:t>
            </w:r>
          </w:p>
        </w:tc>
        <w:tc>
          <w:tcPr>
            <w:tcW w:w="3180" w:type="dxa"/>
          </w:tcPr>
          <w:p w14:paraId="15B95E8A">
            <w:pPr>
              <w:jc w:val="center"/>
              <w:rPr>
                <w:rFonts w:ascii="仿宋" w:hAnsi="仿宋" w:eastAsia="仿宋"/>
                <w:b/>
              </w:rPr>
            </w:pPr>
            <w:r>
              <w:rPr>
                <w:rFonts w:hint="eastAsia" w:ascii="仿宋" w:hAnsi="仿宋" w:eastAsia="仿宋"/>
                <w:b/>
              </w:rPr>
              <w:t>名称</w:t>
            </w:r>
          </w:p>
        </w:tc>
        <w:tc>
          <w:tcPr>
            <w:tcW w:w="3864" w:type="dxa"/>
          </w:tcPr>
          <w:p w14:paraId="056B48A2">
            <w:pPr>
              <w:jc w:val="center"/>
              <w:rPr>
                <w:rFonts w:ascii="仿宋" w:hAnsi="仿宋" w:eastAsia="仿宋"/>
                <w:b/>
              </w:rPr>
            </w:pPr>
            <w:r>
              <w:rPr>
                <w:rFonts w:hint="eastAsia" w:ascii="仿宋" w:hAnsi="仿宋" w:eastAsia="仿宋"/>
                <w:b/>
              </w:rPr>
              <w:t>配置描述</w:t>
            </w:r>
          </w:p>
        </w:tc>
        <w:tc>
          <w:tcPr>
            <w:tcW w:w="1349" w:type="dxa"/>
          </w:tcPr>
          <w:p w14:paraId="5EEE3BF7">
            <w:pPr>
              <w:jc w:val="center"/>
              <w:rPr>
                <w:rFonts w:ascii="仿宋" w:hAnsi="仿宋" w:eastAsia="仿宋"/>
                <w:b/>
              </w:rPr>
            </w:pPr>
            <w:r>
              <w:rPr>
                <w:rFonts w:hint="eastAsia" w:ascii="仿宋" w:hAnsi="仿宋" w:eastAsia="仿宋"/>
                <w:b/>
              </w:rPr>
              <w:t>数量</w:t>
            </w:r>
          </w:p>
        </w:tc>
      </w:tr>
      <w:tr w14:paraId="3F03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14:paraId="5AC4400D">
            <w:pPr>
              <w:jc w:val="center"/>
              <w:rPr>
                <w:rFonts w:ascii="仿宋" w:hAnsi="仿宋" w:eastAsia="仿宋"/>
              </w:rPr>
            </w:pPr>
            <w:r>
              <w:rPr>
                <w:rFonts w:ascii="仿宋" w:hAnsi="仿宋" w:eastAsia="仿宋"/>
              </w:rPr>
              <w:t>1</w:t>
            </w:r>
          </w:p>
        </w:tc>
        <w:tc>
          <w:tcPr>
            <w:tcW w:w="3180" w:type="dxa"/>
            <w:vAlign w:val="bottom"/>
          </w:tcPr>
          <w:p w14:paraId="05859AE5">
            <w:pPr>
              <w:widowControl/>
              <w:jc w:val="center"/>
              <w:rPr>
                <w:rFonts w:ascii="仿宋" w:hAnsi="仿宋" w:eastAsia="仿宋"/>
              </w:rPr>
            </w:pPr>
            <w:r>
              <w:rPr>
                <w:rFonts w:hint="eastAsia" w:ascii="仿宋" w:hAnsi="仿宋" w:eastAsia="仿宋"/>
              </w:rPr>
              <w:t>移动护理工作站</w:t>
            </w:r>
          </w:p>
        </w:tc>
        <w:tc>
          <w:tcPr>
            <w:tcW w:w="3864" w:type="dxa"/>
          </w:tcPr>
          <w:p w14:paraId="7A712A0A">
            <w:pPr>
              <w:rPr>
                <w:rStyle w:val="23"/>
                <w:rFonts w:ascii="仿宋" w:hAnsi="仿宋" w:eastAsia="仿宋"/>
              </w:rPr>
            </w:pPr>
            <w:r>
              <w:fldChar w:fldCharType="begin"/>
            </w:r>
            <w:r>
              <w:instrText xml:space="preserve"> HYPERLINK \l "_6.1.1、大数据服务器" </w:instrText>
            </w:r>
            <w:r>
              <w:fldChar w:fldCharType="separate"/>
            </w:r>
            <w:r>
              <w:rPr>
                <w:rStyle w:val="23"/>
                <w:rFonts w:hint="eastAsia" w:ascii="仿宋" w:hAnsi="仿宋" w:eastAsia="仿宋"/>
              </w:rPr>
              <w:t>配置详见3</w:t>
            </w:r>
            <w:r>
              <w:rPr>
                <w:rStyle w:val="23"/>
                <w:rFonts w:ascii="仿宋" w:hAnsi="仿宋" w:eastAsia="仿宋"/>
              </w:rPr>
              <w:t>.</w:t>
            </w:r>
            <w:r>
              <w:rPr>
                <w:rStyle w:val="23"/>
                <w:rFonts w:hint="eastAsia" w:ascii="仿宋" w:hAnsi="仿宋" w:eastAsia="仿宋"/>
              </w:rPr>
              <w:t>1.1、移动护理工作站</w:t>
            </w:r>
            <w:r>
              <w:rPr>
                <w:rStyle w:val="23"/>
                <w:rFonts w:hint="eastAsia" w:ascii="仿宋" w:hAnsi="仿宋" w:eastAsia="仿宋"/>
              </w:rPr>
              <w:fldChar w:fldCharType="end"/>
            </w:r>
          </w:p>
        </w:tc>
        <w:tc>
          <w:tcPr>
            <w:tcW w:w="1349" w:type="dxa"/>
            <w:vAlign w:val="center"/>
          </w:tcPr>
          <w:p w14:paraId="6E25777E">
            <w:pPr>
              <w:widowControl/>
              <w:jc w:val="center"/>
              <w:rPr>
                <w:rFonts w:ascii="仿宋" w:hAnsi="仿宋" w:eastAsia="仿宋"/>
              </w:rPr>
            </w:pPr>
            <w:r>
              <w:rPr>
                <w:rFonts w:ascii="仿宋" w:hAnsi="仿宋" w:eastAsia="仿宋"/>
              </w:rPr>
              <w:t>1</w:t>
            </w:r>
          </w:p>
        </w:tc>
      </w:tr>
    </w:tbl>
    <w:p w14:paraId="0F05C861">
      <w:pPr>
        <w:pStyle w:val="49"/>
        <w:keepNext/>
        <w:keepLines/>
        <w:numPr>
          <w:ilvl w:val="0"/>
          <w:numId w:val="1"/>
        </w:numPr>
        <w:spacing w:line="578" w:lineRule="auto"/>
        <w:ind w:firstLineChars="0"/>
        <w:outlineLvl w:val="0"/>
        <w:rPr>
          <w:rFonts w:ascii="仿宋" w:hAnsi="仿宋" w:eastAsia="仿宋"/>
          <w:b/>
          <w:bCs/>
          <w:vanish/>
          <w:kern w:val="44"/>
          <w:sz w:val="44"/>
          <w:szCs w:val="44"/>
        </w:rPr>
      </w:pPr>
    </w:p>
    <w:p w14:paraId="6AF92E7D">
      <w:pPr>
        <w:pStyle w:val="49"/>
        <w:keepNext/>
        <w:keepLines/>
        <w:numPr>
          <w:ilvl w:val="0"/>
          <w:numId w:val="1"/>
        </w:numPr>
        <w:spacing w:line="578" w:lineRule="auto"/>
        <w:ind w:firstLineChars="0"/>
        <w:outlineLvl w:val="0"/>
        <w:rPr>
          <w:rFonts w:ascii="仿宋" w:hAnsi="仿宋" w:eastAsia="仿宋"/>
          <w:b/>
          <w:bCs/>
          <w:vanish/>
          <w:kern w:val="44"/>
          <w:sz w:val="44"/>
          <w:szCs w:val="44"/>
        </w:rPr>
      </w:pPr>
    </w:p>
    <w:p w14:paraId="6C218AC8">
      <w:pPr>
        <w:pStyle w:val="49"/>
        <w:keepNext/>
        <w:keepLines/>
        <w:numPr>
          <w:ilvl w:val="0"/>
          <w:numId w:val="1"/>
        </w:numPr>
        <w:spacing w:line="578" w:lineRule="auto"/>
        <w:ind w:firstLineChars="0"/>
        <w:outlineLvl w:val="0"/>
        <w:rPr>
          <w:rFonts w:ascii="仿宋" w:hAnsi="仿宋" w:eastAsia="仿宋"/>
          <w:b/>
          <w:bCs/>
          <w:vanish/>
          <w:kern w:val="44"/>
          <w:sz w:val="44"/>
          <w:szCs w:val="44"/>
        </w:rPr>
      </w:pPr>
    </w:p>
    <w:p w14:paraId="180DC88F">
      <w:pPr>
        <w:pStyle w:val="49"/>
        <w:keepNext/>
        <w:keepLines/>
        <w:numPr>
          <w:ilvl w:val="1"/>
          <w:numId w:val="1"/>
        </w:numPr>
        <w:spacing w:line="578" w:lineRule="auto"/>
        <w:ind w:firstLineChars="0"/>
        <w:outlineLvl w:val="0"/>
        <w:rPr>
          <w:rFonts w:ascii="仿宋" w:hAnsi="仿宋" w:eastAsia="仿宋"/>
          <w:b/>
          <w:bCs/>
          <w:vanish/>
          <w:kern w:val="44"/>
          <w:sz w:val="44"/>
          <w:szCs w:val="44"/>
        </w:rPr>
      </w:pPr>
    </w:p>
    <w:p w14:paraId="3A4F4C1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431"/>
        <w:textAlignment w:val="auto"/>
        <w:rPr>
          <w:rFonts w:ascii="仿宋" w:hAnsi="仿宋" w:eastAsia="仿宋"/>
          <w:sz w:val="24"/>
          <w:szCs w:val="28"/>
        </w:rPr>
      </w:pPr>
    </w:p>
    <w:p w14:paraId="46B524DD">
      <w:pPr>
        <w:pStyle w:val="2"/>
        <w:numPr>
          <w:ilvl w:val="0"/>
          <w:numId w:val="3"/>
        </w:numPr>
        <w:spacing w:before="0" w:after="0"/>
        <w:rPr>
          <w:rFonts w:ascii="仿宋" w:hAnsi="仿宋" w:eastAsia="仿宋"/>
          <w:sz w:val="32"/>
          <w:szCs w:val="32"/>
        </w:rPr>
      </w:pPr>
      <w:r>
        <w:rPr>
          <w:rFonts w:hint="eastAsia" w:ascii="仿宋" w:hAnsi="仿宋" w:eastAsia="仿宋"/>
          <w:sz w:val="32"/>
          <w:szCs w:val="32"/>
        </w:rPr>
        <w:t>详细</w:t>
      </w:r>
      <w:r>
        <w:rPr>
          <w:rFonts w:hint="eastAsia" w:ascii="仿宋" w:hAnsi="仿宋" w:eastAsia="仿宋"/>
          <w:sz w:val="32"/>
          <w:szCs w:val="32"/>
          <w:lang w:eastAsia="zh-CN"/>
        </w:rPr>
        <w:t>配置参数</w:t>
      </w:r>
    </w:p>
    <w:p w14:paraId="2F1118EF">
      <w:pPr>
        <w:pStyle w:val="3"/>
        <w:spacing w:before="0" w:after="0" w:line="276" w:lineRule="auto"/>
        <w:rPr>
          <w:rFonts w:ascii="仿宋" w:hAnsi="仿宋" w:eastAsia="仿宋"/>
          <w:sz w:val="21"/>
          <w:szCs w:val="21"/>
        </w:rPr>
      </w:pPr>
      <w:bookmarkStart w:id="0" w:name="_6.1.1、大数据服务器"/>
      <w:bookmarkEnd w:id="0"/>
      <w:r>
        <w:rPr>
          <w:rFonts w:ascii="仿宋" w:hAnsi="仿宋" w:eastAsia="仿宋"/>
          <w:sz w:val="21"/>
          <w:szCs w:val="21"/>
        </w:rPr>
        <w:t>3.1.1</w:t>
      </w:r>
      <w:r>
        <w:rPr>
          <w:rFonts w:hint="eastAsia" w:ascii="仿宋" w:hAnsi="仿宋" w:eastAsia="仿宋"/>
          <w:sz w:val="21"/>
          <w:szCs w:val="21"/>
        </w:rPr>
        <w:t>、</w:t>
      </w:r>
      <w:r>
        <w:rPr>
          <w:rFonts w:hint="eastAsia" w:ascii="仿宋" w:hAnsi="仿宋" w:eastAsia="仿宋"/>
          <w:sz w:val="21"/>
          <w:szCs w:val="24"/>
        </w:rPr>
        <w:t>移动护理工作站</w:t>
      </w:r>
    </w:p>
    <w:tbl>
      <w:tblPr>
        <w:tblStyle w:val="19"/>
        <w:tblW w:w="5000" w:type="pct"/>
        <w:tblInd w:w="0" w:type="dxa"/>
        <w:tblLayout w:type="autofit"/>
        <w:tblCellMar>
          <w:top w:w="0" w:type="dxa"/>
          <w:left w:w="108" w:type="dxa"/>
          <w:bottom w:w="0" w:type="dxa"/>
          <w:right w:w="108" w:type="dxa"/>
        </w:tblCellMar>
      </w:tblPr>
      <w:tblGrid>
        <w:gridCol w:w="1157"/>
        <w:gridCol w:w="8129"/>
      </w:tblGrid>
      <w:tr w14:paraId="15B5FF53">
        <w:tblPrEx>
          <w:tblCellMar>
            <w:top w:w="0" w:type="dxa"/>
            <w:left w:w="108" w:type="dxa"/>
            <w:bottom w:w="0" w:type="dxa"/>
            <w:right w:w="108" w:type="dxa"/>
          </w:tblCellMar>
        </w:tblPrEx>
        <w:trPr>
          <w:trHeight w:val="320" w:hRule="atLeast"/>
        </w:trPr>
        <w:tc>
          <w:tcPr>
            <w:tcW w:w="623" w:type="pct"/>
            <w:tcBorders>
              <w:top w:val="single" w:color="auto" w:sz="4" w:space="0"/>
              <w:left w:val="single" w:color="auto" w:sz="4" w:space="0"/>
              <w:bottom w:val="single" w:color="auto" w:sz="4" w:space="0"/>
              <w:right w:val="single" w:color="auto" w:sz="4" w:space="0"/>
            </w:tcBorders>
            <w:vAlign w:val="center"/>
          </w:tcPr>
          <w:p w14:paraId="16116DB8">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指标项</w:t>
            </w:r>
          </w:p>
        </w:tc>
        <w:tc>
          <w:tcPr>
            <w:tcW w:w="4377" w:type="pct"/>
            <w:tcBorders>
              <w:top w:val="single" w:color="auto" w:sz="4" w:space="0"/>
              <w:left w:val="nil"/>
              <w:bottom w:val="single" w:color="auto" w:sz="4" w:space="0"/>
              <w:right w:val="single" w:color="auto" w:sz="4" w:space="0"/>
            </w:tcBorders>
            <w:vAlign w:val="center"/>
          </w:tcPr>
          <w:p w14:paraId="52FA39BB">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指标要求</w:t>
            </w:r>
          </w:p>
        </w:tc>
      </w:tr>
      <w:tr w14:paraId="59596E7B">
        <w:tblPrEx>
          <w:tblCellMar>
            <w:top w:w="0" w:type="dxa"/>
            <w:left w:w="108" w:type="dxa"/>
            <w:bottom w:w="0" w:type="dxa"/>
            <w:right w:w="108" w:type="dxa"/>
          </w:tblCellMar>
        </w:tblPrEx>
        <w:trPr>
          <w:trHeight w:val="320" w:hRule="atLeast"/>
        </w:trPr>
        <w:tc>
          <w:tcPr>
            <w:tcW w:w="623" w:type="pct"/>
            <w:tcBorders>
              <w:top w:val="nil"/>
              <w:left w:val="single" w:color="auto" w:sz="4" w:space="0"/>
              <w:bottom w:val="single" w:color="auto" w:sz="4" w:space="0"/>
              <w:right w:val="single" w:color="auto" w:sz="4" w:space="0"/>
            </w:tcBorders>
            <w:vAlign w:val="center"/>
          </w:tcPr>
          <w:p w14:paraId="1AF0AA52">
            <w:pPr>
              <w:widowControl/>
              <w:spacing w:line="276" w:lineRule="auto"/>
              <w:rPr>
                <w:rFonts w:ascii="仿宋" w:hAnsi="仿宋" w:eastAsia="仿宋" w:cs="宋体"/>
                <w:color w:val="000000"/>
                <w:szCs w:val="21"/>
              </w:rPr>
            </w:pPr>
            <w:r>
              <w:rPr>
                <w:rFonts w:hint="eastAsia" w:ascii="仿宋" w:hAnsi="仿宋" w:eastAsia="仿宋"/>
              </w:rPr>
              <w:t>移动护理工作站</w:t>
            </w:r>
          </w:p>
        </w:tc>
        <w:tc>
          <w:tcPr>
            <w:tcW w:w="4377" w:type="pct"/>
            <w:tcBorders>
              <w:top w:val="nil"/>
              <w:left w:val="nil"/>
              <w:bottom w:val="single" w:color="auto" w:sz="4" w:space="0"/>
              <w:right w:val="single" w:color="auto" w:sz="4" w:space="0"/>
            </w:tcBorders>
            <w:vAlign w:val="center"/>
          </w:tcPr>
          <w:p w14:paraId="084650B7">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一体化设计，主机、控制模组均集成在台面内部，不外露，整体重量≤35kg。</w:t>
            </w:r>
          </w:p>
          <w:p w14:paraId="3582A729">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电池放置在车体底部且离地悬空，贴合国标技术设计要求，安全且维护方便。（需要提供实物照片否则不满足）</w:t>
            </w:r>
          </w:p>
          <w:p w14:paraId="57B405D1">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采用模块化设计，台面、主机、显示器、抽屉等均可模块化安装和替换，方便后期维护。</w:t>
            </w:r>
          </w:p>
          <w:p w14:paraId="4ED20952">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车体尺寸：台面宽度450mm±10mm，台面深度480mm±10mm。</w:t>
            </w:r>
          </w:p>
          <w:p w14:paraId="500407B1">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台面显示屏升降：台面和显示屏升降方式皆为电动升降，台面可升降范围为离地895-1135mm±10%，显示屏可升降范围为显示屏中心离台面260-380mm±10%。（需要提供实物照片否则不满足）</w:t>
            </w:r>
          </w:p>
          <w:p w14:paraId="0A5F4765">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台面采用抗菌材质ABS一体成型塑料，台面为方型。（需要提供实物照片否则不满足）</w:t>
            </w:r>
          </w:p>
          <w:p w14:paraId="527F00C4">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台面下框为整体ABS一体成型塑料。（需要提供实物照片否则不满足）</w:t>
            </w:r>
          </w:p>
          <w:p w14:paraId="06BF964B">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台面下方具备手写板存储抽屉，宽378*深185*高50mm，侧边抽拉，方便使用。（需要提供实物照片否则不满足）</w:t>
            </w:r>
          </w:p>
          <w:p w14:paraId="1494CBE4">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显示器采用支架固定方式，安装在台面后侧。显示器及支架居中设计，整体车体重心均匀稳定，推动时更加稳固方便，不干涉日常操作。显示器支持前后俯仰、左右旋转和横竖屏转换，俯仰≥30°，左右≤180°</w:t>
            </w:r>
          </w:p>
          <w:p w14:paraId="43B838DF">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底座相连的立柱需为窄立柱固定不动，与台面相连立柱需为宽立柱进行上下升降， 立柱表面光洁，以便于清洁和消毒。侧部有装饰窄边设计，美观大方。</w:t>
            </w:r>
          </w:p>
          <w:p w14:paraId="59C6D395">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控制面板：具备台面与显示器升降控制功能，具备电量显示及低电量报警功能，具备充电状态显示功能（充电电源状态指示和充电流水灯指示)；（需要提供实物照片否则不满足）</w:t>
            </w:r>
          </w:p>
          <w:p w14:paraId="456FF832">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台面前部采用双把手位设计，中间带有跟台面一体化结合的加强筋，安全美观稳定性好。把手与台前跟中间加强部位为无缝一体化成形设计，颜色及材质一致，把手两端直接与台面相连为封闭式设计，防止钩挂线缆。（需要提供实物照片否则不满足）</w:t>
            </w:r>
          </w:p>
          <w:p w14:paraId="56E63D04">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键盘采用放置于台面下方，操作简单方便，不会影响到台面内部电气件的散热，保证安全性。（需要提供实物照片否则不满足）</w:t>
            </w:r>
          </w:p>
          <w:p w14:paraId="11A26940">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键盘托板宽410*深182.5*高41mm，配键盘鼠标，侧拉式鼠标小抽板，可操作鼠标，独立鼠标挂架（提供实物照片证明）</w:t>
            </w:r>
          </w:p>
          <w:p w14:paraId="009420D2">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配无线鼠标，及支持usb有线鼠标的放置。</w:t>
            </w:r>
          </w:p>
          <w:p w14:paraId="7D829D4D">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配备四个4寸医用进口静音万向轮，其中前两个轮子可以锁定。</w:t>
            </w:r>
          </w:p>
          <w:p w14:paraId="0FC21D3D">
            <w:pPr>
              <w:widowControl/>
              <w:spacing w:line="276" w:lineRule="auto"/>
              <w:rPr>
                <w:rFonts w:ascii="仿宋" w:hAnsi="仿宋" w:eastAsia="仿宋" w:cs="宋体"/>
                <w:color w:val="000000"/>
                <w:szCs w:val="21"/>
              </w:rPr>
            </w:pPr>
            <w:r>
              <w:rPr>
                <w:rFonts w:hint="eastAsia" w:ascii="仿宋" w:hAnsi="仿宋" w:eastAsia="仿宋" w:cs="宋体"/>
                <w:color w:val="000000"/>
                <w:szCs w:val="21"/>
              </w:rPr>
              <w:t>主机系统：</w:t>
            </w:r>
          </w:p>
          <w:p w14:paraId="0E62CFB4">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显示终端采用LED IPS屏采用薄款窄边框设计，尺寸≥21.5”，最佳分辨率≥1920x1080。</w:t>
            </w:r>
          </w:p>
          <w:p w14:paraId="2A3D5338">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 xml:space="preserve">CPU：酷睿I5 </w:t>
            </w:r>
            <w:r>
              <w:rPr>
                <w:rFonts w:ascii="仿宋" w:hAnsi="仿宋" w:eastAsia="仿宋" w:cs="宋体"/>
                <w:color w:val="000000"/>
                <w:szCs w:val="21"/>
              </w:rPr>
              <w:t>-1145G7</w:t>
            </w:r>
            <w:r>
              <w:rPr>
                <w:rFonts w:hint="eastAsia" w:ascii="仿宋" w:hAnsi="仿宋" w:eastAsia="仿宋" w:cs="宋体"/>
                <w:color w:val="000000"/>
                <w:szCs w:val="21"/>
              </w:rPr>
              <w:t>及以上。</w:t>
            </w:r>
          </w:p>
          <w:p w14:paraId="2E54698E">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内存：≥8GB 内存。</w:t>
            </w:r>
          </w:p>
          <w:p w14:paraId="787A6D2E">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硬盘：固态硬盘，容量≥256GB，主机具备硬盘支架防震结构设计。</w:t>
            </w:r>
          </w:p>
          <w:p w14:paraId="6746FAB4">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网卡：Intel 系列网卡，支持内置5G物联网卡。</w:t>
            </w:r>
          </w:p>
          <w:p w14:paraId="38CD8D1E">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接口：USB接口*6。</w:t>
            </w:r>
          </w:p>
          <w:p w14:paraId="614E8A27">
            <w:pPr>
              <w:pStyle w:val="49"/>
              <w:widowControl/>
              <w:numPr>
                <w:ilvl w:val="0"/>
                <w:numId w:val="5"/>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支持windows 10及以上操作系统。</w:t>
            </w:r>
          </w:p>
          <w:p w14:paraId="3CD94997">
            <w:pPr>
              <w:widowControl/>
              <w:spacing w:line="276" w:lineRule="auto"/>
              <w:rPr>
                <w:rFonts w:ascii="仿宋" w:hAnsi="仿宋" w:eastAsia="仿宋" w:cs="宋体"/>
                <w:color w:val="000000"/>
                <w:szCs w:val="21"/>
              </w:rPr>
            </w:pPr>
            <w:r>
              <w:rPr>
                <w:rFonts w:hint="eastAsia" w:ascii="仿宋" w:hAnsi="仿宋" w:eastAsia="仿宋" w:cs="宋体"/>
                <w:color w:val="000000"/>
                <w:szCs w:val="21"/>
              </w:rPr>
              <w:t>电源系统：</w:t>
            </w:r>
          </w:p>
          <w:p w14:paraId="79E7099D">
            <w:pPr>
              <w:pStyle w:val="49"/>
              <w:widowControl/>
              <w:numPr>
                <w:ilvl w:val="0"/>
                <w:numId w:val="6"/>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电池：采用磷酸铁锂材质软性包装电池，安全稳定，放置于底座底部，符合国标设计且维护方便。</w:t>
            </w:r>
          </w:p>
          <w:p w14:paraId="3EFA705B">
            <w:pPr>
              <w:pStyle w:val="49"/>
              <w:widowControl/>
              <w:numPr>
                <w:ilvl w:val="0"/>
                <w:numId w:val="6"/>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电池支持总续航8小时以上，电池容量：电池平台电压*电芯容量（24V*12AH）,循环寿命≥2000次。</w:t>
            </w:r>
          </w:p>
          <w:p w14:paraId="4F919B0A">
            <w:pPr>
              <w:pStyle w:val="49"/>
              <w:widowControl/>
              <w:numPr>
                <w:ilvl w:val="0"/>
                <w:numId w:val="6"/>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电池认证：通过ROHS、CE、FCC电池通用安全认证，有效保证医用电气设备安全性。（需提供电池产品相关证书复印件，否则不满足）</w:t>
            </w:r>
          </w:p>
          <w:p w14:paraId="66A2A413">
            <w:pPr>
              <w:pStyle w:val="49"/>
              <w:widowControl/>
              <w:numPr>
                <w:ilvl w:val="0"/>
                <w:numId w:val="6"/>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电源开关：有一键启动功能，可一键启动所有用电设备。</w:t>
            </w:r>
          </w:p>
          <w:p w14:paraId="52679932">
            <w:pPr>
              <w:pStyle w:val="49"/>
              <w:widowControl/>
              <w:numPr>
                <w:ilvl w:val="0"/>
                <w:numId w:val="6"/>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提供由国家第三方专业检测机构出具的电池充满电后，工作站续航时间8小时以上的检测报告扫描件。</w:t>
            </w:r>
          </w:p>
        </w:tc>
      </w:tr>
    </w:tbl>
    <w:p w14:paraId="469AA18E">
      <w:pPr>
        <w:rPr>
          <w:lang w:val="zh-CN" w:eastAsia="zh-CN"/>
        </w:rPr>
      </w:pPr>
      <w:bookmarkStart w:id="1" w:name="_6.1.2、容器服务器"/>
      <w:bookmarkEnd w:id="1"/>
    </w:p>
    <w:p w14:paraId="01FE4199">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（一）货物为原制造商制造的全新产品，整机无污染，无侵权行为、表面无划损、无任何缺陷隐患，在中国境内可依常规安全合法使用。</w:t>
      </w:r>
    </w:p>
    <w:p w14:paraId="32B85447">
      <w:pPr>
        <w:tabs>
          <w:tab w:val="left" w:pos="780"/>
        </w:tabs>
        <w:spacing w:before="156" w:beforeLines="50" w:line="360" w:lineRule="auto"/>
        <w:ind w:firstLine="420" w:firstLineChars="200"/>
        <w:outlineLvl w:val="0"/>
        <w:rPr>
          <w:rFonts w:hint="eastAsia" w:ascii="仿宋" w:hAnsi="仿宋" w:eastAsia="仿宋" w:cs="宋体"/>
          <w:szCs w:val="21"/>
        </w:rPr>
      </w:pPr>
      <w:r>
        <w:rPr>
          <w:rFonts w:hint="eastAsia" w:ascii="仿宋" w:hAnsi="仿宋" w:eastAsia="仿宋"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7D655369">
      <w:pPr>
        <w:tabs>
          <w:tab w:val="left" w:pos="780"/>
        </w:tabs>
        <w:spacing w:before="156" w:beforeLines="50" w:line="360" w:lineRule="auto"/>
        <w:ind w:firstLine="420" w:firstLineChars="200"/>
        <w:outlineLvl w:val="0"/>
        <w:rPr>
          <w:rFonts w:hint="eastAsia" w:ascii="仿宋" w:hAnsi="仿宋" w:eastAsia="仿宋" w:cs="宋体"/>
          <w:szCs w:val="21"/>
        </w:rPr>
      </w:pPr>
    </w:p>
    <w:p w14:paraId="30A4C151">
      <w:pPr>
        <w:pStyle w:val="2"/>
        <w:numPr>
          <w:ilvl w:val="0"/>
          <w:numId w:val="3"/>
        </w:numPr>
        <w:spacing w:before="0" w:after="0"/>
        <w:rPr>
          <w:rFonts w:ascii="仿宋" w:hAnsi="仿宋" w:eastAsia="仿宋"/>
          <w:sz w:val="21"/>
          <w:szCs w:val="21"/>
        </w:rPr>
      </w:pPr>
      <w:r>
        <w:rPr>
          <w:rFonts w:hint="eastAsia" w:ascii="仿宋" w:hAnsi="仿宋" w:eastAsia="仿宋"/>
          <w:sz w:val="32"/>
          <w:szCs w:val="32"/>
        </w:rPr>
        <w:t>交货</w:t>
      </w:r>
      <w:r>
        <w:rPr>
          <w:rFonts w:hint="eastAsia" w:ascii="仿宋" w:hAnsi="仿宋" w:eastAsia="仿宋"/>
          <w:sz w:val="32"/>
          <w:szCs w:val="32"/>
          <w:lang w:eastAsia="zh-CN"/>
        </w:rPr>
        <w:t>日</w:t>
      </w:r>
      <w:r>
        <w:rPr>
          <w:rFonts w:hint="eastAsia" w:ascii="仿宋" w:hAnsi="仿宋" w:eastAsia="仿宋"/>
          <w:sz w:val="32"/>
          <w:szCs w:val="32"/>
        </w:rPr>
        <w:t>期</w:t>
      </w:r>
    </w:p>
    <w:p w14:paraId="42ADE6F8">
      <w:pPr>
        <w:spacing w:line="360" w:lineRule="auto"/>
        <w:ind w:firstLine="525" w:firstLineChars="250"/>
        <w:rPr>
          <w:rFonts w:ascii="仿宋" w:hAnsi="仿宋" w:eastAsia="仿宋" w:cs="宋体"/>
          <w:szCs w:val="21"/>
        </w:rPr>
      </w:pPr>
      <w:r>
        <w:rPr>
          <w:rFonts w:hint="eastAsia" w:ascii="仿宋" w:hAnsi="仿宋" w:eastAsia="仿宋" w:cs="宋体"/>
          <w:szCs w:val="21"/>
        </w:rPr>
        <w:t>(一)供货方须在院方支付合同首款后的</w:t>
      </w:r>
      <w:r>
        <w:rPr>
          <w:rFonts w:ascii="仿宋" w:hAnsi="仿宋" w:eastAsia="仿宋" w:cs="宋体"/>
          <w:szCs w:val="21"/>
        </w:rPr>
        <w:t>7</w:t>
      </w:r>
      <w:r>
        <w:rPr>
          <w:rFonts w:hint="eastAsia" w:ascii="仿宋" w:hAnsi="仿宋" w:eastAsia="仿宋" w:cs="宋体"/>
          <w:szCs w:val="21"/>
        </w:rPr>
        <w:t>个工作日内向院方提交采购清单中的物品。</w:t>
      </w:r>
    </w:p>
    <w:p w14:paraId="6661CDFB">
      <w:pPr>
        <w:spacing w:line="360" w:lineRule="auto"/>
        <w:ind w:firstLine="525" w:firstLineChars="250"/>
        <w:rPr>
          <w:rFonts w:ascii="仿宋" w:hAnsi="仿宋" w:eastAsia="仿宋" w:cs="宋体"/>
          <w:szCs w:val="21"/>
        </w:rPr>
      </w:pPr>
      <w:r>
        <w:rPr>
          <w:rFonts w:hint="eastAsia" w:ascii="仿宋" w:hAnsi="仿宋" w:eastAsia="仿宋" w:cs="宋体"/>
          <w:szCs w:val="21"/>
        </w:rPr>
        <w:t>(二)交货日期以货物到达院方指定货运详细地址的日期为准。</w:t>
      </w:r>
    </w:p>
    <w:p w14:paraId="3E5CCE4B">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交货方式</w:t>
      </w:r>
    </w:p>
    <w:p w14:paraId="2300869C">
      <w:pPr>
        <w:spacing w:line="360" w:lineRule="auto"/>
        <w:ind w:firstLine="525" w:firstLineChars="250"/>
        <w:rPr>
          <w:rFonts w:ascii="仿宋" w:hAnsi="仿宋" w:eastAsia="仿宋" w:cs="宋体"/>
          <w:szCs w:val="21"/>
        </w:rPr>
      </w:pPr>
      <w:r>
        <w:rPr>
          <w:rFonts w:hint="eastAsia" w:ascii="仿宋" w:hAnsi="仿宋" w:eastAsia="仿宋" w:cs="宋体"/>
          <w:szCs w:val="21"/>
        </w:rPr>
        <w:t>(一)供货方应按时将货物送至院方指定货运详细地址。</w:t>
      </w:r>
    </w:p>
    <w:p w14:paraId="3539792E">
      <w:pPr>
        <w:spacing w:line="360" w:lineRule="auto"/>
        <w:ind w:firstLine="525" w:firstLineChars="250"/>
        <w:rPr>
          <w:rFonts w:ascii="仿宋" w:hAnsi="仿宋" w:eastAsia="仿宋" w:cs="宋体"/>
          <w:szCs w:val="21"/>
        </w:rPr>
      </w:pPr>
      <w:r>
        <w:rPr>
          <w:rFonts w:hint="eastAsia" w:ascii="仿宋" w:hAnsi="仿宋" w:eastAsia="仿宋" w:cs="宋体"/>
          <w:szCs w:val="21"/>
        </w:rPr>
        <w:t>(二)交货完成的有效证明：供货方送货人，必须随货物提交交货签收单给院方收货人，交货签收单必须有院方、供货方两方的签字方有效。</w:t>
      </w:r>
    </w:p>
    <w:p w14:paraId="48134E7B">
      <w:pPr>
        <w:rPr>
          <w:rFonts w:ascii="仿宋" w:hAnsi="仿宋" w:eastAsia="仿宋"/>
          <w:lang w:eastAsia="zh-CN"/>
        </w:rPr>
      </w:pPr>
    </w:p>
    <w:p w14:paraId="50B7CFD3">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安装</w:t>
      </w:r>
      <w:r>
        <w:rPr>
          <w:rFonts w:hint="eastAsia" w:ascii="仿宋" w:hAnsi="仿宋" w:eastAsia="仿宋"/>
          <w:b/>
          <w:bCs/>
          <w:kern w:val="44"/>
          <w:sz w:val="32"/>
          <w:szCs w:val="32"/>
          <w:lang w:val="zh-CN"/>
        </w:rPr>
        <w:t>要求</w:t>
      </w:r>
    </w:p>
    <w:p w14:paraId="68EACD53">
      <w:pPr>
        <w:spacing w:line="360" w:lineRule="auto"/>
        <w:ind w:firstLine="525" w:firstLineChars="250"/>
        <w:rPr>
          <w:rFonts w:ascii="仿宋" w:hAnsi="仿宋" w:eastAsia="仿宋" w:cs="宋体"/>
          <w:szCs w:val="21"/>
        </w:rPr>
      </w:pPr>
      <w:r>
        <w:rPr>
          <w:rFonts w:hint="eastAsia" w:ascii="仿宋" w:hAnsi="仿宋" w:eastAsia="仿宋" w:cs="宋体"/>
          <w:szCs w:val="21"/>
        </w:rPr>
        <w:t>(一)供货方负责合同项下设备的安装调试，并按院方要求，免费提供本项目下设备的搬迁工作。</w:t>
      </w:r>
    </w:p>
    <w:p w14:paraId="789950A2">
      <w:pPr>
        <w:spacing w:line="360" w:lineRule="auto"/>
        <w:ind w:firstLine="525" w:firstLineChars="250"/>
        <w:rPr>
          <w:rFonts w:ascii="仿宋" w:hAnsi="仿宋" w:eastAsia="仿宋" w:cs="宋体"/>
          <w:szCs w:val="21"/>
        </w:rPr>
      </w:pPr>
      <w:r>
        <w:rPr>
          <w:rFonts w:hint="eastAsia" w:ascii="仿宋" w:hAnsi="仿宋" w:eastAsia="仿宋" w:cs="宋体"/>
          <w:szCs w:val="21"/>
        </w:rPr>
        <w:t>(二)供货方应按院方指定的安装日期、安装要求进行安装工作。</w:t>
      </w:r>
    </w:p>
    <w:p w14:paraId="003EE36A">
      <w:pPr>
        <w:spacing w:line="360" w:lineRule="auto"/>
        <w:ind w:firstLine="525" w:firstLineChars="250"/>
        <w:rPr>
          <w:rFonts w:ascii="仿宋" w:hAnsi="仿宋" w:eastAsia="仿宋" w:cs="宋体"/>
          <w:szCs w:val="21"/>
        </w:rPr>
      </w:pPr>
      <w:r>
        <w:rPr>
          <w:rFonts w:hint="eastAsia" w:ascii="仿宋" w:hAnsi="仿宋" w:eastAsia="仿宋" w:cs="宋体"/>
          <w:szCs w:val="21"/>
        </w:rPr>
        <w:t>(三)供货方需根据院方的详细需求，提交项目产品的安装、调试及培训实施方案，方案得到院方确认后实施，保证系统按时、正常地投入运行。</w:t>
      </w:r>
    </w:p>
    <w:p w14:paraId="325977B3">
      <w:pPr>
        <w:spacing w:line="360" w:lineRule="auto"/>
        <w:ind w:firstLine="525" w:firstLineChars="250"/>
        <w:rPr>
          <w:rFonts w:ascii="仿宋" w:hAnsi="仿宋" w:eastAsia="仿宋" w:cs="宋体"/>
          <w:szCs w:val="21"/>
        </w:rPr>
      </w:pPr>
    </w:p>
    <w:p w14:paraId="2CEF1DCC">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保修</w:t>
      </w:r>
      <w:r>
        <w:rPr>
          <w:rFonts w:hint="eastAsia" w:ascii="仿宋" w:hAnsi="仿宋" w:eastAsia="仿宋"/>
          <w:b/>
          <w:bCs/>
          <w:kern w:val="44"/>
          <w:sz w:val="32"/>
          <w:szCs w:val="32"/>
          <w:lang w:val="zh-CN"/>
        </w:rPr>
        <w:t>服务</w:t>
      </w:r>
    </w:p>
    <w:p w14:paraId="3DFA23C6">
      <w:pPr>
        <w:spacing w:line="360" w:lineRule="auto"/>
        <w:ind w:firstLine="525" w:firstLineChars="250"/>
        <w:rPr>
          <w:rFonts w:ascii="仿宋" w:hAnsi="仿宋" w:eastAsia="仿宋" w:cs="宋体"/>
          <w:szCs w:val="21"/>
        </w:rPr>
      </w:pPr>
      <w:r>
        <w:rPr>
          <w:rFonts w:hint="eastAsia" w:ascii="仿宋" w:hAnsi="仿宋" w:eastAsia="仿宋" w:cs="宋体"/>
          <w:szCs w:val="21"/>
        </w:rPr>
        <w:t>(一)整机保修；保修期自验收合格之日起计算。</w:t>
      </w:r>
    </w:p>
    <w:p w14:paraId="2EA3FE26">
      <w:pPr>
        <w:spacing w:line="360" w:lineRule="auto"/>
        <w:ind w:firstLine="525" w:firstLineChars="250"/>
        <w:rPr>
          <w:rFonts w:ascii="仿宋" w:hAnsi="仿宋" w:eastAsia="仿宋" w:cs="宋体"/>
          <w:szCs w:val="21"/>
        </w:rPr>
      </w:pPr>
      <w:r>
        <w:rPr>
          <w:rFonts w:hint="eastAsia" w:ascii="仿宋" w:hAnsi="仿宋" w:eastAsia="仿宋" w:cs="宋体"/>
          <w:szCs w:val="21"/>
        </w:rPr>
        <w:t>(二)提供</w:t>
      </w:r>
      <w:r>
        <w:rPr>
          <w:rFonts w:ascii="仿宋" w:hAnsi="仿宋" w:eastAsia="仿宋" w:cs="宋体"/>
          <w:szCs w:val="21"/>
        </w:rPr>
        <w:t>3</w:t>
      </w:r>
      <w:r>
        <w:rPr>
          <w:rFonts w:hint="eastAsia" w:ascii="仿宋" w:hAnsi="仿宋" w:eastAsia="仿宋" w:cs="宋体"/>
          <w:szCs w:val="21"/>
        </w:rPr>
        <w:t>年原厂家保修服务。</w:t>
      </w:r>
    </w:p>
    <w:p w14:paraId="0021890E">
      <w:pPr>
        <w:spacing w:line="360" w:lineRule="auto"/>
        <w:ind w:firstLine="525" w:firstLineChars="250"/>
        <w:rPr>
          <w:rFonts w:ascii="仿宋" w:hAnsi="仿宋" w:eastAsia="仿宋" w:cs="宋体"/>
          <w:szCs w:val="21"/>
        </w:rPr>
      </w:pPr>
      <w:r>
        <w:rPr>
          <w:rFonts w:hint="eastAsia" w:ascii="仿宋" w:hAnsi="仿宋" w:eastAsia="仿宋"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14:paraId="4789E647">
      <w:pPr>
        <w:spacing w:line="360" w:lineRule="auto"/>
        <w:ind w:firstLine="525" w:firstLineChars="250"/>
        <w:rPr>
          <w:rFonts w:ascii="仿宋" w:hAnsi="仿宋" w:eastAsia="仿宋" w:cs="宋体"/>
          <w:szCs w:val="21"/>
        </w:rPr>
      </w:pPr>
      <w:r>
        <w:rPr>
          <w:rFonts w:hint="eastAsia" w:ascii="仿宋" w:hAnsi="仿宋" w:eastAsia="仿宋" w:cs="宋体"/>
          <w:szCs w:val="21"/>
        </w:rPr>
        <w:t>(四)超过免费维护期的，双方另行协商签订维护合同，信息设备（产品）的维护报价不超过合同信息设备（产品）部分金额的</w:t>
      </w:r>
      <w:r>
        <w:rPr>
          <w:rFonts w:hint="eastAsia" w:ascii="仿宋" w:hAnsi="仿宋" w:eastAsia="仿宋" w:cs="宋体"/>
          <w:szCs w:val="21"/>
          <w:lang w:val="en-US" w:eastAsia="zh-CN"/>
        </w:rPr>
        <w:t>3</w:t>
      </w:r>
      <w:r>
        <w:rPr>
          <w:rFonts w:hint="eastAsia" w:ascii="仿宋" w:hAnsi="仿宋" w:eastAsia="仿宋" w:cs="宋体"/>
          <w:szCs w:val="21"/>
        </w:rPr>
        <w:t>%。</w:t>
      </w:r>
    </w:p>
    <w:p w14:paraId="441F203C">
      <w:pPr>
        <w:spacing w:line="360" w:lineRule="auto"/>
        <w:ind w:firstLine="525" w:firstLineChars="250"/>
        <w:rPr>
          <w:rFonts w:ascii="仿宋" w:hAnsi="仿宋" w:eastAsia="仿宋" w:cs="宋体"/>
          <w:szCs w:val="21"/>
        </w:rPr>
      </w:pPr>
      <w:r>
        <w:rPr>
          <w:rFonts w:hint="eastAsia" w:ascii="仿宋" w:hAnsi="仿宋" w:eastAsia="仿宋" w:cs="宋体"/>
          <w:szCs w:val="21"/>
        </w:rPr>
        <w:t>售后服务：提供原厂家7*24小时免费维修服务。</w:t>
      </w:r>
    </w:p>
    <w:p w14:paraId="00B30899">
      <w:pPr>
        <w:spacing w:line="360" w:lineRule="auto"/>
        <w:ind w:firstLine="525" w:firstLineChars="250"/>
        <w:rPr>
          <w:rFonts w:ascii="仿宋" w:hAnsi="仿宋" w:eastAsia="仿宋" w:cs="宋体"/>
          <w:szCs w:val="21"/>
        </w:rPr>
      </w:pPr>
      <w:r>
        <w:rPr>
          <w:rFonts w:hint="eastAsia" w:ascii="仿宋" w:hAnsi="仿宋" w:eastAsia="仿宋" w:cs="宋体"/>
          <w:szCs w:val="21"/>
        </w:rPr>
        <w:t>响应时间、方式：2小时内响应到院方报修处，供货方需提供备件先行服务。</w:t>
      </w:r>
    </w:p>
    <w:p w14:paraId="48B5D6E6">
      <w:pPr>
        <w:spacing w:line="360" w:lineRule="auto"/>
        <w:ind w:firstLine="525" w:firstLineChars="250"/>
        <w:rPr>
          <w:rFonts w:ascii="仿宋" w:hAnsi="仿宋" w:eastAsia="仿宋" w:cs="宋体"/>
          <w:szCs w:val="21"/>
        </w:rPr>
      </w:pPr>
    </w:p>
    <w:p w14:paraId="4BBAE449">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培训</w:t>
      </w:r>
    </w:p>
    <w:p w14:paraId="2373C4D3">
      <w:pPr>
        <w:spacing w:line="360" w:lineRule="auto"/>
        <w:ind w:firstLine="525" w:firstLineChars="250"/>
        <w:rPr>
          <w:rFonts w:ascii="仿宋" w:hAnsi="仿宋" w:eastAsia="仿宋" w:cs="宋体"/>
          <w:szCs w:val="21"/>
        </w:rPr>
      </w:pPr>
      <w:r>
        <w:rPr>
          <w:rFonts w:hint="eastAsia" w:ascii="仿宋" w:hAnsi="仿宋" w:eastAsia="仿宋" w:cs="宋体"/>
          <w:szCs w:val="21"/>
        </w:rPr>
        <w:t>供货方应为院方进行培训，包括使用培训和维护培训。</w:t>
      </w:r>
    </w:p>
    <w:p w14:paraId="5ED2AAE6">
      <w:pPr>
        <w:spacing w:line="360" w:lineRule="auto"/>
        <w:ind w:firstLine="525" w:firstLineChars="250"/>
        <w:rPr>
          <w:rFonts w:ascii="仿宋" w:hAnsi="仿宋" w:eastAsia="仿宋" w:cs="宋体"/>
          <w:szCs w:val="21"/>
        </w:rPr>
      </w:pPr>
      <w:r>
        <w:rPr>
          <w:rFonts w:hint="eastAsia" w:ascii="仿宋" w:hAnsi="仿宋" w:eastAsia="仿宋" w:cs="宋体"/>
          <w:szCs w:val="21"/>
        </w:rPr>
        <w:t>供货方应提出详细的培训计划，提供培训教材。技术培训的内容必须覆盖产品的安装、日常操作和管理维护，以及基本的故障诊断与排错，并保证培训效果。</w:t>
      </w:r>
    </w:p>
    <w:p w14:paraId="1D8F8AA6">
      <w:pPr>
        <w:spacing w:line="360" w:lineRule="auto"/>
        <w:ind w:firstLine="525" w:firstLineChars="250"/>
        <w:rPr>
          <w:rFonts w:ascii="仿宋" w:hAnsi="仿宋" w:eastAsia="仿宋" w:cs="宋体"/>
          <w:szCs w:val="21"/>
        </w:rPr>
      </w:pPr>
    </w:p>
    <w:p w14:paraId="744FA992">
      <w:pPr>
        <w:pStyle w:val="2"/>
        <w:numPr>
          <w:ilvl w:val="0"/>
          <w:numId w:val="3"/>
        </w:numPr>
        <w:spacing w:before="0" w:after="0"/>
        <w:rPr>
          <w:rFonts w:ascii="仿宋" w:hAnsi="仿宋" w:eastAsia="仿宋"/>
          <w:color w:val="FF0000"/>
          <w:sz w:val="32"/>
          <w:szCs w:val="32"/>
        </w:rPr>
      </w:pPr>
      <w:r>
        <w:rPr>
          <w:rFonts w:hint="eastAsia" w:ascii="仿宋" w:hAnsi="仿宋" w:eastAsia="仿宋"/>
          <w:sz w:val="32"/>
          <w:szCs w:val="32"/>
        </w:rPr>
        <w:t>合同款支付方式</w:t>
      </w:r>
    </w:p>
    <w:p w14:paraId="5ACD1D16">
      <w:pPr>
        <w:spacing w:line="360" w:lineRule="auto"/>
        <w:ind w:firstLine="420" w:firstLineChars="200"/>
        <w:rPr>
          <w:rFonts w:ascii="仿宋" w:hAnsi="仿宋" w:eastAsia="仿宋" w:cs="宋体"/>
          <w:szCs w:val="21"/>
        </w:rPr>
      </w:pPr>
      <w:r>
        <w:rPr>
          <w:rFonts w:hint="eastAsia" w:ascii="仿宋" w:hAnsi="仿宋" w:eastAsia="仿宋" w:cs="宋体"/>
          <w:szCs w:val="21"/>
        </w:rPr>
        <w:t>甲方将按如下方式向乙方支付合同费用：</w:t>
      </w:r>
    </w:p>
    <w:p w14:paraId="2202942D">
      <w:pPr>
        <w:numPr>
          <w:ilvl w:val="0"/>
          <w:numId w:val="7"/>
        </w:numPr>
        <w:spacing w:line="360" w:lineRule="auto"/>
        <w:ind w:firstLineChars="200"/>
        <w:rPr>
          <w:rFonts w:ascii="仿宋" w:hAnsi="仿宋" w:eastAsia="仿宋" w:cs="宋体"/>
          <w:szCs w:val="21"/>
        </w:rPr>
      </w:pPr>
      <w:r>
        <w:rPr>
          <w:rFonts w:hint="eastAsia" w:ascii="仿宋" w:hAnsi="仿宋" w:eastAsia="仿宋" w:cs="宋体"/>
          <w:szCs w:val="21"/>
        </w:rPr>
        <w:t>合同签订后，甲方在收到乙方开具相应金额正式发票后，向乙方支付合同总金额的30%。</w:t>
      </w:r>
    </w:p>
    <w:p w14:paraId="53B5FE3F">
      <w:pPr>
        <w:numPr>
          <w:ilvl w:val="0"/>
          <w:numId w:val="7"/>
        </w:numPr>
        <w:spacing w:line="360" w:lineRule="auto"/>
        <w:ind w:firstLineChars="200"/>
        <w:rPr>
          <w:rFonts w:ascii="仿宋" w:hAnsi="仿宋" w:eastAsia="仿宋" w:cs="宋体"/>
          <w:szCs w:val="21"/>
        </w:rPr>
      </w:pPr>
      <w:r>
        <w:rPr>
          <w:rFonts w:hint="eastAsia" w:ascii="仿宋" w:hAnsi="仿宋" w:eastAsia="仿宋" w:cs="宋体"/>
          <w:szCs w:val="21"/>
        </w:rPr>
        <w:t>合同所有设备（产品）运至甲方指定货运详细地址、开箱合格运转正常，并经最终用户签字验收（加电验收），且甲方在收到乙方开具相应金额正式发票以及售后服务履约承诺函后，向乙方支付至结算审核价的</w:t>
      </w:r>
      <w:r>
        <w:rPr>
          <w:rFonts w:ascii="仿宋" w:hAnsi="仿宋" w:eastAsia="仿宋" w:cs="宋体"/>
          <w:szCs w:val="21"/>
        </w:rPr>
        <w:t>100</w:t>
      </w:r>
      <w:r>
        <w:rPr>
          <w:rFonts w:hint="eastAsia" w:ascii="仿宋" w:hAnsi="仿宋" w:eastAsia="仿宋" w:cs="宋体"/>
          <w:szCs w:val="21"/>
        </w:rPr>
        <w:t>%。</w:t>
      </w:r>
    </w:p>
    <w:p w14:paraId="6AA1D2C1"/>
    <w:sectPr>
      <w:pgSz w:w="11906" w:h="16838"/>
      <w:pgMar w:top="850" w:right="1418" w:bottom="85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BFBFA"/>
    <w:multiLevelType w:val="singleLevel"/>
    <w:tmpl w:val="0EBBFBFA"/>
    <w:lvl w:ilvl="0" w:tentative="0">
      <w:start w:val="1"/>
      <w:numFmt w:val="chineseCounting"/>
      <w:suff w:val="nothing"/>
      <w:lvlText w:val="（%1）"/>
      <w:lvlJc w:val="left"/>
      <w:pPr>
        <w:ind w:left="0" w:firstLine="420"/>
      </w:pPr>
      <w:rPr>
        <w:rFonts w:hint="eastAsia"/>
      </w:rPr>
    </w:lvl>
  </w:abstractNum>
  <w:abstractNum w:abstractNumId="1">
    <w:nsid w:val="12CF4480"/>
    <w:multiLevelType w:val="multilevel"/>
    <w:tmpl w:val="12CF44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4BFA6D95"/>
    <w:multiLevelType w:val="multilevel"/>
    <w:tmpl w:val="4BFA6D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1C4D9D"/>
    <w:multiLevelType w:val="multilevel"/>
    <w:tmpl w:val="771C4D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1752"/>
    <w:rsid w:val="0004334E"/>
    <w:rsid w:val="00046B39"/>
    <w:rsid w:val="00054706"/>
    <w:rsid w:val="000612F5"/>
    <w:rsid w:val="00066DE7"/>
    <w:rsid w:val="00074EDD"/>
    <w:rsid w:val="000757C1"/>
    <w:rsid w:val="0008271F"/>
    <w:rsid w:val="00086AE0"/>
    <w:rsid w:val="0009064D"/>
    <w:rsid w:val="00090A18"/>
    <w:rsid w:val="00096532"/>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004F"/>
    <w:rsid w:val="00153AB3"/>
    <w:rsid w:val="00162D29"/>
    <w:rsid w:val="00164878"/>
    <w:rsid w:val="00164C38"/>
    <w:rsid w:val="00165091"/>
    <w:rsid w:val="00171903"/>
    <w:rsid w:val="00181223"/>
    <w:rsid w:val="0018200C"/>
    <w:rsid w:val="001833B6"/>
    <w:rsid w:val="00190CD2"/>
    <w:rsid w:val="00194BFE"/>
    <w:rsid w:val="001A22A1"/>
    <w:rsid w:val="001B36D6"/>
    <w:rsid w:val="001B4850"/>
    <w:rsid w:val="001B7966"/>
    <w:rsid w:val="001B7D79"/>
    <w:rsid w:val="001C23B3"/>
    <w:rsid w:val="001C7BC6"/>
    <w:rsid w:val="001D4A68"/>
    <w:rsid w:val="001D7749"/>
    <w:rsid w:val="001E3B38"/>
    <w:rsid w:val="00200054"/>
    <w:rsid w:val="002000DE"/>
    <w:rsid w:val="00202EFF"/>
    <w:rsid w:val="00204FAB"/>
    <w:rsid w:val="0020509F"/>
    <w:rsid w:val="00207A96"/>
    <w:rsid w:val="00214A6F"/>
    <w:rsid w:val="00221F1F"/>
    <w:rsid w:val="00223E47"/>
    <w:rsid w:val="00241D77"/>
    <w:rsid w:val="00245725"/>
    <w:rsid w:val="00246092"/>
    <w:rsid w:val="002509F5"/>
    <w:rsid w:val="002535AA"/>
    <w:rsid w:val="00260E6E"/>
    <w:rsid w:val="00261CBC"/>
    <w:rsid w:val="00265DE7"/>
    <w:rsid w:val="00270260"/>
    <w:rsid w:val="002722CA"/>
    <w:rsid w:val="002834D3"/>
    <w:rsid w:val="002853BF"/>
    <w:rsid w:val="0028609C"/>
    <w:rsid w:val="00292528"/>
    <w:rsid w:val="002A01D6"/>
    <w:rsid w:val="002A4778"/>
    <w:rsid w:val="002C1296"/>
    <w:rsid w:val="002C4AA6"/>
    <w:rsid w:val="002C53D1"/>
    <w:rsid w:val="002D6BE1"/>
    <w:rsid w:val="002D6E1C"/>
    <w:rsid w:val="002E1C48"/>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42D7"/>
    <w:rsid w:val="00397B7E"/>
    <w:rsid w:val="003A7269"/>
    <w:rsid w:val="003B285A"/>
    <w:rsid w:val="003B7DE3"/>
    <w:rsid w:val="003C0FB7"/>
    <w:rsid w:val="003C6D81"/>
    <w:rsid w:val="003D0F80"/>
    <w:rsid w:val="003D2595"/>
    <w:rsid w:val="003E7083"/>
    <w:rsid w:val="003F629F"/>
    <w:rsid w:val="00403938"/>
    <w:rsid w:val="00405AA9"/>
    <w:rsid w:val="00413DA3"/>
    <w:rsid w:val="00414171"/>
    <w:rsid w:val="0041787F"/>
    <w:rsid w:val="00423450"/>
    <w:rsid w:val="0042702D"/>
    <w:rsid w:val="00433136"/>
    <w:rsid w:val="00435C81"/>
    <w:rsid w:val="0044060A"/>
    <w:rsid w:val="00440F72"/>
    <w:rsid w:val="004565AA"/>
    <w:rsid w:val="00456A2C"/>
    <w:rsid w:val="004630DC"/>
    <w:rsid w:val="00474AE0"/>
    <w:rsid w:val="0047796F"/>
    <w:rsid w:val="004808A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16D"/>
    <w:rsid w:val="005A4D1C"/>
    <w:rsid w:val="005B046D"/>
    <w:rsid w:val="005B1692"/>
    <w:rsid w:val="005B33AE"/>
    <w:rsid w:val="005C49D7"/>
    <w:rsid w:val="005C5BB2"/>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107F"/>
    <w:rsid w:val="00623637"/>
    <w:rsid w:val="006279C6"/>
    <w:rsid w:val="006344BA"/>
    <w:rsid w:val="00644B74"/>
    <w:rsid w:val="00644F1D"/>
    <w:rsid w:val="00646B59"/>
    <w:rsid w:val="006604C2"/>
    <w:rsid w:val="0068073E"/>
    <w:rsid w:val="006861F5"/>
    <w:rsid w:val="00697FBB"/>
    <w:rsid w:val="006B2085"/>
    <w:rsid w:val="006B21B8"/>
    <w:rsid w:val="006B3754"/>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00F3"/>
    <w:rsid w:val="008168FB"/>
    <w:rsid w:val="0081766B"/>
    <w:rsid w:val="00821CA9"/>
    <w:rsid w:val="00822BA6"/>
    <w:rsid w:val="008334AC"/>
    <w:rsid w:val="008419E9"/>
    <w:rsid w:val="008548FB"/>
    <w:rsid w:val="008623FD"/>
    <w:rsid w:val="00863E39"/>
    <w:rsid w:val="008643D4"/>
    <w:rsid w:val="00866774"/>
    <w:rsid w:val="00873B97"/>
    <w:rsid w:val="0089712C"/>
    <w:rsid w:val="008A62AC"/>
    <w:rsid w:val="008B2206"/>
    <w:rsid w:val="008C255D"/>
    <w:rsid w:val="008D3291"/>
    <w:rsid w:val="008D41CA"/>
    <w:rsid w:val="008D59AA"/>
    <w:rsid w:val="008E145D"/>
    <w:rsid w:val="008E2B56"/>
    <w:rsid w:val="008E69C8"/>
    <w:rsid w:val="00900232"/>
    <w:rsid w:val="00900BAA"/>
    <w:rsid w:val="00903734"/>
    <w:rsid w:val="00903878"/>
    <w:rsid w:val="00903CF6"/>
    <w:rsid w:val="009052C7"/>
    <w:rsid w:val="00905AC4"/>
    <w:rsid w:val="00905FFA"/>
    <w:rsid w:val="0092017A"/>
    <w:rsid w:val="00922032"/>
    <w:rsid w:val="00925C23"/>
    <w:rsid w:val="00927E08"/>
    <w:rsid w:val="009303FA"/>
    <w:rsid w:val="00932A85"/>
    <w:rsid w:val="00941F0C"/>
    <w:rsid w:val="00943004"/>
    <w:rsid w:val="00953807"/>
    <w:rsid w:val="00963F1D"/>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128E"/>
    <w:rsid w:val="009D6951"/>
    <w:rsid w:val="009D7DD1"/>
    <w:rsid w:val="009E0351"/>
    <w:rsid w:val="009E214B"/>
    <w:rsid w:val="009E53AF"/>
    <w:rsid w:val="009F0270"/>
    <w:rsid w:val="009F61FA"/>
    <w:rsid w:val="00A05796"/>
    <w:rsid w:val="00A13CB0"/>
    <w:rsid w:val="00A14FD8"/>
    <w:rsid w:val="00A22CA1"/>
    <w:rsid w:val="00A342C6"/>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26C4"/>
    <w:rsid w:val="00AE1DD2"/>
    <w:rsid w:val="00AE4106"/>
    <w:rsid w:val="00B12138"/>
    <w:rsid w:val="00B17749"/>
    <w:rsid w:val="00B17AE9"/>
    <w:rsid w:val="00B17C05"/>
    <w:rsid w:val="00B20334"/>
    <w:rsid w:val="00B20819"/>
    <w:rsid w:val="00B225B9"/>
    <w:rsid w:val="00B24AB1"/>
    <w:rsid w:val="00B36BD9"/>
    <w:rsid w:val="00B40A2C"/>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0FF4"/>
    <w:rsid w:val="00BB2B54"/>
    <w:rsid w:val="00BC3CA1"/>
    <w:rsid w:val="00BC49E5"/>
    <w:rsid w:val="00BC6DB1"/>
    <w:rsid w:val="00BD3194"/>
    <w:rsid w:val="00BD5FA8"/>
    <w:rsid w:val="00BE23E5"/>
    <w:rsid w:val="00BE31E6"/>
    <w:rsid w:val="00BE34D2"/>
    <w:rsid w:val="00BF757E"/>
    <w:rsid w:val="00BF7C0E"/>
    <w:rsid w:val="00BF7F5A"/>
    <w:rsid w:val="00C07EB0"/>
    <w:rsid w:val="00C17719"/>
    <w:rsid w:val="00C20730"/>
    <w:rsid w:val="00C2470A"/>
    <w:rsid w:val="00C26272"/>
    <w:rsid w:val="00C335D8"/>
    <w:rsid w:val="00C47616"/>
    <w:rsid w:val="00C50E12"/>
    <w:rsid w:val="00C54491"/>
    <w:rsid w:val="00C71B43"/>
    <w:rsid w:val="00C74D8F"/>
    <w:rsid w:val="00C751A9"/>
    <w:rsid w:val="00C766DD"/>
    <w:rsid w:val="00C76BDF"/>
    <w:rsid w:val="00C775CE"/>
    <w:rsid w:val="00C8030E"/>
    <w:rsid w:val="00C91697"/>
    <w:rsid w:val="00C9203A"/>
    <w:rsid w:val="00C92EAA"/>
    <w:rsid w:val="00CA148F"/>
    <w:rsid w:val="00CA29F9"/>
    <w:rsid w:val="00CA3144"/>
    <w:rsid w:val="00CA615E"/>
    <w:rsid w:val="00CB6B73"/>
    <w:rsid w:val="00CC218D"/>
    <w:rsid w:val="00CC6334"/>
    <w:rsid w:val="00CC677A"/>
    <w:rsid w:val="00CD008E"/>
    <w:rsid w:val="00CD39D2"/>
    <w:rsid w:val="00CD6EDC"/>
    <w:rsid w:val="00CE2D1F"/>
    <w:rsid w:val="00CF1561"/>
    <w:rsid w:val="00CF1A40"/>
    <w:rsid w:val="00CF36EF"/>
    <w:rsid w:val="00CF4AE2"/>
    <w:rsid w:val="00D1110F"/>
    <w:rsid w:val="00D15B10"/>
    <w:rsid w:val="00D23E20"/>
    <w:rsid w:val="00D30FA6"/>
    <w:rsid w:val="00D31AB6"/>
    <w:rsid w:val="00D31DE0"/>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6B5"/>
    <w:rsid w:val="00DB57B7"/>
    <w:rsid w:val="00DC33CF"/>
    <w:rsid w:val="00DC3415"/>
    <w:rsid w:val="00DD121C"/>
    <w:rsid w:val="00DD3DE6"/>
    <w:rsid w:val="00DE4534"/>
    <w:rsid w:val="00DE687E"/>
    <w:rsid w:val="00DF3D3A"/>
    <w:rsid w:val="00DF4228"/>
    <w:rsid w:val="00E06670"/>
    <w:rsid w:val="00E06A75"/>
    <w:rsid w:val="00E278FC"/>
    <w:rsid w:val="00E47752"/>
    <w:rsid w:val="00E53030"/>
    <w:rsid w:val="00E56652"/>
    <w:rsid w:val="00E62C9E"/>
    <w:rsid w:val="00E63369"/>
    <w:rsid w:val="00E63569"/>
    <w:rsid w:val="00E80756"/>
    <w:rsid w:val="00E815AB"/>
    <w:rsid w:val="00E81F96"/>
    <w:rsid w:val="00E8302B"/>
    <w:rsid w:val="00E83E34"/>
    <w:rsid w:val="00E847A3"/>
    <w:rsid w:val="00E84F8C"/>
    <w:rsid w:val="00E85360"/>
    <w:rsid w:val="00E85641"/>
    <w:rsid w:val="00E85DA4"/>
    <w:rsid w:val="00E86B42"/>
    <w:rsid w:val="00E909C9"/>
    <w:rsid w:val="00E95892"/>
    <w:rsid w:val="00E97354"/>
    <w:rsid w:val="00EA4A81"/>
    <w:rsid w:val="00EA5C44"/>
    <w:rsid w:val="00EA6408"/>
    <w:rsid w:val="00EC0483"/>
    <w:rsid w:val="00EC33A4"/>
    <w:rsid w:val="00EC5FE0"/>
    <w:rsid w:val="00ED0897"/>
    <w:rsid w:val="00ED73FF"/>
    <w:rsid w:val="00ED7F01"/>
    <w:rsid w:val="00EE0B09"/>
    <w:rsid w:val="00EE2FB8"/>
    <w:rsid w:val="00EE4612"/>
    <w:rsid w:val="00EE51DE"/>
    <w:rsid w:val="00EE609F"/>
    <w:rsid w:val="00EF2527"/>
    <w:rsid w:val="00EF5E01"/>
    <w:rsid w:val="00EF6223"/>
    <w:rsid w:val="00EF659E"/>
    <w:rsid w:val="00EF6EC0"/>
    <w:rsid w:val="00F02058"/>
    <w:rsid w:val="00F0343C"/>
    <w:rsid w:val="00F04CE5"/>
    <w:rsid w:val="00F1164B"/>
    <w:rsid w:val="00F11660"/>
    <w:rsid w:val="00F13514"/>
    <w:rsid w:val="00F1360F"/>
    <w:rsid w:val="00F16AA8"/>
    <w:rsid w:val="00F21791"/>
    <w:rsid w:val="00F3226A"/>
    <w:rsid w:val="00F33DB0"/>
    <w:rsid w:val="00F36222"/>
    <w:rsid w:val="00F45DB8"/>
    <w:rsid w:val="00F54D21"/>
    <w:rsid w:val="00F54D29"/>
    <w:rsid w:val="00F62BCD"/>
    <w:rsid w:val="00F74B77"/>
    <w:rsid w:val="00F764FE"/>
    <w:rsid w:val="00F80625"/>
    <w:rsid w:val="00F827B6"/>
    <w:rsid w:val="00F86265"/>
    <w:rsid w:val="00F92BE5"/>
    <w:rsid w:val="00F94449"/>
    <w:rsid w:val="00FA0574"/>
    <w:rsid w:val="00FB68D3"/>
    <w:rsid w:val="00FC4B75"/>
    <w:rsid w:val="00FE583E"/>
    <w:rsid w:val="00FE7554"/>
    <w:rsid w:val="00FF17FE"/>
    <w:rsid w:val="3F737E43"/>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uiPriority w:val="0"/>
    <w:rPr>
      <w:rFonts w:ascii="Calibri" w:hAnsi="Courier New"/>
      <w:szCs w:val="20"/>
      <w:lang w:val="zh-CN" w:eastAsia="zh-CN"/>
    </w:rPr>
  </w:style>
  <w:style w:type="paragraph" w:styleId="14">
    <w:name w:val="Balloon Text"/>
    <w:basedOn w:val="1"/>
    <w:link w:val="37"/>
    <w:qFormat/>
    <w:uiPriority w:val="0"/>
    <w:rPr>
      <w:sz w:val="18"/>
      <w:szCs w:val="18"/>
      <w:lang w:val="zh-CN" w:eastAsia="zh-CN"/>
    </w:rPr>
  </w:style>
  <w:style w:type="paragraph" w:styleId="15">
    <w:name w:val="footer"/>
    <w:basedOn w:val="1"/>
    <w:link w:val="38"/>
    <w:uiPriority w:val="0"/>
    <w:pPr>
      <w:tabs>
        <w:tab w:val="center" w:pos="4153"/>
        <w:tab w:val="right" w:pos="8306"/>
      </w:tabs>
      <w:snapToGrid w:val="0"/>
      <w:jc w:val="left"/>
    </w:pPr>
    <w:rPr>
      <w:sz w:val="18"/>
      <w:szCs w:val="18"/>
      <w:lang w:val="zh-CN" w:eastAsia="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iPriority w:val="0"/>
    <w:rPr>
      <w:color w:val="954F72" w:themeColor="followedHyperlink"/>
      <w:u w:val="single"/>
      <w14:textFill>
        <w14:solidFill>
          <w14:schemeClr w14:val="folHlink"/>
        </w14:solidFill>
      </w14:textFill>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uiPriority w:val="0"/>
    <w:rPr>
      <w:b/>
      <w:bCs/>
      <w:kern w:val="44"/>
      <w:sz w:val="44"/>
      <w:szCs w:val="44"/>
      <w:lang w:val="zh-CN" w:eastAsia="zh-CN"/>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qFormat/>
    <w:uiPriority w:val="0"/>
    <w:rPr>
      <w:b/>
      <w:bCs/>
      <w:kern w:val="2"/>
      <w:sz w:val="30"/>
      <w:szCs w:val="30"/>
    </w:rPr>
  </w:style>
  <w:style w:type="character" w:customStyle="1" w:styleId="28">
    <w:name w:val="标题 4 字符"/>
    <w:link w:val="5"/>
    <w:uiPriority w:val="0"/>
    <w:rPr>
      <w:rFonts w:ascii="宋体" w:hAnsi="宋体"/>
      <w:b/>
      <w:bCs/>
      <w:kern w:val="2"/>
      <w:sz w:val="28"/>
      <w:szCs w:val="28"/>
      <w:lang w:val="zh-CN" w:eastAsia="zh-CN"/>
    </w:rPr>
  </w:style>
  <w:style w:type="character" w:customStyle="1" w:styleId="29">
    <w:name w:val="标题 5 字符"/>
    <w:link w:val="6"/>
    <w:qFormat/>
    <w:uiPriority w:val="0"/>
    <w:rPr>
      <w:b/>
      <w:bCs/>
      <w:kern w:val="2"/>
      <w:sz w:val="28"/>
      <w:szCs w:val="28"/>
      <w:lang w:val="zh-CN" w:eastAsia="zh-CN"/>
    </w:rPr>
  </w:style>
  <w:style w:type="character" w:customStyle="1" w:styleId="30">
    <w:name w:val="标题 6 字符"/>
    <w:link w:val="7"/>
    <w:uiPriority w:val="0"/>
    <w:rPr>
      <w:rFonts w:ascii="等线 Light" w:hAnsi="等线 Light" w:eastAsia="等线 Light"/>
      <w:b/>
      <w:bCs/>
      <w:kern w:val="2"/>
      <w:sz w:val="24"/>
      <w:szCs w:val="24"/>
      <w:lang w:val="zh-CN" w:eastAsia="zh-CN"/>
    </w:rPr>
  </w:style>
  <w:style w:type="character" w:customStyle="1" w:styleId="31">
    <w:name w:val="标题 7 字符"/>
    <w:link w:val="8"/>
    <w:uiPriority w:val="0"/>
    <w:rPr>
      <w:b/>
      <w:bCs/>
      <w:kern w:val="2"/>
      <w:sz w:val="24"/>
      <w:szCs w:val="24"/>
      <w:lang w:val="zh-CN" w:eastAsia="zh-CN"/>
    </w:rPr>
  </w:style>
  <w:style w:type="character" w:customStyle="1" w:styleId="32">
    <w:name w:val="标题 8 字符"/>
    <w:link w:val="9"/>
    <w:qFormat/>
    <w:uiPriority w:val="0"/>
    <w:rPr>
      <w:rFonts w:ascii="等线 Light" w:hAnsi="等线 Light" w:eastAsia="等线 Light"/>
      <w:kern w:val="2"/>
      <w:sz w:val="24"/>
      <w:szCs w:val="24"/>
      <w:lang w:val="zh-CN" w:eastAsia="zh-CN"/>
    </w:rPr>
  </w:style>
  <w:style w:type="character" w:customStyle="1" w:styleId="33">
    <w:name w:val="标题 9 字符"/>
    <w:link w:val="10"/>
    <w:uiPriority w:val="0"/>
    <w:rPr>
      <w:rFonts w:ascii="等线 Light" w:hAnsi="等线 Light" w:eastAsia="等线 Light"/>
      <w:kern w:val="2"/>
      <w:sz w:val="21"/>
      <w:szCs w:val="21"/>
      <w:lang w:val="zh-CN" w:eastAsia="zh-CN"/>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uiPriority w:val="0"/>
    <w:rPr>
      <w:szCs w:val="24"/>
    </w:rPr>
  </w:style>
  <w:style w:type="character" w:customStyle="1" w:styleId="36">
    <w:name w:val="纯文本 字符"/>
    <w:link w:val="13"/>
    <w:uiPriority w:val="0"/>
    <w:rPr>
      <w:rFonts w:ascii="Calibri" w:hAnsi="Courier New"/>
      <w:kern w:val="2"/>
      <w:sz w:val="21"/>
    </w:rPr>
  </w:style>
  <w:style w:type="character" w:customStyle="1" w:styleId="37">
    <w:name w:val="批注框文本 字符"/>
    <w:link w:val="14"/>
    <w:uiPriority w:val="0"/>
    <w:rPr>
      <w:kern w:val="2"/>
      <w:sz w:val="18"/>
      <w:szCs w:val="18"/>
    </w:rPr>
  </w:style>
  <w:style w:type="character" w:customStyle="1" w:styleId="38">
    <w:name w:val="页脚 字符1"/>
    <w:link w:val="15"/>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2555</Words>
  <Characters>2959</Characters>
  <Lines>45</Lines>
  <Paragraphs>12</Paragraphs>
  <TotalTime>1338</TotalTime>
  <ScaleCrop>false</ScaleCrop>
  <LinksUpToDate>false</LinksUpToDate>
  <CharactersWithSpaces>2979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Ben</cp:lastModifiedBy>
  <dcterms:modified xsi:type="dcterms:W3CDTF">2025-08-30T02:18:52Z</dcterms:modified>
  <dc:title>1</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1E5340329672497282E129FE821D2B6E_13</vt:lpwstr>
  </property>
  <property fmtid="{D5CDD505-2E9C-101B-9397-08002B2CF9AE}" pid="4" name="KSOTemplateDocerSaveRecord">
    <vt:lpwstr>eyJoZGlkIjoiOWJhYWM1YzgwNzA5NGNiMzIzNDYyNWYyNDJmMmZkMTAiLCJ1c2VySWQiOiIyNjQwMTAyNjMifQ==</vt:lpwstr>
  </property>
</Properties>
</file>