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6ECA6">
      <w:pPr>
        <w:spacing w:line="360" w:lineRule="auto"/>
        <w:jc w:val="center"/>
        <w:rPr>
          <w:rFonts w:hint="default" w:ascii="宋体" w:hAnsi="宋体" w:eastAsia="宋体"/>
          <w:b/>
          <w:bCs/>
          <w:sz w:val="32"/>
          <w:szCs w:val="32"/>
          <w:lang w:val="en-US" w:eastAsia="zh-CN"/>
        </w:rPr>
      </w:pPr>
      <w:r>
        <w:rPr>
          <w:rFonts w:hint="eastAsia" w:ascii="宋体" w:hAnsi="宋体"/>
          <w:b/>
          <w:bCs/>
          <w:sz w:val="32"/>
          <w:szCs w:val="32"/>
        </w:rPr>
        <w:t>广东省人民医院外网准入系统建设项目（2025年）</w:t>
      </w:r>
      <w:r>
        <w:rPr>
          <w:rFonts w:hint="eastAsia" w:ascii="宋体" w:hAnsi="宋体"/>
          <w:b/>
          <w:bCs/>
          <w:sz w:val="32"/>
          <w:szCs w:val="32"/>
          <w:lang w:val="en-US" w:eastAsia="zh-CN"/>
        </w:rPr>
        <w:t>需求</w:t>
      </w:r>
    </w:p>
    <w:p w14:paraId="0EB1A043">
      <w:pPr>
        <w:pStyle w:val="2"/>
      </w:pPr>
      <w:r>
        <w:rPr>
          <w:rFonts w:hint="eastAsia"/>
        </w:rPr>
        <w:t>项目概述</w:t>
      </w:r>
    </w:p>
    <w:p w14:paraId="513235C5">
      <w:pPr>
        <w:pStyle w:val="3"/>
        <w:rPr>
          <w:rFonts w:hint="eastAsia"/>
        </w:rPr>
      </w:pPr>
      <w:r>
        <w:rPr>
          <w:rFonts w:hint="eastAsia"/>
        </w:rPr>
        <w:t>项目背景</w:t>
      </w:r>
    </w:p>
    <w:p w14:paraId="5FE12D76">
      <w:pPr>
        <w:pStyle w:val="11"/>
        <w:spacing w:before="156"/>
        <w:rPr>
          <w:rFonts w:hint="eastAsia"/>
        </w:rPr>
      </w:pPr>
      <w:r>
        <w:rPr>
          <w:rFonts w:hint="eastAsia"/>
        </w:rPr>
        <w:t>广东省人民医院外网需要完善网络准入控制措施，</w:t>
      </w:r>
      <w:r>
        <w:rPr>
          <w:rFonts w:hint="eastAsia"/>
          <w:lang w:val="en-US" w:eastAsia="zh-CN"/>
        </w:rPr>
        <w:t>同步</w:t>
      </w:r>
      <w:r>
        <w:rPr>
          <w:rFonts w:hint="eastAsia"/>
        </w:rPr>
        <w:t>建设一套</w:t>
      </w:r>
      <w:r>
        <w:rPr>
          <w:rFonts w:hint="eastAsia"/>
          <w:lang w:val="en-US" w:eastAsia="zh-CN"/>
        </w:rPr>
        <w:t>网络地址管理</w:t>
      </w:r>
      <w:r>
        <w:rPr>
          <w:rFonts w:hint="eastAsia"/>
        </w:rPr>
        <w:t>系统</w:t>
      </w:r>
      <w:r>
        <w:rPr>
          <w:rFonts w:hint="eastAsia"/>
          <w:lang w:eastAsia="zh-CN"/>
        </w:rPr>
        <w:t>，</w:t>
      </w:r>
      <w:r>
        <w:rPr>
          <w:rFonts w:hint="eastAsia"/>
        </w:rPr>
        <w:t>形成全网统一终端入网安全管控。</w:t>
      </w:r>
    </w:p>
    <w:p w14:paraId="6689CBB0">
      <w:pPr>
        <w:pStyle w:val="3"/>
        <w:rPr>
          <w:rFonts w:hint="eastAsia"/>
        </w:rPr>
      </w:pPr>
      <w:r>
        <w:rPr>
          <w:rFonts w:hint="eastAsia"/>
        </w:rPr>
        <w:t>建设目标</w:t>
      </w:r>
    </w:p>
    <w:p w14:paraId="143E38B4">
      <w:pPr>
        <w:pStyle w:val="11"/>
        <w:numPr>
          <w:ilvl w:val="0"/>
          <w:numId w:val="3"/>
        </w:numPr>
        <w:spacing w:before="156"/>
        <w:ind w:firstLine="420" w:firstLineChars="0"/>
        <w:rPr>
          <w:rFonts w:hint="eastAsia"/>
          <w:lang w:val="en-US" w:eastAsia="zh-CN"/>
        </w:rPr>
      </w:pPr>
      <w:r>
        <w:rPr>
          <w:rFonts w:hint="eastAsia"/>
          <w:lang w:val="en-US" w:eastAsia="zh-CN"/>
        </w:rPr>
        <w:t>满足等保合规准入要求</w:t>
      </w:r>
    </w:p>
    <w:p w14:paraId="32BCB72A">
      <w:pPr>
        <w:pStyle w:val="11"/>
        <w:spacing w:before="156"/>
        <w:ind w:left="420" w:firstLine="420" w:firstLineChars="0"/>
        <w:rPr>
          <w:lang w:val="en-US" w:eastAsia="zh-CN"/>
        </w:rPr>
      </w:pPr>
      <w:r>
        <w:rPr>
          <w:rFonts w:hint="eastAsia"/>
          <w:lang w:val="en-US" w:eastAsia="zh-CN"/>
        </w:rPr>
        <w:t>满足《</w:t>
      </w:r>
      <w:r>
        <w:rPr>
          <w:lang w:val="en-US" w:eastAsia="zh-CN"/>
        </w:rPr>
        <w:t>信息安全</w:t>
      </w:r>
      <w:r>
        <w:rPr>
          <w:rFonts w:hint="eastAsia"/>
          <w:lang w:val="en-US" w:eastAsia="zh-CN"/>
        </w:rPr>
        <w:t xml:space="preserve"> </w:t>
      </w:r>
      <w:r>
        <w:rPr>
          <w:lang w:val="en-US" w:eastAsia="zh-CN"/>
        </w:rPr>
        <w:t>网络安全等级保护</w:t>
      </w:r>
      <w:r>
        <w:rPr>
          <w:rFonts w:hint="eastAsia"/>
          <w:lang w:val="en-US" w:eastAsia="zh-CN"/>
        </w:rPr>
        <w:t>》</w:t>
      </w:r>
      <w:r>
        <w:rPr>
          <w:lang w:val="en-US" w:eastAsia="zh-CN"/>
        </w:rPr>
        <w:t>GB/T22239-2019</w:t>
      </w:r>
      <w:r>
        <w:rPr>
          <w:rFonts w:hint="eastAsia"/>
          <w:lang w:val="en-US" w:eastAsia="zh-CN"/>
        </w:rPr>
        <w:t>的</w:t>
      </w:r>
      <w:r>
        <w:rPr>
          <w:lang w:val="en-US" w:eastAsia="zh-CN"/>
        </w:rPr>
        <w:t>网络准入基本要求</w:t>
      </w:r>
      <w:r>
        <w:rPr>
          <w:rFonts w:hint="eastAsia"/>
          <w:lang w:val="en-US" w:eastAsia="zh-CN"/>
        </w:rPr>
        <w:t>，为医院提供全面的终端安全防护。支持无插件、无客户端的安全接入机制，对非授权设备私自联到内部网络的行为进行检查或限制，确保终端设备在经过医院授权后安全接入网络，有效防止非法和伪冒接入；同时提供网络策略的集中化管控，确保策略的灵活性和适应性。</w:t>
      </w:r>
    </w:p>
    <w:p w14:paraId="131CBB63">
      <w:pPr>
        <w:pStyle w:val="11"/>
        <w:numPr>
          <w:ilvl w:val="0"/>
          <w:numId w:val="3"/>
        </w:numPr>
        <w:spacing w:before="156"/>
        <w:ind w:firstLine="420" w:firstLineChars="0"/>
        <w:rPr>
          <w:lang w:val="en-US" w:eastAsia="zh-CN"/>
        </w:rPr>
      </w:pPr>
      <w:r>
        <w:rPr>
          <w:rFonts w:hint="eastAsia"/>
          <w:lang w:val="en-US" w:eastAsia="zh-CN"/>
        </w:rPr>
        <w:t>实现外网终端安全管控</w:t>
      </w:r>
    </w:p>
    <w:p w14:paraId="4366C762">
      <w:pPr>
        <w:pStyle w:val="11"/>
        <w:spacing w:before="156"/>
        <w:ind w:left="420" w:firstLine="420" w:firstLineChars="0"/>
        <w:rPr>
          <w:lang w:val="en-US" w:eastAsia="zh-CN"/>
        </w:rPr>
      </w:pPr>
      <w:r>
        <w:rPr>
          <w:lang w:val="en-US" w:eastAsia="zh-CN"/>
        </w:rPr>
        <w:t>在医院外网新建一套网络准入系统，实现全院外网</w:t>
      </w:r>
      <w:r>
        <w:rPr>
          <w:rFonts w:hint="eastAsia"/>
          <w:lang w:val="en-US" w:eastAsia="zh-CN"/>
        </w:rPr>
        <w:t>（含院外办公地点）</w:t>
      </w:r>
      <w:r>
        <w:rPr>
          <w:lang w:val="en-US" w:eastAsia="zh-CN"/>
        </w:rPr>
        <w:t>的网络准入控制，实现网络准入终端系统安全检查，确保入网终端满足医院安全规定。</w:t>
      </w:r>
    </w:p>
    <w:p w14:paraId="61C60E94">
      <w:pPr>
        <w:pStyle w:val="11"/>
        <w:numPr>
          <w:ilvl w:val="0"/>
          <w:numId w:val="3"/>
        </w:numPr>
        <w:spacing w:before="156"/>
        <w:ind w:firstLine="420" w:firstLineChars="0"/>
        <w:rPr>
          <w:lang w:val="en-US" w:eastAsia="zh-CN"/>
        </w:rPr>
      </w:pPr>
      <w:r>
        <w:rPr>
          <w:rFonts w:hint="eastAsia"/>
          <w:lang w:val="en-US" w:eastAsia="zh-CN"/>
        </w:rPr>
        <w:t>提升终端安全入网效率</w:t>
      </w:r>
    </w:p>
    <w:p w14:paraId="66456C00">
      <w:pPr>
        <w:pStyle w:val="11"/>
        <w:spacing w:before="156"/>
        <w:ind w:left="420" w:firstLine="420" w:firstLineChars="0"/>
        <w:rPr>
          <w:lang w:val="en-US" w:eastAsia="zh-CN"/>
        </w:rPr>
      </w:pPr>
      <w:r>
        <w:rPr>
          <w:lang w:val="en-US" w:eastAsia="zh-CN"/>
        </w:rPr>
        <w:t>在医院外网新建一套动态地址管理系统，实现外网IP地址统一管理、网络地址动态分配、地址资源使用审计等，提升终端入网效率，提升用户网络使用体验。</w:t>
      </w:r>
    </w:p>
    <w:p w14:paraId="4D2C3C81">
      <w:pPr>
        <w:pStyle w:val="2"/>
        <w:rPr>
          <w:rFonts w:hint="eastAsia"/>
        </w:rPr>
      </w:pPr>
      <w:r>
        <w:rPr>
          <w:rFonts w:hint="eastAsia"/>
        </w:rPr>
        <w:t>项目采购清单</w:t>
      </w:r>
    </w:p>
    <w:tbl>
      <w:tblPr>
        <w:tblStyle w:val="20"/>
        <w:tblW w:w="76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5"/>
        <w:gridCol w:w="1413"/>
        <w:gridCol w:w="3414"/>
        <w:gridCol w:w="992"/>
        <w:gridCol w:w="1134"/>
      </w:tblGrid>
      <w:tr w14:paraId="082FB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dxa"/>
            <w:noWrap w:val="0"/>
            <w:vAlign w:val="top"/>
          </w:tcPr>
          <w:p w14:paraId="39C92681">
            <w:pPr>
              <w:rPr>
                <w:rFonts w:hint="eastAsia" w:ascii="微软雅黑" w:hAnsi="微软雅黑" w:eastAsia="微软雅黑"/>
                <w:sz w:val="20"/>
                <w:szCs w:val="20"/>
              </w:rPr>
            </w:pPr>
            <w:bookmarkStart w:id="0" w:name="_Hlk172904460"/>
            <w:r>
              <w:rPr>
                <w:rFonts w:hint="eastAsia" w:ascii="微软雅黑" w:hAnsi="微软雅黑" w:eastAsia="微软雅黑"/>
                <w:sz w:val="20"/>
                <w:szCs w:val="20"/>
              </w:rPr>
              <w:t>序号</w:t>
            </w:r>
          </w:p>
        </w:tc>
        <w:tc>
          <w:tcPr>
            <w:tcW w:w="1413" w:type="dxa"/>
            <w:noWrap w:val="0"/>
            <w:vAlign w:val="top"/>
          </w:tcPr>
          <w:p w14:paraId="4343FBA8">
            <w:pPr>
              <w:jc w:val="center"/>
              <w:rPr>
                <w:rFonts w:hint="default" w:ascii="微软雅黑" w:hAnsi="微软雅黑" w:eastAsia="微软雅黑"/>
                <w:sz w:val="20"/>
                <w:szCs w:val="20"/>
                <w:lang w:val="en-US" w:eastAsia="zh-CN"/>
              </w:rPr>
            </w:pPr>
            <w:r>
              <w:rPr>
                <w:rFonts w:hint="eastAsia" w:ascii="微软雅黑" w:hAnsi="微软雅黑" w:eastAsia="微软雅黑"/>
                <w:sz w:val="20"/>
                <w:szCs w:val="20"/>
                <w:lang w:val="en-US" w:eastAsia="zh-CN"/>
              </w:rPr>
              <w:t>产品</w:t>
            </w:r>
          </w:p>
        </w:tc>
        <w:tc>
          <w:tcPr>
            <w:tcW w:w="3414" w:type="dxa"/>
            <w:noWrap w:val="0"/>
            <w:vAlign w:val="top"/>
          </w:tcPr>
          <w:p w14:paraId="3BFE40ED">
            <w:pPr>
              <w:jc w:val="center"/>
              <w:rPr>
                <w:rFonts w:hint="eastAsia" w:ascii="微软雅黑" w:hAnsi="微软雅黑" w:eastAsia="微软雅黑"/>
                <w:sz w:val="20"/>
                <w:szCs w:val="20"/>
              </w:rPr>
            </w:pPr>
            <w:r>
              <w:rPr>
                <w:rFonts w:hint="eastAsia" w:ascii="微软雅黑" w:hAnsi="微软雅黑" w:eastAsia="微软雅黑"/>
                <w:sz w:val="20"/>
                <w:szCs w:val="20"/>
              </w:rPr>
              <w:t>技术参数要求</w:t>
            </w:r>
          </w:p>
        </w:tc>
        <w:tc>
          <w:tcPr>
            <w:tcW w:w="992" w:type="dxa"/>
            <w:noWrap w:val="0"/>
            <w:vAlign w:val="top"/>
          </w:tcPr>
          <w:p w14:paraId="3940791E">
            <w:pPr>
              <w:jc w:val="center"/>
              <w:rPr>
                <w:rFonts w:hint="eastAsia" w:ascii="微软雅黑" w:hAnsi="微软雅黑" w:eastAsia="微软雅黑"/>
                <w:sz w:val="20"/>
                <w:szCs w:val="20"/>
              </w:rPr>
            </w:pPr>
            <w:r>
              <w:rPr>
                <w:rFonts w:hint="eastAsia" w:ascii="微软雅黑" w:hAnsi="微软雅黑" w:eastAsia="微软雅黑"/>
                <w:sz w:val="20"/>
                <w:szCs w:val="20"/>
              </w:rPr>
              <w:t>单位</w:t>
            </w:r>
          </w:p>
        </w:tc>
        <w:tc>
          <w:tcPr>
            <w:tcW w:w="1134" w:type="dxa"/>
            <w:noWrap w:val="0"/>
            <w:vAlign w:val="top"/>
          </w:tcPr>
          <w:p w14:paraId="3DBDC711">
            <w:pPr>
              <w:jc w:val="center"/>
              <w:rPr>
                <w:rFonts w:hint="eastAsia" w:ascii="微软雅黑" w:hAnsi="微软雅黑" w:eastAsia="微软雅黑"/>
                <w:sz w:val="20"/>
                <w:szCs w:val="20"/>
              </w:rPr>
            </w:pPr>
            <w:r>
              <w:rPr>
                <w:rFonts w:hint="eastAsia" w:ascii="微软雅黑" w:hAnsi="微软雅黑" w:eastAsia="微软雅黑"/>
                <w:sz w:val="20"/>
                <w:szCs w:val="20"/>
              </w:rPr>
              <w:t>数量</w:t>
            </w:r>
          </w:p>
        </w:tc>
      </w:tr>
      <w:tr w14:paraId="4C985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35" w:type="dxa"/>
            <w:noWrap w:val="0"/>
            <w:vAlign w:val="center"/>
          </w:tcPr>
          <w:p w14:paraId="0D58ED21">
            <w:pPr>
              <w:jc w:val="center"/>
              <w:rPr>
                <w:rFonts w:hint="eastAsia" w:ascii="微软雅黑" w:hAnsi="微软雅黑" w:eastAsia="微软雅黑"/>
                <w:sz w:val="20"/>
                <w:szCs w:val="20"/>
              </w:rPr>
            </w:pPr>
            <w:r>
              <w:rPr>
                <w:rFonts w:hint="eastAsia" w:ascii="微软雅黑" w:hAnsi="微软雅黑" w:eastAsia="微软雅黑"/>
                <w:sz w:val="20"/>
                <w:szCs w:val="20"/>
              </w:rPr>
              <w:t>1</w:t>
            </w:r>
          </w:p>
        </w:tc>
        <w:tc>
          <w:tcPr>
            <w:tcW w:w="1413" w:type="dxa"/>
            <w:noWrap w:val="0"/>
            <w:vAlign w:val="center"/>
          </w:tcPr>
          <w:p w14:paraId="7C9D7471">
            <w:pPr>
              <w:widowControl/>
              <w:spacing w:line="360" w:lineRule="auto"/>
              <w:jc w:val="center"/>
              <w:rPr>
                <w:rFonts w:hint="eastAsia" w:ascii="宋体" w:hAnsi="宋体" w:eastAsia="宋体"/>
                <w:szCs w:val="21"/>
                <w:lang w:val="en-US" w:eastAsia="zh-CN"/>
              </w:rPr>
            </w:pPr>
            <w:r>
              <w:rPr>
                <w:rFonts w:hint="eastAsia" w:ascii="宋体" w:hAnsi="宋体"/>
                <w:szCs w:val="21"/>
              </w:rPr>
              <w:t>网络准入管理</w:t>
            </w:r>
            <w:r>
              <w:rPr>
                <w:rFonts w:hint="eastAsia" w:ascii="宋体" w:hAnsi="宋体"/>
                <w:szCs w:val="21"/>
                <w:lang w:val="en-US" w:eastAsia="zh-CN"/>
              </w:rPr>
              <w:t>系统</w:t>
            </w:r>
          </w:p>
        </w:tc>
        <w:tc>
          <w:tcPr>
            <w:tcW w:w="3414" w:type="dxa"/>
            <w:noWrap w:val="0"/>
            <w:vAlign w:val="center"/>
          </w:tcPr>
          <w:p w14:paraId="41361747">
            <w:pPr>
              <w:widowControl/>
              <w:spacing w:line="360" w:lineRule="auto"/>
              <w:jc w:val="center"/>
              <w:rPr>
                <w:rFonts w:hint="eastAsia" w:ascii="宋体" w:hAnsi="宋体"/>
                <w:szCs w:val="21"/>
              </w:rPr>
            </w:pPr>
            <w:r>
              <w:rPr>
                <w:rFonts w:hint="eastAsia" w:ascii="宋体" w:hAnsi="宋体"/>
                <w:szCs w:val="21"/>
              </w:rPr>
              <w:t>详见</w:t>
            </w:r>
            <w:r>
              <w:rPr>
                <w:rFonts w:hint="eastAsia" w:ascii="宋体" w:hAnsi="宋体"/>
                <w:szCs w:val="21"/>
                <w:lang w:val="en-US" w:eastAsia="zh-CN"/>
              </w:rPr>
              <w:t>3</w:t>
            </w:r>
            <w:r>
              <w:rPr>
                <w:rFonts w:ascii="宋体" w:hAnsi="宋体"/>
                <w:szCs w:val="21"/>
              </w:rPr>
              <w:t>.1</w:t>
            </w:r>
            <w:r>
              <w:rPr>
                <w:rFonts w:hint="eastAsia" w:ascii="宋体" w:hAnsi="宋体"/>
                <w:szCs w:val="21"/>
              </w:rPr>
              <w:t>网络准入</w:t>
            </w:r>
            <w:r>
              <w:rPr>
                <w:rFonts w:hint="eastAsia" w:ascii="宋体" w:hAnsi="宋体"/>
                <w:szCs w:val="21"/>
                <w:lang w:val="en-US" w:eastAsia="zh-CN"/>
              </w:rPr>
              <w:t>管理</w:t>
            </w:r>
            <w:r>
              <w:rPr>
                <w:rFonts w:hint="eastAsia" w:ascii="宋体" w:hAnsi="宋体"/>
                <w:szCs w:val="21"/>
              </w:rPr>
              <w:t>系统</w:t>
            </w:r>
          </w:p>
        </w:tc>
        <w:tc>
          <w:tcPr>
            <w:tcW w:w="992" w:type="dxa"/>
            <w:noWrap w:val="0"/>
            <w:vAlign w:val="center"/>
          </w:tcPr>
          <w:p w14:paraId="30A79970">
            <w:pPr>
              <w:widowControl/>
              <w:spacing w:line="360" w:lineRule="auto"/>
              <w:jc w:val="center"/>
              <w:rPr>
                <w:rFonts w:hint="eastAsia" w:ascii="宋体" w:hAnsi="宋体" w:eastAsia="宋体"/>
                <w:szCs w:val="21"/>
                <w:lang w:val="en-US" w:eastAsia="zh-CN"/>
              </w:rPr>
            </w:pPr>
            <w:r>
              <w:rPr>
                <w:rFonts w:hint="eastAsia" w:ascii="宋体" w:hAnsi="宋体"/>
                <w:szCs w:val="21"/>
                <w:lang w:val="en-US" w:eastAsia="zh-CN"/>
              </w:rPr>
              <w:t>1</w:t>
            </w:r>
          </w:p>
        </w:tc>
        <w:tc>
          <w:tcPr>
            <w:tcW w:w="1134" w:type="dxa"/>
            <w:noWrap w:val="0"/>
            <w:vAlign w:val="center"/>
          </w:tcPr>
          <w:p w14:paraId="32068741">
            <w:pPr>
              <w:widowControl/>
              <w:spacing w:line="360" w:lineRule="auto"/>
              <w:jc w:val="center"/>
              <w:rPr>
                <w:rFonts w:hint="eastAsia" w:ascii="宋体" w:hAnsi="宋体"/>
                <w:szCs w:val="21"/>
              </w:rPr>
            </w:pPr>
            <w:r>
              <w:rPr>
                <w:rFonts w:hint="eastAsia" w:ascii="宋体" w:hAnsi="宋体"/>
                <w:szCs w:val="21"/>
              </w:rPr>
              <w:t>套</w:t>
            </w:r>
          </w:p>
        </w:tc>
      </w:tr>
      <w:tr w14:paraId="2239B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35" w:type="dxa"/>
            <w:noWrap w:val="0"/>
            <w:vAlign w:val="center"/>
          </w:tcPr>
          <w:p w14:paraId="7215AB40">
            <w:pPr>
              <w:jc w:val="center"/>
              <w:rPr>
                <w:rFonts w:hint="eastAsia" w:ascii="微软雅黑" w:hAnsi="微软雅黑" w:eastAsia="微软雅黑"/>
                <w:sz w:val="20"/>
                <w:szCs w:val="20"/>
              </w:rPr>
            </w:pPr>
            <w:r>
              <w:rPr>
                <w:rFonts w:hint="eastAsia" w:ascii="微软雅黑" w:hAnsi="微软雅黑" w:eastAsia="微软雅黑"/>
                <w:sz w:val="20"/>
                <w:szCs w:val="20"/>
              </w:rPr>
              <w:t>2</w:t>
            </w:r>
          </w:p>
        </w:tc>
        <w:tc>
          <w:tcPr>
            <w:tcW w:w="1413" w:type="dxa"/>
            <w:noWrap w:val="0"/>
            <w:vAlign w:val="center"/>
          </w:tcPr>
          <w:p w14:paraId="77A7CE6A">
            <w:pPr>
              <w:widowControl/>
              <w:spacing w:line="360" w:lineRule="auto"/>
              <w:jc w:val="center"/>
              <w:rPr>
                <w:rFonts w:hint="default" w:ascii="宋体" w:hAnsi="宋体"/>
                <w:szCs w:val="21"/>
                <w:lang w:val="en-US"/>
              </w:rPr>
            </w:pPr>
            <w:r>
              <w:rPr>
                <w:rFonts w:hint="eastAsia"/>
              </w:rPr>
              <w:t>动态地址及域名管理管理</w:t>
            </w:r>
            <w:r>
              <w:rPr>
                <w:rFonts w:hint="eastAsia"/>
                <w:lang w:val="en-US" w:eastAsia="zh-CN"/>
              </w:rPr>
              <w:t>设备</w:t>
            </w:r>
          </w:p>
        </w:tc>
        <w:tc>
          <w:tcPr>
            <w:tcW w:w="3414" w:type="dxa"/>
            <w:noWrap w:val="0"/>
            <w:vAlign w:val="center"/>
          </w:tcPr>
          <w:p w14:paraId="16C6A5EE">
            <w:pPr>
              <w:widowControl/>
              <w:spacing w:line="360" w:lineRule="auto"/>
              <w:jc w:val="center"/>
              <w:rPr>
                <w:rFonts w:hint="default" w:ascii="宋体" w:hAnsi="宋体" w:eastAsia="宋体"/>
                <w:szCs w:val="21"/>
                <w:lang w:val="en-US" w:eastAsia="zh-CN"/>
              </w:rPr>
            </w:pPr>
            <w:r>
              <w:rPr>
                <w:rFonts w:hint="eastAsia" w:ascii="宋体" w:hAnsi="宋体"/>
                <w:szCs w:val="21"/>
              </w:rPr>
              <w:t>详见</w:t>
            </w:r>
            <w:r>
              <w:rPr>
                <w:rFonts w:hint="eastAsia" w:ascii="宋体" w:hAnsi="宋体"/>
                <w:szCs w:val="21"/>
                <w:lang w:val="en-US" w:eastAsia="zh-CN"/>
              </w:rPr>
              <w:t>3</w:t>
            </w:r>
            <w:r>
              <w:rPr>
                <w:rFonts w:hint="eastAsia" w:ascii="宋体" w:hAnsi="宋体"/>
                <w:szCs w:val="21"/>
              </w:rPr>
              <w:t>.2</w:t>
            </w:r>
            <w:r>
              <w:rPr>
                <w:rFonts w:hint="eastAsia"/>
              </w:rPr>
              <w:t>动态地址及域名管理管理</w:t>
            </w:r>
            <w:r>
              <w:rPr>
                <w:rFonts w:hint="eastAsia"/>
                <w:lang w:val="en-US" w:eastAsia="zh-CN"/>
              </w:rPr>
              <w:t>设备</w:t>
            </w:r>
          </w:p>
        </w:tc>
        <w:tc>
          <w:tcPr>
            <w:tcW w:w="992" w:type="dxa"/>
            <w:noWrap w:val="0"/>
            <w:vAlign w:val="center"/>
          </w:tcPr>
          <w:p w14:paraId="2DCB84FE">
            <w:pPr>
              <w:widowControl/>
              <w:spacing w:line="360" w:lineRule="auto"/>
              <w:jc w:val="center"/>
              <w:rPr>
                <w:rFonts w:hint="eastAsia" w:ascii="宋体" w:hAnsi="宋体"/>
                <w:szCs w:val="21"/>
              </w:rPr>
            </w:pPr>
            <w:r>
              <w:rPr>
                <w:rFonts w:hint="eastAsia" w:ascii="宋体" w:hAnsi="宋体"/>
                <w:szCs w:val="21"/>
              </w:rPr>
              <w:t>1</w:t>
            </w:r>
          </w:p>
        </w:tc>
        <w:tc>
          <w:tcPr>
            <w:tcW w:w="1134" w:type="dxa"/>
            <w:noWrap w:val="0"/>
            <w:vAlign w:val="center"/>
          </w:tcPr>
          <w:p w14:paraId="01C6F49F">
            <w:pPr>
              <w:widowControl/>
              <w:spacing w:line="360" w:lineRule="auto"/>
              <w:jc w:val="center"/>
              <w:rPr>
                <w:rFonts w:hint="eastAsia" w:ascii="宋体" w:hAnsi="宋体" w:eastAsia="宋体"/>
                <w:szCs w:val="21"/>
                <w:lang w:val="en-US" w:eastAsia="zh-CN"/>
              </w:rPr>
            </w:pPr>
            <w:r>
              <w:rPr>
                <w:rFonts w:hint="eastAsia" w:ascii="宋体" w:hAnsi="宋体"/>
                <w:szCs w:val="21"/>
                <w:lang w:val="en-US" w:eastAsia="zh-CN"/>
              </w:rPr>
              <w:t>套</w:t>
            </w:r>
          </w:p>
        </w:tc>
      </w:tr>
      <w:bookmarkEnd w:id="0"/>
    </w:tbl>
    <w:p w14:paraId="7F34B7CE">
      <w:pPr>
        <w:pStyle w:val="53"/>
        <w:rPr>
          <w:rFonts w:ascii="宋体" w:hAnsi="宋体" w:eastAsia="宋体"/>
          <w:b/>
          <w:color w:val="auto"/>
          <w:szCs w:val="32"/>
        </w:rPr>
      </w:pPr>
    </w:p>
    <w:p w14:paraId="076AA882">
      <w:pPr>
        <w:pStyle w:val="53"/>
        <w:rPr>
          <w:rFonts w:ascii="宋体" w:hAnsi="宋体" w:eastAsia="宋体"/>
          <w:b/>
          <w:color w:val="auto"/>
          <w:szCs w:val="32"/>
        </w:rPr>
      </w:pPr>
    </w:p>
    <w:p w14:paraId="4A26CA45">
      <w:pPr>
        <w:pStyle w:val="2"/>
      </w:pPr>
      <w:r>
        <w:rPr>
          <w:rFonts w:hint="eastAsia"/>
        </w:rPr>
        <w:t>详细参数要求</w:t>
      </w:r>
    </w:p>
    <w:p w14:paraId="1B2A68C0">
      <w:pPr>
        <w:pStyle w:val="3"/>
        <w:rPr>
          <w:rFonts w:hint="eastAsia"/>
        </w:rPr>
      </w:pPr>
      <w:r>
        <w:rPr>
          <w:rFonts w:hint="eastAsia"/>
        </w:rPr>
        <w:t>外网网络准入管理</w:t>
      </w:r>
      <w:r>
        <w:rPr>
          <w:rFonts w:hint="eastAsia" w:ascii="宋体" w:hAnsi="宋体"/>
          <w:szCs w:val="21"/>
        </w:rPr>
        <w:t>系统</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715"/>
        <w:gridCol w:w="6810"/>
      </w:tblGrid>
      <w:tr w14:paraId="632B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71FDFE1E">
            <w:pPr>
              <w:widowControl/>
              <w:spacing w:line="360" w:lineRule="auto"/>
              <w:jc w:val="center"/>
              <w:rPr>
                <w:rFonts w:hint="eastAsia" w:ascii="宋体" w:hAnsi="宋体" w:cs="宋体"/>
                <w:b/>
                <w:bCs/>
                <w:szCs w:val="21"/>
              </w:rPr>
            </w:pPr>
            <w:r>
              <w:rPr>
                <w:rFonts w:hint="eastAsia" w:ascii="宋体" w:hAnsi="宋体" w:cs="宋体"/>
                <w:b/>
                <w:bCs/>
                <w:szCs w:val="21"/>
              </w:rPr>
              <w:t>序号</w:t>
            </w:r>
          </w:p>
        </w:tc>
        <w:tc>
          <w:tcPr>
            <w:tcW w:w="924" w:type="pct"/>
            <w:noWrap w:val="0"/>
            <w:vAlign w:val="center"/>
          </w:tcPr>
          <w:p w14:paraId="593F2151">
            <w:pPr>
              <w:widowControl/>
              <w:spacing w:line="360" w:lineRule="auto"/>
              <w:jc w:val="center"/>
              <w:rPr>
                <w:rFonts w:hint="eastAsia" w:ascii="宋体" w:hAnsi="宋体" w:cs="宋体"/>
                <w:b/>
                <w:bCs/>
                <w:szCs w:val="21"/>
              </w:rPr>
            </w:pPr>
            <w:r>
              <w:rPr>
                <w:rFonts w:hint="eastAsia" w:ascii="宋体" w:hAnsi="宋体" w:cs="宋体"/>
                <w:b/>
                <w:bCs/>
                <w:szCs w:val="21"/>
              </w:rPr>
              <w:t>功能、性能指标</w:t>
            </w:r>
          </w:p>
        </w:tc>
        <w:tc>
          <w:tcPr>
            <w:tcW w:w="3669" w:type="pct"/>
            <w:noWrap w:val="0"/>
            <w:vAlign w:val="center"/>
          </w:tcPr>
          <w:p w14:paraId="6F7BE672">
            <w:pPr>
              <w:widowControl/>
              <w:spacing w:line="360" w:lineRule="auto"/>
              <w:jc w:val="center"/>
              <w:rPr>
                <w:rFonts w:ascii="宋体" w:hAnsi="宋体" w:cs="宋体"/>
                <w:b/>
                <w:bCs/>
                <w:szCs w:val="21"/>
              </w:rPr>
            </w:pPr>
            <w:r>
              <w:rPr>
                <w:rFonts w:hint="eastAsia" w:ascii="宋体" w:hAnsi="宋体" w:cs="宋体"/>
                <w:b/>
                <w:bCs/>
                <w:szCs w:val="21"/>
              </w:rPr>
              <w:t>技术指标要求</w:t>
            </w:r>
          </w:p>
        </w:tc>
      </w:tr>
      <w:tr w14:paraId="1EF03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6248185D">
            <w:pPr>
              <w:widowControl/>
              <w:numPr>
                <w:ilvl w:val="0"/>
                <w:numId w:val="4"/>
              </w:numPr>
              <w:tabs>
                <w:tab w:val="clear" w:pos="0"/>
              </w:tabs>
              <w:spacing w:line="360" w:lineRule="auto"/>
              <w:jc w:val="center"/>
              <w:rPr>
                <w:rFonts w:hint="eastAsia" w:ascii="宋体" w:hAnsi="宋体"/>
                <w:bCs/>
                <w:szCs w:val="21"/>
              </w:rPr>
            </w:pPr>
          </w:p>
        </w:tc>
        <w:tc>
          <w:tcPr>
            <w:tcW w:w="924" w:type="pct"/>
            <w:shd w:val="clear" w:color="auto" w:fill="FFFFFF"/>
            <w:noWrap w:val="0"/>
            <w:vAlign w:val="center"/>
          </w:tcPr>
          <w:p w14:paraId="4A852E00">
            <w:pPr>
              <w:widowControl/>
              <w:spacing w:line="360" w:lineRule="auto"/>
              <w:jc w:val="center"/>
              <w:rPr>
                <w:rFonts w:ascii="宋体" w:hAnsi="宋体"/>
                <w:bCs/>
                <w:szCs w:val="21"/>
              </w:rPr>
            </w:pPr>
            <w:r>
              <w:rPr>
                <w:rFonts w:hint="eastAsia" w:ascii="宋体" w:hAnsi="宋体"/>
                <w:bCs/>
                <w:szCs w:val="21"/>
                <w:lang w:val="zh-CN"/>
              </w:rPr>
              <w:t>硬件</w:t>
            </w:r>
            <w:r>
              <w:rPr>
                <w:rFonts w:hint="eastAsia" w:ascii="宋体" w:hAnsi="宋体"/>
                <w:bCs/>
                <w:szCs w:val="21"/>
              </w:rPr>
              <w:t>硬件性能规格参数</w:t>
            </w:r>
          </w:p>
        </w:tc>
        <w:tc>
          <w:tcPr>
            <w:tcW w:w="3669" w:type="pct"/>
            <w:shd w:val="clear" w:color="auto" w:fill="FFFFFF"/>
            <w:noWrap w:val="0"/>
            <w:vAlign w:val="center"/>
          </w:tcPr>
          <w:p w14:paraId="5C1F2EEE">
            <w:pPr>
              <w:widowControl/>
              <w:spacing w:line="360" w:lineRule="auto"/>
              <w:jc w:val="left"/>
              <w:rPr>
                <w:rFonts w:hint="eastAsia" w:ascii="宋体" w:hAnsi="宋体"/>
                <w:szCs w:val="21"/>
                <w:lang w:val="zh-CN"/>
              </w:rPr>
            </w:pPr>
            <w:r>
              <w:rPr>
                <w:rFonts w:hint="eastAsia" w:ascii="宋体" w:hAnsi="宋体"/>
                <w:szCs w:val="21"/>
              </w:rPr>
              <w:t>提供2台标准机架式准入网关硬件产品，冗余电源，</w:t>
            </w:r>
            <w:r>
              <w:rPr>
                <w:rFonts w:hint="eastAsia" w:ascii="宋体" w:hAnsi="宋体"/>
                <w:szCs w:val="21"/>
                <w:lang w:val="en-US" w:eastAsia="zh-CN"/>
              </w:rPr>
              <w:t>不少于</w:t>
            </w:r>
            <w:r>
              <w:rPr>
                <w:rFonts w:hint="eastAsia" w:ascii="宋体" w:hAnsi="宋体"/>
                <w:szCs w:val="21"/>
              </w:rPr>
              <w:t>4千兆网口</w:t>
            </w:r>
            <w:r>
              <w:rPr>
                <w:rFonts w:hint="eastAsia" w:ascii="宋体" w:hAnsi="宋体"/>
                <w:szCs w:val="21"/>
                <w:lang w:val="en-US" w:eastAsia="zh-CN"/>
              </w:rPr>
              <w:t>及</w:t>
            </w:r>
            <w:r>
              <w:rPr>
                <w:rFonts w:hint="eastAsia" w:ascii="宋体" w:hAnsi="宋体"/>
                <w:szCs w:val="21"/>
              </w:rPr>
              <w:t>2</w:t>
            </w:r>
            <w:r>
              <w:rPr>
                <w:rFonts w:hint="eastAsia" w:ascii="宋体" w:hAnsi="宋体"/>
                <w:szCs w:val="21"/>
                <w:lang w:val="en-US" w:eastAsia="zh-CN"/>
              </w:rPr>
              <w:t>个</w:t>
            </w:r>
            <w:r>
              <w:rPr>
                <w:rFonts w:hint="eastAsia" w:ascii="宋体" w:hAnsi="宋体"/>
                <w:szCs w:val="21"/>
              </w:rPr>
              <w:t>万兆光口。</w:t>
            </w:r>
            <w:r>
              <w:rPr>
                <w:rFonts w:hint="eastAsia" w:ascii="宋体" w:hAnsi="宋体"/>
                <w:szCs w:val="21"/>
                <w:lang w:val="zh-CN"/>
              </w:rPr>
              <w:t>（</w:t>
            </w:r>
            <w:r>
              <w:rPr>
                <w:rFonts w:hint="eastAsia" w:ascii="宋体" w:hAnsi="宋体"/>
                <w:szCs w:val="21"/>
                <w:lang w:eastAsia="zh-CN"/>
              </w:rPr>
              <w:t>报价人</w:t>
            </w:r>
            <w:r>
              <w:rPr>
                <w:rFonts w:hint="eastAsia" w:ascii="宋体" w:hAnsi="宋体"/>
                <w:szCs w:val="21"/>
                <w:lang w:val="zh-CN"/>
              </w:rPr>
              <w:t>提供</w:t>
            </w:r>
            <w:r>
              <w:rPr>
                <w:rFonts w:hint="eastAsia" w:ascii="宋体" w:hAnsi="宋体"/>
                <w:szCs w:val="21"/>
              </w:rPr>
              <w:t>加盖公章</w:t>
            </w:r>
            <w:r>
              <w:rPr>
                <w:rFonts w:hint="eastAsia" w:ascii="宋体" w:hAnsi="宋体"/>
                <w:szCs w:val="21"/>
                <w:lang w:val="zh-CN"/>
              </w:rPr>
              <w:t>的承诺函）</w:t>
            </w:r>
          </w:p>
        </w:tc>
      </w:tr>
      <w:tr w14:paraId="799E1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799AC44">
            <w:pPr>
              <w:widowControl/>
              <w:numPr>
                <w:ilvl w:val="0"/>
                <w:numId w:val="4"/>
              </w:numPr>
              <w:tabs>
                <w:tab w:val="clear" w:pos="0"/>
              </w:tabs>
              <w:spacing w:line="360" w:lineRule="auto"/>
              <w:jc w:val="center"/>
              <w:rPr>
                <w:rFonts w:hint="eastAsia" w:ascii="宋体" w:hAnsi="宋体"/>
                <w:bCs/>
                <w:szCs w:val="21"/>
              </w:rPr>
            </w:pPr>
          </w:p>
        </w:tc>
        <w:tc>
          <w:tcPr>
            <w:tcW w:w="924" w:type="pct"/>
            <w:shd w:val="clear" w:color="auto" w:fill="FFFFFF"/>
            <w:noWrap w:val="0"/>
            <w:vAlign w:val="center"/>
          </w:tcPr>
          <w:p w14:paraId="1388ACDA">
            <w:pPr>
              <w:widowControl/>
              <w:spacing w:line="360" w:lineRule="auto"/>
              <w:jc w:val="center"/>
              <w:rPr>
                <w:rFonts w:ascii="宋体" w:hAnsi="宋体"/>
                <w:bCs/>
                <w:szCs w:val="21"/>
              </w:rPr>
            </w:pPr>
            <w:r>
              <w:rPr>
                <w:rFonts w:hint="eastAsia" w:ascii="宋体" w:hAnsi="宋体"/>
                <w:bCs/>
                <w:szCs w:val="21"/>
              </w:rPr>
              <w:t>性能要求</w:t>
            </w:r>
          </w:p>
        </w:tc>
        <w:tc>
          <w:tcPr>
            <w:tcW w:w="3669" w:type="pct"/>
            <w:shd w:val="clear" w:color="auto" w:fill="FFFFFF"/>
            <w:noWrap w:val="0"/>
            <w:vAlign w:val="center"/>
          </w:tcPr>
          <w:p w14:paraId="1D3D94BA">
            <w:pPr>
              <w:widowControl/>
              <w:spacing w:line="360" w:lineRule="auto"/>
              <w:jc w:val="left"/>
              <w:rPr>
                <w:rFonts w:hint="eastAsia" w:ascii="宋体" w:hAnsi="宋体"/>
                <w:szCs w:val="21"/>
                <w:lang w:val="zh-CN"/>
              </w:rPr>
            </w:pPr>
            <w:r>
              <w:rPr>
                <w:rFonts w:hint="eastAsia" w:ascii="宋体" w:hAnsi="宋体"/>
                <w:szCs w:val="21"/>
              </w:rPr>
              <w:t>准入网关硬件设备支持不少于5000台设备管理，并配备对应终端边界接入授权。</w:t>
            </w:r>
            <w:r>
              <w:rPr>
                <w:rFonts w:hint="eastAsia" w:ascii="宋体" w:hAnsi="宋体"/>
                <w:szCs w:val="21"/>
                <w:lang w:val="zh-CN"/>
              </w:rPr>
              <w:t>（</w:t>
            </w:r>
            <w:r>
              <w:rPr>
                <w:rFonts w:hint="eastAsia" w:ascii="宋体" w:hAnsi="宋体"/>
                <w:szCs w:val="21"/>
                <w:lang w:eastAsia="zh-CN"/>
              </w:rPr>
              <w:t>报价人</w:t>
            </w:r>
            <w:r>
              <w:rPr>
                <w:rFonts w:hint="eastAsia" w:ascii="宋体" w:hAnsi="宋体"/>
                <w:szCs w:val="21"/>
                <w:lang w:val="zh-CN"/>
              </w:rPr>
              <w:t>提供</w:t>
            </w:r>
            <w:r>
              <w:rPr>
                <w:rFonts w:hint="eastAsia" w:ascii="宋体" w:hAnsi="宋体"/>
                <w:szCs w:val="21"/>
              </w:rPr>
              <w:t>加盖公章</w:t>
            </w:r>
            <w:r>
              <w:rPr>
                <w:rFonts w:hint="eastAsia" w:ascii="宋体" w:hAnsi="宋体"/>
                <w:szCs w:val="21"/>
                <w:lang w:val="zh-CN"/>
              </w:rPr>
              <w:t>的承诺函）</w:t>
            </w:r>
          </w:p>
        </w:tc>
      </w:tr>
      <w:tr w14:paraId="6362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17572C2">
            <w:pPr>
              <w:widowControl/>
              <w:numPr>
                <w:ilvl w:val="0"/>
                <w:numId w:val="4"/>
              </w:numPr>
              <w:tabs>
                <w:tab w:val="clear" w:pos="0"/>
              </w:tabs>
              <w:spacing w:line="360" w:lineRule="auto"/>
              <w:jc w:val="center"/>
              <w:rPr>
                <w:rFonts w:hint="eastAsia" w:ascii="宋体" w:hAnsi="宋体"/>
                <w:bCs/>
                <w:szCs w:val="21"/>
              </w:rPr>
            </w:pPr>
          </w:p>
        </w:tc>
        <w:tc>
          <w:tcPr>
            <w:tcW w:w="924" w:type="pct"/>
            <w:shd w:val="clear" w:color="auto" w:fill="FFFFFF"/>
            <w:noWrap w:val="0"/>
            <w:vAlign w:val="center"/>
          </w:tcPr>
          <w:p w14:paraId="4BDBEBC9">
            <w:pPr>
              <w:widowControl/>
              <w:spacing w:line="360" w:lineRule="auto"/>
              <w:jc w:val="center"/>
              <w:rPr>
                <w:rFonts w:hint="eastAsia" w:ascii="宋体" w:hAnsi="宋体"/>
                <w:bCs/>
                <w:szCs w:val="21"/>
              </w:rPr>
            </w:pPr>
            <w:r>
              <w:rPr>
                <w:rFonts w:ascii="宋体" w:hAnsi="宋体"/>
                <w:bCs/>
                <w:szCs w:val="21"/>
              </w:rPr>
              <w:t>方案整体架构</w:t>
            </w:r>
          </w:p>
        </w:tc>
        <w:tc>
          <w:tcPr>
            <w:tcW w:w="3669" w:type="pct"/>
            <w:shd w:val="clear" w:color="auto" w:fill="FFFFFF"/>
            <w:noWrap w:val="0"/>
            <w:vAlign w:val="center"/>
          </w:tcPr>
          <w:p w14:paraId="128AE66F">
            <w:pPr>
              <w:widowControl/>
              <w:spacing w:line="360" w:lineRule="auto"/>
              <w:jc w:val="left"/>
              <w:rPr>
                <w:rFonts w:hint="eastAsia" w:ascii="宋体" w:hAnsi="宋体"/>
                <w:szCs w:val="21"/>
              </w:rPr>
            </w:pPr>
            <w:r>
              <w:rPr>
                <w:rFonts w:hint="eastAsia" w:ascii="宋体" w:hAnsi="宋体"/>
                <w:szCs w:val="21"/>
              </w:rPr>
              <w:t>支持管理平台和准入网关采用分离部署架构，自带操作系统和数据库软件，无需我院提供额外的操作系统和数据库，管理平台支持对多个准入硬件网关设备进行统一集中管控，采用双机热备架构。</w:t>
            </w:r>
            <w:r>
              <w:rPr>
                <w:rFonts w:hint="eastAsia" w:ascii="宋体" w:hAnsi="宋体" w:cs="宋体"/>
                <w:kern w:val="0"/>
                <w:lang w:val="zh-CN"/>
              </w:rPr>
              <w:t>（提供</w:t>
            </w:r>
            <w:r>
              <w:rPr>
                <w:rFonts w:hint="eastAsia" w:ascii="宋体" w:hAnsi="宋体" w:cs="宋体"/>
                <w:kern w:val="0"/>
              </w:rPr>
              <w:t>制造商出具的兼容性</w:t>
            </w:r>
            <w:r>
              <w:rPr>
                <w:rFonts w:hint="eastAsia" w:ascii="宋体" w:hAnsi="宋体" w:cs="宋体"/>
                <w:kern w:val="0"/>
                <w:lang w:val="zh-CN"/>
              </w:rPr>
              <w:t>承诺函</w:t>
            </w:r>
            <w:r>
              <w:rPr>
                <w:rFonts w:hint="eastAsia" w:ascii="宋体" w:hAnsi="宋体" w:cs="宋体"/>
                <w:kern w:val="0"/>
              </w:rPr>
              <w:t>并加盖</w:t>
            </w:r>
            <w:r>
              <w:rPr>
                <w:rFonts w:hint="eastAsia" w:ascii="宋体" w:hAnsi="宋体" w:cs="宋体"/>
                <w:kern w:val="0"/>
                <w:lang w:eastAsia="zh-CN"/>
              </w:rPr>
              <w:t>报价人</w:t>
            </w:r>
            <w:r>
              <w:rPr>
                <w:rFonts w:hint="eastAsia" w:ascii="宋体" w:hAnsi="宋体" w:cs="宋体"/>
                <w:kern w:val="0"/>
              </w:rPr>
              <w:t>公章</w:t>
            </w:r>
            <w:r>
              <w:rPr>
                <w:rFonts w:hint="eastAsia" w:ascii="宋体" w:hAnsi="宋体" w:cs="宋体"/>
                <w:kern w:val="0"/>
                <w:lang w:val="zh-CN"/>
              </w:rPr>
              <w:t>）</w:t>
            </w:r>
          </w:p>
        </w:tc>
      </w:tr>
      <w:tr w14:paraId="6B7CB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64DB08CB">
            <w:pPr>
              <w:widowControl/>
              <w:numPr>
                <w:ilvl w:val="0"/>
                <w:numId w:val="4"/>
              </w:numPr>
              <w:tabs>
                <w:tab w:val="clear" w:pos="0"/>
              </w:tabs>
              <w:spacing w:line="360" w:lineRule="auto"/>
              <w:jc w:val="center"/>
              <w:rPr>
                <w:rFonts w:hint="eastAsia" w:ascii="宋体" w:hAnsi="宋体"/>
                <w:bCs/>
                <w:szCs w:val="21"/>
              </w:rPr>
            </w:pPr>
          </w:p>
        </w:tc>
        <w:tc>
          <w:tcPr>
            <w:tcW w:w="924" w:type="pct"/>
            <w:shd w:val="clear" w:color="auto" w:fill="FFFFFF"/>
            <w:noWrap w:val="0"/>
            <w:vAlign w:val="center"/>
          </w:tcPr>
          <w:p w14:paraId="642A979D">
            <w:pPr>
              <w:widowControl/>
              <w:spacing w:line="360" w:lineRule="auto"/>
              <w:jc w:val="center"/>
              <w:rPr>
                <w:rFonts w:ascii="宋体" w:hAnsi="宋体"/>
                <w:bCs/>
                <w:szCs w:val="21"/>
              </w:rPr>
            </w:pPr>
            <w:r>
              <w:rPr>
                <w:rFonts w:hint="eastAsia" w:ascii="宋体" w:hAnsi="宋体"/>
                <w:bCs/>
                <w:szCs w:val="21"/>
              </w:rPr>
              <w:t>平台扩展能力</w:t>
            </w:r>
          </w:p>
        </w:tc>
        <w:tc>
          <w:tcPr>
            <w:tcW w:w="3669" w:type="pct"/>
            <w:shd w:val="clear" w:color="auto" w:fill="FFFFFF"/>
            <w:noWrap w:val="0"/>
            <w:vAlign w:val="center"/>
          </w:tcPr>
          <w:p w14:paraId="7C27E8AF">
            <w:pPr>
              <w:widowControl/>
              <w:spacing w:line="360" w:lineRule="auto"/>
              <w:jc w:val="left"/>
              <w:rPr>
                <w:rFonts w:hint="eastAsia" w:ascii="宋体" w:hAnsi="宋体"/>
                <w:szCs w:val="21"/>
              </w:rPr>
            </w:pPr>
            <w:r>
              <w:rPr>
                <w:rFonts w:hint="eastAsia" w:ascii="宋体" w:hAnsi="宋体"/>
                <w:szCs w:val="21"/>
                <w:lang w:val="zh-CN"/>
              </w:rPr>
              <w:t>后期可通过增加模块授权方式横向扩展</w:t>
            </w:r>
            <w:r>
              <w:rPr>
                <w:rFonts w:hint="eastAsia" w:ascii="宋体" w:hAnsi="宋体"/>
                <w:szCs w:val="21"/>
              </w:rPr>
              <w:t>桌面管理</w:t>
            </w:r>
            <w:r>
              <w:rPr>
                <w:rFonts w:hint="eastAsia" w:ascii="宋体" w:hAnsi="宋体"/>
                <w:szCs w:val="21"/>
                <w:lang w:val="zh-CN"/>
              </w:rPr>
              <w:t>、终端安全、</w:t>
            </w:r>
            <w:r>
              <w:rPr>
                <w:rFonts w:hint="eastAsia" w:ascii="宋体" w:hAnsi="宋体"/>
                <w:szCs w:val="21"/>
              </w:rPr>
              <w:t>补丁管理</w:t>
            </w:r>
            <w:r>
              <w:rPr>
                <w:rFonts w:hint="eastAsia" w:ascii="宋体" w:hAnsi="宋体"/>
                <w:szCs w:val="21"/>
                <w:lang w:val="zh-CN"/>
              </w:rPr>
              <w:t>、软件管理、</w:t>
            </w:r>
            <w:r>
              <w:rPr>
                <w:rFonts w:hint="eastAsia" w:ascii="宋体" w:hAnsi="宋体"/>
                <w:szCs w:val="21"/>
              </w:rPr>
              <w:t>检测与响应、文档加密</w:t>
            </w:r>
            <w:r>
              <w:rPr>
                <w:rFonts w:hint="eastAsia" w:ascii="宋体" w:hAnsi="宋体"/>
                <w:szCs w:val="21"/>
                <w:lang w:val="zh-CN"/>
              </w:rPr>
              <w:t>等功能，基于一个管控平台，一个客户端，实现终端安全一体化管理。（报价人提供</w:t>
            </w:r>
            <w:r>
              <w:rPr>
                <w:rFonts w:hint="eastAsia" w:ascii="宋体" w:hAnsi="宋体"/>
                <w:szCs w:val="21"/>
              </w:rPr>
              <w:t>加盖公章</w:t>
            </w:r>
            <w:r>
              <w:rPr>
                <w:rFonts w:hint="eastAsia" w:ascii="宋体" w:hAnsi="宋体"/>
                <w:szCs w:val="21"/>
                <w:lang w:val="zh-CN"/>
              </w:rPr>
              <w:t>的产品功能界面截图证明）</w:t>
            </w:r>
          </w:p>
        </w:tc>
      </w:tr>
      <w:tr w14:paraId="1378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0123F67">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6EE25830">
            <w:pPr>
              <w:widowControl/>
              <w:spacing w:line="360" w:lineRule="auto"/>
              <w:jc w:val="center"/>
              <w:rPr>
                <w:rFonts w:hint="eastAsia" w:ascii="宋体" w:hAnsi="宋体"/>
                <w:bCs/>
                <w:szCs w:val="21"/>
                <w:lang w:val="zh-CN"/>
              </w:rPr>
            </w:pPr>
            <w:r>
              <w:rPr>
                <w:rFonts w:hint="eastAsia" w:ascii="宋体" w:hAnsi="宋体"/>
                <w:bCs/>
                <w:szCs w:val="21"/>
              </w:rPr>
              <w:t>客户端</w:t>
            </w:r>
            <w:r>
              <w:rPr>
                <w:rFonts w:hint="eastAsia" w:ascii="宋体" w:hAnsi="宋体"/>
                <w:bCs/>
                <w:szCs w:val="21"/>
                <w:lang w:val="zh-CN"/>
              </w:rPr>
              <w:t>多操作系统支持</w:t>
            </w:r>
          </w:p>
        </w:tc>
        <w:tc>
          <w:tcPr>
            <w:tcW w:w="3669" w:type="pct"/>
            <w:shd w:val="clear" w:color="auto" w:fill="FFFFFF"/>
            <w:noWrap w:val="0"/>
            <w:vAlign w:val="center"/>
          </w:tcPr>
          <w:p w14:paraId="4CEF491E">
            <w:pPr>
              <w:widowControl/>
              <w:spacing w:line="360" w:lineRule="auto"/>
              <w:jc w:val="left"/>
              <w:rPr>
                <w:rFonts w:hint="eastAsia" w:ascii="宋体" w:hAnsi="宋体"/>
                <w:szCs w:val="21"/>
                <w:lang w:val="zh-CN"/>
              </w:rPr>
            </w:pPr>
            <w:r>
              <w:rPr>
                <w:rFonts w:hint="eastAsia" w:ascii="宋体" w:hAnsi="宋体"/>
                <w:szCs w:val="21"/>
                <w:lang w:val="zh-CN"/>
              </w:rPr>
              <w:t>客户端支持Windows、Linux以及国产化统信UOS/麒麟操作系统。（</w:t>
            </w:r>
            <w:r>
              <w:rPr>
                <w:rFonts w:hint="eastAsia" w:ascii="宋体" w:hAnsi="宋体"/>
                <w:szCs w:val="21"/>
                <w:lang w:eastAsia="zh-CN"/>
              </w:rPr>
              <w:t>报价人</w:t>
            </w:r>
            <w:r>
              <w:rPr>
                <w:rFonts w:hint="eastAsia" w:ascii="宋体" w:hAnsi="宋体"/>
                <w:szCs w:val="21"/>
                <w:lang w:val="zh-CN"/>
              </w:rPr>
              <w:t>提供</w:t>
            </w:r>
            <w:r>
              <w:rPr>
                <w:rFonts w:hint="eastAsia" w:ascii="宋体" w:hAnsi="宋体"/>
                <w:szCs w:val="21"/>
              </w:rPr>
              <w:t>加盖公章</w:t>
            </w:r>
            <w:r>
              <w:rPr>
                <w:rFonts w:hint="eastAsia" w:ascii="宋体" w:hAnsi="宋体"/>
                <w:szCs w:val="21"/>
                <w:lang w:val="zh-CN"/>
              </w:rPr>
              <w:t>的承诺函）</w:t>
            </w:r>
          </w:p>
        </w:tc>
      </w:tr>
      <w:tr w14:paraId="1ADA2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5CCCC29D">
            <w:pPr>
              <w:widowControl/>
              <w:numPr>
                <w:ilvl w:val="0"/>
                <w:numId w:val="4"/>
              </w:numPr>
              <w:tabs>
                <w:tab w:val="clear" w:pos="0"/>
              </w:tabs>
              <w:spacing w:line="360" w:lineRule="auto"/>
              <w:jc w:val="center"/>
              <w:rPr>
                <w:rFonts w:ascii="宋体" w:hAnsi="宋体"/>
                <w:bCs/>
                <w:szCs w:val="21"/>
              </w:rPr>
            </w:pPr>
          </w:p>
        </w:tc>
        <w:tc>
          <w:tcPr>
            <w:tcW w:w="924" w:type="pct"/>
            <w:noWrap w:val="0"/>
            <w:vAlign w:val="center"/>
          </w:tcPr>
          <w:p w14:paraId="05B881FE">
            <w:pPr>
              <w:widowControl/>
              <w:spacing w:line="360" w:lineRule="auto"/>
              <w:jc w:val="center"/>
              <w:rPr>
                <w:rFonts w:hint="eastAsia" w:ascii="宋体" w:hAnsi="宋体"/>
                <w:bCs/>
                <w:szCs w:val="21"/>
                <w:lang w:val="zh-CN"/>
              </w:rPr>
            </w:pPr>
            <w:r>
              <w:rPr>
                <w:rFonts w:hint="eastAsia" w:ascii="宋体" w:hAnsi="宋体"/>
                <w:bCs/>
                <w:szCs w:val="21"/>
                <w:lang w:val="zh-CN"/>
              </w:rPr>
              <w:t>终端边界接入混合绑定</w:t>
            </w:r>
          </w:p>
        </w:tc>
        <w:tc>
          <w:tcPr>
            <w:tcW w:w="3669" w:type="pct"/>
            <w:noWrap w:val="0"/>
            <w:vAlign w:val="center"/>
          </w:tcPr>
          <w:p w14:paraId="5174034E">
            <w:pPr>
              <w:widowControl/>
              <w:spacing w:line="360" w:lineRule="auto"/>
              <w:jc w:val="left"/>
              <w:rPr>
                <w:rFonts w:hint="eastAsia" w:ascii="宋体" w:hAnsi="宋体"/>
                <w:szCs w:val="21"/>
              </w:rPr>
            </w:pPr>
            <w:r>
              <w:rPr>
                <w:rFonts w:hint="eastAsia" w:ascii="宋体" w:hAnsi="宋体"/>
                <w:szCs w:val="21"/>
                <w:lang w:val="zh-CN"/>
              </w:rPr>
              <w:t>支持用户与接入设备MAC地址、接入交换机端口号、接入控制点设备、客户端生成的机器码和随机码、无线WiFi绑定；支持设置针对某用户在一定数量范围内的终端自动放行。（报价人提供</w:t>
            </w:r>
            <w:r>
              <w:rPr>
                <w:rFonts w:hint="eastAsia" w:ascii="宋体" w:hAnsi="宋体"/>
                <w:szCs w:val="21"/>
              </w:rPr>
              <w:t>加盖公章</w:t>
            </w:r>
            <w:r>
              <w:rPr>
                <w:rFonts w:hint="eastAsia" w:ascii="宋体" w:hAnsi="宋体"/>
                <w:szCs w:val="21"/>
                <w:lang w:val="zh-CN"/>
              </w:rPr>
              <w:t>的产品功能界面截图证明）</w:t>
            </w:r>
          </w:p>
        </w:tc>
      </w:tr>
      <w:tr w14:paraId="76CD2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13885E33">
            <w:pPr>
              <w:widowControl/>
              <w:numPr>
                <w:ilvl w:val="0"/>
                <w:numId w:val="4"/>
              </w:numPr>
              <w:tabs>
                <w:tab w:val="clear" w:pos="0"/>
              </w:tabs>
              <w:spacing w:line="360" w:lineRule="auto"/>
              <w:jc w:val="center"/>
              <w:rPr>
                <w:rFonts w:ascii="宋体" w:hAnsi="宋体"/>
                <w:bCs/>
                <w:szCs w:val="21"/>
              </w:rPr>
            </w:pPr>
          </w:p>
        </w:tc>
        <w:tc>
          <w:tcPr>
            <w:tcW w:w="924" w:type="pct"/>
            <w:vMerge w:val="restart"/>
            <w:shd w:val="clear" w:color="auto" w:fill="FFFFFF"/>
            <w:noWrap w:val="0"/>
            <w:vAlign w:val="center"/>
          </w:tcPr>
          <w:p w14:paraId="3D2E8453">
            <w:pPr>
              <w:widowControl/>
              <w:spacing w:line="360" w:lineRule="auto"/>
              <w:jc w:val="center"/>
              <w:rPr>
                <w:rFonts w:hint="eastAsia" w:ascii="宋体" w:hAnsi="宋体"/>
                <w:bCs/>
                <w:szCs w:val="21"/>
                <w:lang w:val="zh-CN"/>
              </w:rPr>
            </w:pPr>
            <w:r>
              <w:rPr>
                <w:rFonts w:hint="eastAsia" w:ascii="宋体" w:hAnsi="宋体"/>
                <w:bCs/>
                <w:szCs w:val="21"/>
                <w:lang w:val="zh-CN"/>
              </w:rPr>
              <w:t>敏感文件扫描</w:t>
            </w:r>
          </w:p>
        </w:tc>
        <w:tc>
          <w:tcPr>
            <w:tcW w:w="3669" w:type="pct"/>
            <w:shd w:val="clear" w:color="auto" w:fill="FFFFFF"/>
            <w:noWrap w:val="0"/>
            <w:vAlign w:val="center"/>
          </w:tcPr>
          <w:p w14:paraId="4F5F99EC">
            <w:pPr>
              <w:widowControl/>
              <w:spacing w:line="360" w:lineRule="auto"/>
              <w:jc w:val="left"/>
              <w:rPr>
                <w:rFonts w:hint="eastAsia" w:ascii="宋体" w:hAnsi="宋体"/>
                <w:szCs w:val="21"/>
              </w:rPr>
            </w:pPr>
            <w:r>
              <w:rPr>
                <w:rFonts w:hint="eastAsia" w:ascii="宋体" w:hAnsi="宋体"/>
                <w:szCs w:val="21"/>
                <w:lang w:val="zh-CN"/>
              </w:rPr>
              <w:t>后期可通过增加模块授权方式支持基于关键字、特定的文件名称、文件MD5、文件类型、加密文件、不可识别文件、文档追踪ID、特定的大小的文件、创建日期为一定范围内的文件、修改日期为一定范围内的文件、文档标签等属性实现对终端文件进行识别检测，此功能</w:t>
            </w:r>
            <w:r>
              <w:rPr>
                <w:rFonts w:hint="eastAsia" w:ascii="宋体" w:hAnsi="宋体"/>
                <w:szCs w:val="21"/>
              </w:rPr>
              <w:t>用</w:t>
            </w:r>
            <w:r>
              <w:rPr>
                <w:rFonts w:hint="eastAsia" w:ascii="宋体" w:hAnsi="宋体"/>
                <w:szCs w:val="21"/>
                <w:lang w:val="zh-CN"/>
              </w:rPr>
              <w:t>于部分重要</w:t>
            </w:r>
            <w:r>
              <w:rPr>
                <w:rFonts w:hint="eastAsia" w:ascii="宋体" w:hAnsi="宋体"/>
                <w:szCs w:val="21"/>
              </w:rPr>
              <w:t>终端</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p>
        </w:tc>
      </w:tr>
      <w:tr w14:paraId="0E89B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4A5ACB6E">
            <w:pPr>
              <w:widowControl/>
              <w:numPr>
                <w:ilvl w:val="0"/>
                <w:numId w:val="4"/>
              </w:numPr>
              <w:tabs>
                <w:tab w:val="clear" w:pos="0"/>
              </w:tabs>
              <w:spacing w:line="360" w:lineRule="auto"/>
              <w:jc w:val="center"/>
              <w:rPr>
                <w:rFonts w:ascii="宋体" w:hAnsi="宋体"/>
                <w:bCs/>
                <w:szCs w:val="21"/>
              </w:rPr>
            </w:pPr>
          </w:p>
        </w:tc>
        <w:tc>
          <w:tcPr>
            <w:tcW w:w="924" w:type="pct"/>
            <w:vMerge w:val="continue"/>
            <w:shd w:val="clear" w:color="auto" w:fill="FFFFFF"/>
            <w:noWrap w:val="0"/>
            <w:vAlign w:val="center"/>
          </w:tcPr>
          <w:p w14:paraId="2469622B">
            <w:pPr>
              <w:widowControl/>
              <w:spacing w:line="360" w:lineRule="auto"/>
              <w:jc w:val="center"/>
              <w:rPr>
                <w:rFonts w:hint="eastAsia" w:ascii="宋体" w:hAnsi="宋体"/>
                <w:bCs/>
                <w:szCs w:val="21"/>
              </w:rPr>
            </w:pPr>
          </w:p>
        </w:tc>
        <w:tc>
          <w:tcPr>
            <w:tcW w:w="3669" w:type="pct"/>
            <w:shd w:val="clear" w:color="auto" w:fill="FFFFFF"/>
            <w:noWrap w:val="0"/>
            <w:vAlign w:val="center"/>
          </w:tcPr>
          <w:p w14:paraId="0DCEDCCC">
            <w:pPr>
              <w:widowControl/>
              <w:spacing w:line="360" w:lineRule="auto"/>
              <w:jc w:val="left"/>
              <w:rPr>
                <w:rFonts w:hint="eastAsia" w:ascii="宋体" w:hAnsi="宋体"/>
                <w:szCs w:val="21"/>
                <w:lang w:val="zh-CN"/>
              </w:rPr>
            </w:pPr>
            <w:r>
              <w:rPr>
                <w:rFonts w:hint="eastAsia" w:ascii="宋体" w:hAnsi="宋体"/>
                <w:szCs w:val="21"/>
                <w:lang w:val="zh-CN"/>
              </w:rPr>
              <w:t>支持敏感文件审计功能，可调用敏感规则对终端进行定期扫描，支持启用检索时高级控制：必选条件可设置终端CPU利用率及内存使用量低于多少，超过阀值停止扫描；可选条件可设置检查终端键鼠操作情况、终端锁屏情况，当终端键盘或鼠标无操作时或终端进入锁屏状态时进行闲时扫描。（报价人提供</w:t>
            </w:r>
            <w:r>
              <w:rPr>
                <w:rFonts w:hint="eastAsia" w:ascii="宋体" w:hAnsi="宋体"/>
                <w:szCs w:val="21"/>
              </w:rPr>
              <w:t>加盖公章</w:t>
            </w:r>
            <w:r>
              <w:rPr>
                <w:rFonts w:hint="eastAsia" w:ascii="宋体" w:hAnsi="宋体"/>
                <w:szCs w:val="21"/>
                <w:lang w:val="zh-CN"/>
              </w:rPr>
              <w:t>的产品功能界面截图证明）</w:t>
            </w:r>
          </w:p>
        </w:tc>
      </w:tr>
      <w:tr w14:paraId="24913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1C242FC2">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2B1101C2">
            <w:pPr>
              <w:widowControl/>
              <w:spacing w:line="360" w:lineRule="auto"/>
              <w:jc w:val="center"/>
              <w:rPr>
                <w:rFonts w:hint="eastAsia" w:ascii="宋体" w:hAnsi="宋体"/>
                <w:bCs/>
                <w:szCs w:val="21"/>
                <w:lang w:val="zh-CN"/>
              </w:rPr>
            </w:pPr>
            <w:r>
              <w:rPr>
                <w:rFonts w:hint="eastAsia" w:ascii="宋体" w:hAnsi="宋体"/>
                <w:bCs/>
                <w:szCs w:val="21"/>
                <w:lang w:val="zh-CN"/>
              </w:rPr>
              <w:t>数字水印</w:t>
            </w:r>
          </w:p>
        </w:tc>
        <w:tc>
          <w:tcPr>
            <w:tcW w:w="3669" w:type="pct"/>
            <w:shd w:val="clear" w:color="auto" w:fill="FFFFFF"/>
            <w:noWrap w:val="0"/>
            <w:vAlign w:val="center"/>
          </w:tcPr>
          <w:p w14:paraId="47558805">
            <w:pPr>
              <w:widowControl/>
              <w:spacing w:line="360" w:lineRule="auto"/>
              <w:jc w:val="left"/>
              <w:rPr>
                <w:rFonts w:hint="eastAsia" w:ascii="宋体" w:hAnsi="宋体"/>
                <w:szCs w:val="21"/>
              </w:rPr>
            </w:pPr>
            <w:r>
              <w:rPr>
                <w:rFonts w:hint="eastAsia" w:ascii="宋体" w:hAnsi="宋体"/>
                <w:szCs w:val="21"/>
                <w:lang w:val="zh-CN"/>
              </w:rPr>
              <w:t>后期可通过增加模块授权方式支持将水印信息加载到特定终端屏幕上方，支持宏参数替换（安全助手登录用户名、用户全名、计算机名、计算机全名、IP地址、MAC地址、当前日期、当前时间）。支持自定义字体、字号、字体颜色、字体透明度、水印单元格数量、水印布局形式；支持水印角度、水印加载范围；支持明文水印、二维码水印、图片水印、矢量水印（点阵矢量图形方式，浮现在屏幕上方；支持设置水印点颜色、水印点透明度、图形大小、图形间距）；支持始终加载在屏幕最上方与仅加载在屏幕桌面上方,不遮挡应用窗口。（报价人提供</w:t>
            </w:r>
            <w:r>
              <w:rPr>
                <w:rFonts w:hint="eastAsia" w:ascii="宋体" w:hAnsi="宋体"/>
                <w:szCs w:val="21"/>
              </w:rPr>
              <w:t>加盖公章</w:t>
            </w:r>
            <w:r>
              <w:rPr>
                <w:rFonts w:hint="eastAsia" w:ascii="宋体" w:hAnsi="宋体"/>
                <w:szCs w:val="21"/>
                <w:lang w:val="zh-CN"/>
              </w:rPr>
              <w:t>的产品功能界面截图证明</w:t>
            </w:r>
            <w:r>
              <w:rPr>
                <w:rFonts w:hint="eastAsia" w:ascii="宋体" w:hAnsi="宋体"/>
                <w:szCs w:val="21"/>
              </w:rPr>
              <w:t>及加盖公章</w:t>
            </w:r>
            <w:r>
              <w:rPr>
                <w:rFonts w:hint="eastAsia" w:ascii="宋体" w:hAnsi="宋体"/>
                <w:szCs w:val="21"/>
                <w:lang w:val="zh-CN"/>
              </w:rPr>
              <w:t>的承诺函）</w:t>
            </w:r>
          </w:p>
        </w:tc>
      </w:tr>
      <w:tr w14:paraId="01565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6868FC06">
            <w:pPr>
              <w:widowControl/>
              <w:numPr>
                <w:ilvl w:val="0"/>
                <w:numId w:val="4"/>
              </w:numPr>
              <w:tabs>
                <w:tab w:val="clear" w:pos="0"/>
              </w:tabs>
              <w:spacing w:line="360" w:lineRule="auto"/>
              <w:jc w:val="center"/>
              <w:rPr>
                <w:rFonts w:ascii="宋体" w:hAnsi="宋体"/>
                <w:bCs/>
                <w:szCs w:val="21"/>
              </w:rPr>
            </w:pPr>
          </w:p>
        </w:tc>
        <w:tc>
          <w:tcPr>
            <w:tcW w:w="924" w:type="pct"/>
            <w:vMerge w:val="restart"/>
            <w:shd w:val="clear" w:color="auto" w:fill="FFFFFF"/>
            <w:noWrap w:val="0"/>
            <w:vAlign w:val="center"/>
          </w:tcPr>
          <w:p w14:paraId="69AF5148">
            <w:pPr>
              <w:widowControl/>
              <w:spacing w:line="360" w:lineRule="auto"/>
              <w:jc w:val="center"/>
              <w:rPr>
                <w:rFonts w:hint="eastAsia" w:ascii="宋体" w:hAnsi="宋体"/>
                <w:bCs/>
                <w:szCs w:val="21"/>
                <w:lang w:val="zh-CN"/>
              </w:rPr>
            </w:pPr>
            <w:r>
              <w:rPr>
                <w:rFonts w:hint="eastAsia" w:ascii="宋体" w:hAnsi="宋体"/>
                <w:bCs/>
                <w:szCs w:val="21"/>
                <w:lang w:val="zh-CN"/>
              </w:rPr>
              <w:t>安全虚拟磁盘</w:t>
            </w:r>
          </w:p>
        </w:tc>
        <w:tc>
          <w:tcPr>
            <w:tcW w:w="3669" w:type="pct"/>
            <w:shd w:val="clear" w:color="auto" w:fill="FFFFFF"/>
            <w:noWrap w:val="0"/>
            <w:vAlign w:val="center"/>
          </w:tcPr>
          <w:p w14:paraId="4A8AA19D">
            <w:pPr>
              <w:widowControl/>
              <w:spacing w:line="360" w:lineRule="auto"/>
              <w:jc w:val="left"/>
              <w:rPr>
                <w:rFonts w:hint="eastAsia" w:ascii="宋体" w:hAnsi="宋体"/>
                <w:szCs w:val="21"/>
              </w:rPr>
            </w:pPr>
            <w:r>
              <w:rPr>
                <w:rFonts w:hint="eastAsia" w:ascii="宋体" w:hAnsi="宋体"/>
                <w:szCs w:val="21"/>
                <w:lang w:val="zh-CN"/>
              </w:rPr>
              <w:t>后期可通过增加模块授权方式支持在终端创建安全虚拟磁盘，用于受保护数据的存储，使用磁盘级加密技术，保障数据的安全，此功能</w:t>
            </w:r>
            <w:r>
              <w:rPr>
                <w:rFonts w:hint="eastAsia" w:ascii="宋体" w:hAnsi="宋体"/>
                <w:szCs w:val="21"/>
              </w:rPr>
              <w:t>用</w:t>
            </w:r>
            <w:r>
              <w:rPr>
                <w:rFonts w:hint="eastAsia" w:ascii="宋体" w:hAnsi="宋体"/>
                <w:szCs w:val="21"/>
                <w:lang w:val="zh-CN"/>
              </w:rPr>
              <w:t>于部分重要</w:t>
            </w:r>
            <w:r>
              <w:rPr>
                <w:rFonts w:hint="eastAsia" w:ascii="宋体" w:hAnsi="宋体"/>
                <w:szCs w:val="21"/>
              </w:rPr>
              <w:t>终端</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r>
              <w:rPr>
                <w:rFonts w:hint="eastAsia" w:ascii="宋体" w:hAnsi="宋体"/>
                <w:szCs w:val="21"/>
              </w:rPr>
              <w:t>及加盖公章</w:t>
            </w:r>
            <w:r>
              <w:rPr>
                <w:rFonts w:hint="eastAsia" w:ascii="宋体" w:hAnsi="宋体"/>
                <w:szCs w:val="21"/>
                <w:lang w:val="zh-CN"/>
              </w:rPr>
              <w:t>的承诺函）</w:t>
            </w:r>
          </w:p>
        </w:tc>
      </w:tr>
      <w:tr w14:paraId="657B4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2757AB3D">
            <w:pPr>
              <w:widowControl/>
              <w:numPr>
                <w:ilvl w:val="0"/>
                <w:numId w:val="4"/>
              </w:numPr>
              <w:tabs>
                <w:tab w:val="clear" w:pos="0"/>
              </w:tabs>
              <w:spacing w:line="360" w:lineRule="auto"/>
              <w:jc w:val="center"/>
              <w:rPr>
                <w:rFonts w:ascii="宋体" w:hAnsi="宋体"/>
                <w:bCs/>
                <w:szCs w:val="21"/>
              </w:rPr>
            </w:pPr>
          </w:p>
        </w:tc>
        <w:tc>
          <w:tcPr>
            <w:tcW w:w="924" w:type="pct"/>
            <w:vMerge w:val="continue"/>
            <w:shd w:val="clear" w:color="auto" w:fill="FFFFFF"/>
            <w:noWrap w:val="0"/>
            <w:vAlign w:val="center"/>
          </w:tcPr>
          <w:p w14:paraId="5A113A56">
            <w:pPr>
              <w:widowControl/>
              <w:spacing w:line="360" w:lineRule="auto"/>
              <w:jc w:val="center"/>
              <w:rPr>
                <w:rFonts w:hint="eastAsia" w:ascii="宋体" w:hAnsi="宋体"/>
                <w:bCs/>
                <w:szCs w:val="21"/>
                <w:lang w:val="zh-CN"/>
              </w:rPr>
            </w:pPr>
          </w:p>
        </w:tc>
        <w:tc>
          <w:tcPr>
            <w:tcW w:w="3669" w:type="pct"/>
            <w:shd w:val="clear" w:color="auto" w:fill="FFFFFF"/>
            <w:noWrap w:val="0"/>
            <w:vAlign w:val="center"/>
          </w:tcPr>
          <w:p w14:paraId="21D21FED">
            <w:pPr>
              <w:widowControl/>
              <w:spacing w:line="360" w:lineRule="auto"/>
              <w:jc w:val="left"/>
              <w:rPr>
                <w:rFonts w:hint="eastAsia" w:ascii="宋体" w:hAnsi="宋体"/>
                <w:szCs w:val="21"/>
              </w:rPr>
            </w:pPr>
            <w:r>
              <w:rPr>
                <w:rFonts w:hint="eastAsia" w:ascii="宋体" w:hAnsi="宋体"/>
                <w:szCs w:val="21"/>
                <w:lang w:val="zh-CN"/>
              </w:rPr>
              <w:t>支持对安全虚拟磁盘容量、盘符、存储方式、物理位置等基本信息进行设置。（报价人提供</w:t>
            </w:r>
            <w:r>
              <w:rPr>
                <w:rFonts w:hint="eastAsia" w:ascii="宋体" w:hAnsi="宋体"/>
                <w:szCs w:val="21"/>
              </w:rPr>
              <w:t>加盖公章</w:t>
            </w:r>
            <w:r>
              <w:rPr>
                <w:rFonts w:hint="eastAsia" w:ascii="宋体" w:hAnsi="宋体"/>
                <w:szCs w:val="21"/>
                <w:lang w:val="zh-CN"/>
              </w:rPr>
              <w:t>的产品功能界面截图证明）</w:t>
            </w:r>
          </w:p>
        </w:tc>
      </w:tr>
      <w:tr w14:paraId="17C7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C99F73D">
            <w:pPr>
              <w:widowControl/>
              <w:numPr>
                <w:ilvl w:val="0"/>
                <w:numId w:val="4"/>
              </w:numPr>
              <w:tabs>
                <w:tab w:val="clear" w:pos="0"/>
              </w:tabs>
              <w:spacing w:line="360" w:lineRule="auto"/>
              <w:jc w:val="center"/>
              <w:rPr>
                <w:rFonts w:ascii="宋体" w:hAnsi="宋体"/>
                <w:bCs/>
                <w:szCs w:val="21"/>
              </w:rPr>
            </w:pPr>
          </w:p>
        </w:tc>
        <w:tc>
          <w:tcPr>
            <w:tcW w:w="924" w:type="pct"/>
            <w:vMerge w:val="continue"/>
            <w:shd w:val="clear" w:color="auto" w:fill="FFFFFF"/>
            <w:noWrap w:val="0"/>
            <w:vAlign w:val="center"/>
          </w:tcPr>
          <w:p w14:paraId="277F16E9">
            <w:pPr>
              <w:widowControl/>
              <w:spacing w:line="360" w:lineRule="auto"/>
              <w:jc w:val="center"/>
              <w:rPr>
                <w:rFonts w:hint="eastAsia" w:ascii="宋体" w:hAnsi="宋体"/>
                <w:bCs/>
                <w:szCs w:val="21"/>
                <w:lang w:val="zh-CN"/>
              </w:rPr>
            </w:pPr>
          </w:p>
        </w:tc>
        <w:tc>
          <w:tcPr>
            <w:tcW w:w="3669" w:type="pct"/>
            <w:shd w:val="clear" w:color="auto" w:fill="FFFFFF"/>
            <w:noWrap w:val="0"/>
            <w:vAlign w:val="center"/>
          </w:tcPr>
          <w:p w14:paraId="6DB940C5">
            <w:pPr>
              <w:widowControl/>
              <w:spacing w:line="360" w:lineRule="auto"/>
              <w:jc w:val="left"/>
              <w:rPr>
                <w:rFonts w:hint="eastAsia" w:ascii="宋体" w:hAnsi="宋体"/>
                <w:szCs w:val="21"/>
              </w:rPr>
            </w:pPr>
            <w:r>
              <w:rPr>
                <w:rFonts w:hint="eastAsia" w:ascii="宋体" w:hAnsi="宋体"/>
                <w:szCs w:val="21"/>
                <w:lang w:val="zh-CN"/>
              </w:rPr>
              <w:t>支持启用密码保护，要求用户打开安全虚拟磁盘时需输入密码进行验证，密码保护条件可设定密码长度、密码复杂度（英文大小写、数字、特殊字符等）。（报价人提供</w:t>
            </w:r>
            <w:r>
              <w:rPr>
                <w:rFonts w:hint="eastAsia" w:ascii="宋体" w:hAnsi="宋体"/>
                <w:szCs w:val="21"/>
              </w:rPr>
              <w:t>加盖公章</w:t>
            </w:r>
            <w:r>
              <w:rPr>
                <w:rFonts w:hint="eastAsia" w:ascii="宋体" w:hAnsi="宋体"/>
                <w:szCs w:val="21"/>
                <w:lang w:val="zh-CN"/>
              </w:rPr>
              <w:t>的产品功能界面截图证明）</w:t>
            </w:r>
          </w:p>
        </w:tc>
      </w:tr>
      <w:tr w14:paraId="52C20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1EDDE8EF">
            <w:pPr>
              <w:widowControl/>
              <w:numPr>
                <w:ilvl w:val="0"/>
                <w:numId w:val="4"/>
              </w:numPr>
              <w:tabs>
                <w:tab w:val="clear" w:pos="0"/>
              </w:tabs>
              <w:spacing w:line="360" w:lineRule="auto"/>
              <w:jc w:val="center"/>
              <w:rPr>
                <w:rFonts w:ascii="宋体" w:hAnsi="宋体"/>
                <w:bCs/>
                <w:szCs w:val="21"/>
              </w:rPr>
            </w:pPr>
          </w:p>
        </w:tc>
        <w:tc>
          <w:tcPr>
            <w:tcW w:w="924" w:type="pct"/>
            <w:vMerge w:val="continue"/>
            <w:shd w:val="clear" w:color="auto" w:fill="FFFFFF"/>
            <w:noWrap w:val="0"/>
            <w:vAlign w:val="center"/>
          </w:tcPr>
          <w:p w14:paraId="68CFA485">
            <w:pPr>
              <w:widowControl/>
              <w:spacing w:line="360" w:lineRule="auto"/>
              <w:jc w:val="center"/>
              <w:rPr>
                <w:rFonts w:hint="eastAsia" w:ascii="宋体" w:hAnsi="宋体"/>
                <w:bCs/>
                <w:szCs w:val="21"/>
                <w:lang w:val="zh-CN"/>
              </w:rPr>
            </w:pPr>
          </w:p>
        </w:tc>
        <w:tc>
          <w:tcPr>
            <w:tcW w:w="3669" w:type="pct"/>
            <w:shd w:val="clear" w:color="auto" w:fill="FFFFFF"/>
            <w:noWrap w:val="0"/>
            <w:vAlign w:val="center"/>
          </w:tcPr>
          <w:p w14:paraId="67C4D1A6">
            <w:pPr>
              <w:widowControl/>
              <w:spacing w:line="360" w:lineRule="auto"/>
              <w:jc w:val="left"/>
              <w:rPr>
                <w:rFonts w:hint="eastAsia" w:ascii="宋体" w:hAnsi="宋体"/>
                <w:szCs w:val="21"/>
                <w:lang w:val="zh-CN"/>
              </w:rPr>
            </w:pPr>
            <w:r>
              <w:rPr>
                <w:rFonts w:hint="eastAsia" w:ascii="宋体" w:hAnsi="宋体"/>
                <w:szCs w:val="21"/>
                <w:lang w:val="zh-CN"/>
              </w:rPr>
              <w:t>可设定允许访问虚拟磁盘的软件进程，防止非法进程访问安全虚拟磁盘；</w:t>
            </w:r>
          </w:p>
          <w:p w14:paraId="31128FDB">
            <w:pPr>
              <w:widowControl/>
              <w:spacing w:line="360" w:lineRule="auto"/>
              <w:jc w:val="left"/>
              <w:rPr>
                <w:rFonts w:hint="eastAsia" w:ascii="宋体" w:hAnsi="宋体"/>
                <w:szCs w:val="21"/>
              </w:rPr>
            </w:pPr>
            <w:r>
              <w:rPr>
                <w:rFonts w:hint="eastAsia" w:ascii="宋体" w:hAnsi="宋体"/>
                <w:szCs w:val="21"/>
                <w:lang w:val="zh-CN"/>
              </w:rPr>
              <w:t>数据控制，可针对非安全虚拟磁盘数据进入安全虚拟磁盘或安全虚拟磁盘数据拷贝到非安全虚拟磁盘位置时进行敏感检查、审计、禁止、申请等方式进行控制，并且文件出盘形式可进行定义，包含PDF、加密出盘、明文出盘等。（报价人提供</w:t>
            </w:r>
            <w:r>
              <w:rPr>
                <w:rFonts w:hint="eastAsia" w:ascii="宋体" w:hAnsi="宋体"/>
                <w:szCs w:val="21"/>
              </w:rPr>
              <w:t>加盖公章</w:t>
            </w:r>
            <w:r>
              <w:rPr>
                <w:rFonts w:hint="eastAsia" w:ascii="宋体" w:hAnsi="宋体"/>
                <w:szCs w:val="21"/>
                <w:lang w:val="zh-CN"/>
              </w:rPr>
              <w:t>的产品功能界面截图证明）</w:t>
            </w:r>
          </w:p>
        </w:tc>
      </w:tr>
      <w:tr w14:paraId="062A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7DFFCC6A">
            <w:pPr>
              <w:widowControl/>
              <w:numPr>
                <w:ilvl w:val="0"/>
                <w:numId w:val="4"/>
              </w:numPr>
              <w:tabs>
                <w:tab w:val="clear" w:pos="0"/>
              </w:tabs>
              <w:spacing w:line="360" w:lineRule="auto"/>
              <w:jc w:val="center"/>
              <w:rPr>
                <w:rFonts w:ascii="宋体" w:hAnsi="宋体"/>
                <w:bCs/>
                <w:szCs w:val="21"/>
              </w:rPr>
            </w:pPr>
          </w:p>
        </w:tc>
        <w:tc>
          <w:tcPr>
            <w:tcW w:w="924" w:type="pct"/>
            <w:vMerge w:val="continue"/>
            <w:shd w:val="clear" w:color="auto" w:fill="FFFFFF"/>
            <w:noWrap w:val="0"/>
            <w:vAlign w:val="center"/>
          </w:tcPr>
          <w:p w14:paraId="5A088CBD">
            <w:pPr>
              <w:widowControl/>
              <w:spacing w:line="360" w:lineRule="auto"/>
              <w:jc w:val="center"/>
              <w:rPr>
                <w:rFonts w:hint="eastAsia" w:ascii="宋体" w:hAnsi="宋体"/>
                <w:bCs/>
                <w:szCs w:val="21"/>
                <w:lang w:val="zh-CN"/>
              </w:rPr>
            </w:pPr>
          </w:p>
        </w:tc>
        <w:tc>
          <w:tcPr>
            <w:tcW w:w="3669" w:type="pct"/>
            <w:shd w:val="clear" w:color="auto" w:fill="FFFFFF"/>
            <w:noWrap w:val="0"/>
            <w:vAlign w:val="center"/>
          </w:tcPr>
          <w:p w14:paraId="621FEECC">
            <w:pPr>
              <w:widowControl/>
              <w:spacing w:line="360" w:lineRule="auto"/>
              <w:jc w:val="left"/>
              <w:rPr>
                <w:rFonts w:hint="eastAsia" w:ascii="宋体" w:hAnsi="宋体"/>
                <w:szCs w:val="21"/>
              </w:rPr>
            </w:pPr>
            <w:r>
              <w:rPr>
                <w:rFonts w:hint="eastAsia" w:ascii="宋体" w:hAnsi="宋体"/>
                <w:szCs w:val="21"/>
                <w:lang w:val="zh-CN"/>
              </w:rPr>
              <w:t>支持启用显示控制，允许用户设置安全虚拟磁盘显示或隐藏，满足各种不同需求场景下的使用要求。（报价人提供</w:t>
            </w:r>
            <w:r>
              <w:rPr>
                <w:rFonts w:hint="eastAsia" w:ascii="宋体" w:hAnsi="宋体"/>
                <w:szCs w:val="21"/>
              </w:rPr>
              <w:t>加盖公章</w:t>
            </w:r>
            <w:r>
              <w:rPr>
                <w:rFonts w:hint="eastAsia" w:ascii="宋体" w:hAnsi="宋体"/>
                <w:szCs w:val="21"/>
                <w:lang w:val="zh-CN"/>
              </w:rPr>
              <w:t>的产品功能界面截图证明）</w:t>
            </w:r>
          </w:p>
        </w:tc>
      </w:tr>
      <w:tr w14:paraId="4FBD1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67D60478">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326AF338">
            <w:pPr>
              <w:widowControl/>
              <w:spacing w:line="360" w:lineRule="auto"/>
              <w:jc w:val="center"/>
              <w:rPr>
                <w:rFonts w:hint="eastAsia" w:ascii="宋体" w:hAnsi="宋体"/>
                <w:bCs/>
                <w:szCs w:val="21"/>
                <w:lang w:val="zh-CN"/>
              </w:rPr>
            </w:pPr>
            <w:r>
              <w:rPr>
                <w:rFonts w:hint="eastAsia" w:ascii="宋体" w:hAnsi="宋体"/>
                <w:bCs/>
                <w:szCs w:val="21"/>
                <w:lang w:val="zh-CN"/>
              </w:rPr>
              <w:t>软件仓库</w:t>
            </w:r>
          </w:p>
        </w:tc>
        <w:tc>
          <w:tcPr>
            <w:tcW w:w="3669" w:type="pct"/>
            <w:shd w:val="clear" w:color="auto" w:fill="FFFFFF"/>
            <w:noWrap w:val="0"/>
            <w:vAlign w:val="center"/>
          </w:tcPr>
          <w:p w14:paraId="13A8532C">
            <w:pPr>
              <w:widowControl/>
              <w:spacing w:line="360" w:lineRule="auto"/>
              <w:jc w:val="left"/>
              <w:rPr>
                <w:rFonts w:hint="eastAsia" w:ascii="宋体" w:hAnsi="宋体"/>
                <w:szCs w:val="21"/>
                <w:lang w:val="zh-CN"/>
              </w:rPr>
            </w:pPr>
            <w:r>
              <w:rPr>
                <w:rFonts w:hint="eastAsia" w:ascii="宋体" w:hAnsi="宋体"/>
                <w:szCs w:val="21"/>
              </w:rPr>
              <w:t>提供并协助医院建设一个本地化的软件中心，支持云端同步或本地上传方式完善软件中心软件。本地上传可通过Web页面上传软件安装文件，自动获取软件名称、版本等信息，支持自定义软件安装、卸载（交互式卸载、静默卸载）、软件类别、适用平台范围。</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p>
        </w:tc>
      </w:tr>
      <w:tr w14:paraId="61FD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77F8673">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3C4EF03A">
            <w:pPr>
              <w:widowControl/>
              <w:spacing w:line="360" w:lineRule="auto"/>
              <w:jc w:val="center"/>
              <w:rPr>
                <w:rFonts w:hint="eastAsia" w:ascii="宋体" w:hAnsi="宋体"/>
                <w:bCs/>
                <w:szCs w:val="21"/>
                <w:lang w:val="zh-CN"/>
              </w:rPr>
            </w:pPr>
            <w:r>
              <w:rPr>
                <w:rFonts w:hint="eastAsia" w:ascii="宋体" w:hAnsi="宋体"/>
                <w:bCs/>
                <w:szCs w:val="21"/>
                <w:lang w:val="zh-CN"/>
              </w:rPr>
              <w:t>软件发布</w:t>
            </w:r>
          </w:p>
        </w:tc>
        <w:tc>
          <w:tcPr>
            <w:tcW w:w="3669" w:type="pct"/>
            <w:shd w:val="clear" w:color="auto" w:fill="FFFFFF"/>
            <w:noWrap w:val="0"/>
            <w:vAlign w:val="center"/>
          </w:tcPr>
          <w:p w14:paraId="4B42B7DF">
            <w:pPr>
              <w:widowControl/>
              <w:spacing w:line="360" w:lineRule="auto"/>
              <w:jc w:val="left"/>
              <w:rPr>
                <w:rFonts w:hint="eastAsia" w:ascii="宋体" w:hAnsi="宋体"/>
                <w:szCs w:val="21"/>
                <w:lang w:val="zh-CN"/>
              </w:rPr>
            </w:pPr>
            <w:r>
              <w:rPr>
                <w:rFonts w:hint="eastAsia" w:ascii="宋体" w:hAnsi="宋体"/>
                <w:szCs w:val="21"/>
              </w:rPr>
              <w:t>支持针对不同部门发布不同软件，软件上传后，可通过类别快速的发布给指定用户或部门科室。</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p>
        </w:tc>
      </w:tr>
      <w:tr w14:paraId="5E368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28B1FB22">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4CB196BA">
            <w:pPr>
              <w:widowControl/>
              <w:spacing w:line="360" w:lineRule="auto"/>
              <w:jc w:val="center"/>
              <w:rPr>
                <w:rFonts w:hint="eastAsia" w:ascii="宋体" w:hAnsi="宋体" w:eastAsia="宋体"/>
                <w:bCs/>
                <w:szCs w:val="21"/>
                <w:lang w:val="en-US" w:eastAsia="zh-CN"/>
              </w:rPr>
            </w:pPr>
            <w:r>
              <w:rPr>
                <w:rFonts w:hint="eastAsia" w:ascii="宋体" w:hAnsi="宋体"/>
                <w:bCs/>
                <w:szCs w:val="21"/>
                <w:lang w:val="zh-CN"/>
              </w:rPr>
              <w:t>软件</w:t>
            </w:r>
            <w:r>
              <w:rPr>
                <w:rFonts w:hint="eastAsia" w:ascii="宋体" w:hAnsi="宋体"/>
                <w:bCs/>
                <w:szCs w:val="21"/>
                <w:lang w:val="en-US" w:eastAsia="zh-CN"/>
              </w:rPr>
              <w:t>中心</w:t>
            </w:r>
          </w:p>
        </w:tc>
        <w:tc>
          <w:tcPr>
            <w:tcW w:w="3669" w:type="pct"/>
            <w:shd w:val="clear" w:color="auto" w:fill="FFFFFF"/>
            <w:noWrap w:val="0"/>
            <w:vAlign w:val="center"/>
          </w:tcPr>
          <w:p w14:paraId="7FF89167">
            <w:pPr>
              <w:widowControl/>
              <w:spacing w:line="360" w:lineRule="auto"/>
              <w:jc w:val="left"/>
              <w:rPr>
                <w:rFonts w:hint="eastAsia" w:ascii="宋体" w:hAnsi="宋体"/>
                <w:szCs w:val="21"/>
                <w:lang w:val="zh-CN"/>
              </w:rPr>
            </w:pPr>
            <w:r>
              <w:t>为</w:t>
            </w:r>
            <w:r>
              <w:rPr>
                <w:rFonts w:hint="eastAsia"/>
              </w:rPr>
              <w:t>医院</w:t>
            </w:r>
            <w:r>
              <w:t>提供安全可靠的免费软件下载渠道，同时建立免费软件库，</w:t>
            </w:r>
            <w:r>
              <w:rPr>
                <w:rFonts w:hint="eastAsia"/>
              </w:rPr>
              <w:t>需</w:t>
            </w:r>
            <w:r>
              <w:rPr>
                <w:rFonts w:hint="eastAsia" w:hAnsi="宋体"/>
              </w:rPr>
              <w:t>提供云软件安全下载服务，提供至少10大类、1000+个开源免费软件下载，免费软件库支持每周自动更新，免费软件库内软件具备安全无毒、严格许可协议审核机制，减少勒索病毒入侵风险，减少知识版权纠纷，提高运维效率，降低运营成本。</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的承诺函）</w:t>
            </w:r>
          </w:p>
        </w:tc>
      </w:tr>
      <w:tr w14:paraId="62EE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6CA24E70">
            <w:pPr>
              <w:widowControl/>
              <w:numPr>
                <w:ilvl w:val="0"/>
                <w:numId w:val="4"/>
              </w:numPr>
              <w:tabs>
                <w:tab w:val="clear" w:pos="0"/>
              </w:tabs>
              <w:spacing w:line="360" w:lineRule="auto"/>
              <w:jc w:val="center"/>
              <w:rPr>
                <w:rFonts w:ascii="宋体" w:hAnsi="宋体"/>
                <w:bCs/>
                <w:szCs w:val="21"/>
              </w:rPr>
            </w:pPr>
          </w:p>
        </w:tc>
        <w:tc>
          <w:tcPr>
            <w:tcW w:w="924" w:type="pct"/>
            <w:noWrap w:val="0"/>
            <w:vAlign w:val="center"/>
          </w:tcPr>
          <w:p w14:paraId="36FEE371">
            <w:pPr>
              <w:widowControl/>
              <w:spacing w:line="360" w:lineRule="auto"/>
              <w:jc w:val="center"/>
              <w:rPr>
                <w:rFonts w:hint="eastAsia" w:ascii="宋体" w:hAnsi="宋体"/>
                <w:bCs/>
                <w:szCs w:val="21"/>
              </w:rPr>
            </w:pPr>
            <w:r>
              <w:rPr>
                <w:rFonts w:hint="eastAsia" w:ascii="宋体" w:hAnsi="宋体"/>
                <w:bCs/>
                <w:szCs w:val="21"/>
                <w:lang w:val="zh-CN"/>
              </w:rPr>
              <w:t>非法外联控制</w:t>
            </w:r>
          </w:p>
        </w:tc>
        <w:tc>
          <w:tcPr>
            <w:tcW w:w="3669" w:type="pct"/>
            <w:noWrap w:val="0"/>
            <w:vAlign w:val="center"/>
          </w:tcPr>
          <w:p w14:paraId="662995F5">
            <w:pPr>
              <w:widowControl/>
              <w:spacing w:line="360" w:lineRule="auto"/>
              <w:jc w:val="left"/>
              <w:rPr>
                <w:rFonts w:hint="eastAsia" w:ascii="宋体" w:hAnsi="宋体"/>
                <w:szCs w:val="21"/>
              </w:rPr>
            </w:pPr>
            <w:r>
              <w:rPr>
                <w:rFonts w:hint="eastAsia" w:ascii="宋体" w:hAnsi="宋体"/>
                <w:szCs w:val="21"/>
              </w:rPr>
              <w:t>支持Windows终端设备的外联接口进行安全管控，包括但不限于红外、蓝牙、软盘、光盘、串口、并口、网络接口、USB接口以及其他外联设备。</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p>
        </w:tc>
      </w:tr>
      <w:tr w14:paraId="47A52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F2FF4D9">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313F8C3C">
            <w:pPr>
              <w:widowControl/>
              <w:spacing w:line="360" w:lineRule="auto"/>
              <w:jc w:val="center"/>
              <w:rPr>
                <w:rFonts w:ascii="宋体" w:hAnsi="宋体"/>
                <w:bCs/>
                <w:szCs w:val="21"/>
              </w:rPr>
            </w:pPr>
            <w:r>
              <w:rPr>
                <w:rFonts w:hint="eastAsia" w:ascii="宋体" w:hAnsi="宋体"/>
                <w:bCs/>
                <w:szCs w:val="21"/>
                <w:lang w:val="zh-CN"/>
              </w:rPr>
              <w:t>非授权外联硬件管理</w:t>
            </w:r>
          </w:p>
        </w:tc>
        <w:tc>
          <w:tcPr>
            <w:tcW w:w="3669" w:type="pct"/>
            <w:shd w:val="clear" w:color="auto" w:fill="FFFFFF"/>
            <w:noWrap w:val="0"/>
            <w:vAlign w:val="center"/>
          </w:tcPr>
          <w:p w14:paraId="3264EE0F">
            <w:pPr>
              <w:widowControl/>
              <w:spacing w:line="360" w:lineRule="auto"/>
              <w:jc w:val="left"/>
              <w:rPr>
                <w:rFonts w:hint="eastAsia" w:ascii="宋体" w:hAnsi="宋体"/>
                <w:szCs w:val="21"/>
                <w:lang w:val="zh-CN"/>
              </w:rPr>
            </w:pPr>
            <w:r>
              <w:rPr>
                <w:rFonts w:hint="eastAsia" w:ascii="宋体" w:hAnsi="宋体"/>
                <w:szCs w:val="21"/>
              </w:rPr>
              <w:t>针对特殊硬件外设，产品支持基于设备GUID、设备实例路径、显示名称、设备服务名等进行某一类设备进行管控，包括审计与禁止。</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p>
        </w:tc>
      </w:tr>
      <w:tr w14:paraId="1567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85E01C9">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7A5106D4">
            <w:pPr>
              <w:widowControl/>
              <w:spacing w:line="360" w:lineRule="auto"/>
              <w:jc w:val="center"/>
              <w:rPr>
                <w:rFonts w:ascii="宋体" w:hAnsi="宋体"/>
                <w:bCs/>
                <w:szCs w:val="21"/>
              </w:rPr>
            </w:pPr>
            <w:r>
              <w:rPr>
                <w:rFonts w:hint="eastAsia" w:ascii="宋体" w:hAnsi="宋体"/>
                <w:bCs/>
                <w:szCs w:val="21"/>
                <w:lang w:val="zh-CN"/>
              </w:rPr>
              <w:t>非授权外联网络连接审计与控制</w:t>
            </w:r>
          </w:p>
        </w:tc>
        <w:tc>
          <w:tcPr>
            <w:tcW w:w="3669" w:type="pct"/>
            <w:shd w:val="clear" w:color="auto" w:fill="FFFFFF"/>
            <w:noWrap w:val="0"/>
            <w:vAlign w:val="center"/>
          </w:tcPr>
          <w:p w14:paraId="0269478F">
            <w:pPr>
              <w:widowControl/>
              <w:spacing w:line="360" w:lineRule="auto"/>
              <w:jc w:val="left"/>
              <w:rPr>
                <w:rFonts w:hint="eastAsia" w:ascii="宋体" w:hAnsi="宋体"/>
                <w:szCs w:val="21"/>
                <w:lang w:val="zh-CN"/>
              </w:rPr>
            </w:pPr>
            <w:r>
              <w:rPr>
                <w:rFonts w:hint="eastAsia" w:ascii="宋体" w:hAnsi="宋体"/>
                <w:szCs w:val="21"/>
              </w:rPr>
              <w:t>支持通过PING/TCP/HTTP等方式检测终端是否与互联网连通、检测终端是否与其他网络连通（含电脑直连方式）、检测终端是否与特定网络连通；支持禁用网卡处置；阻断网络直到事件恢复或必须由管理员恢复；锁屏，必须由管理员恢复。</w:t>
            </w:r>
            <w:r>
              <w:rPr>
                <w:rFonts w:hint="eastAsia" w:ascii="宋体" w:hAnsi="宋体"/>
                <w:szCs w:val="21"/>
                <w:lang w:val="zh-CN"/>
              </w:rPr>
              <w:t>（报价人提供</w:t>
            </w:r>
            <w:r>
              <w:rPr>
                <w:rFonts w:hint="eastAsia" w:ascii="宋体" w:hAnsi="宋体"/>
                <w:szCs w:val="21"/>
              </w:rPr>
              <w:t>加盖公章</w:t>
            </w:r>
            <w:r>
              <w:rPr>
                <w:rFonts w:hint="eastAsia" w:ascii="宋体" w:hAnsi="宋体"/>
                <w:szCs w:val="21"/>
                <w:lang w:val="zh-CN"/>
              </w:rPr>
              <w:t>的产品功能界面截图证明）</w:t>
            </w:r>
          </w:p>
        </w:tc>
      </w:tr>
      <w:tr w14:paraId="57885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top"/>
          </w:tcPr>
          <w:p w14:paraId="3C6EA950">
            <w:pPr>
              <w:widowControl/>
              <w:numPr>
                <w:ilvl w:val="0"/>
                <w:numId w:val="4"/>
              </w:numPr>
              <w:tabs>
                <w:tab w:val="clear" w:pos="0"/>
              </w:tabs>
              <w:spacing w:line="360" w:lineRule="auto"/>
              <w:jc w:val="center"/>
              <w:rPr>
                <w:rFonts w:ascii="宋体" w:hAnsi="宋体"/>
                <w:bCs/>
                <w:szCs w:val="21"/>
              </w:rPr>
            </w:pPr>
          </w:p>
        </w:tc>
        <w:tc>
          <w:tcPr>
            <w:tcW w:w="924" w:type="pct"/>
            <w:shd w:val="clear" w:color="auto" w:fill="FFFFFF"/>
            <w:noWrap w:val="0"/>
            <w:vAlign w:val="center"/>
          </w:tcPr>
          <w:p w14:paraId="3741CE87">
            <w:pPr>
              <w:widowControl/>
              <w:spacing w:line="360" w:lineRule="auto"/>
              <w:jc w:val="center"/>
              <w:rPr>
                <w:rFonts w:hint="eastAsia" w:ascii="宋体" w:hAnsi="宋体"/>
                <w:bCs/>
                <w:szCs w:val="21"/>
                <w:lang w:val="zh-CN"/>
              </w:rPr>
            </w:pPr>
            <w:r>
              <w:rPr>
                <w:rFonts w:hint="eastAsia" w:ascii="宋体" w:hAnsi="宋体"/>
                <w:bCs/>
                <w:szCs w:val="21"/>
                <w:lang w:val="zh-CN"/>
              </w:rPr>
              <w:t>质保要求</w:t>
            </w:r>
          </w:p>
        </w:tc>
        <w:tc>
          <w:tcPr>
            <w:tcW w:w="3669" w:type="pct"/>
            <w:shd w:val="clear" w:color="auto" w:fill="FFFFFF"/>
            <w:noWrap w:val="0"/>
            <w:vAlign w:val="top"/>
          </w:tcPr>
          <w:p w14:paraId="4C5792EC">
            <w:pPr>
              <w:autoSpaceDE w:val="0"/>
              <w:autoSpaceDN w:val="0"/>
              <w:adjustRightInd w:val="0"/>
              <w:spacing w:line="360" w:lineRule="auto"/>
              <w:rPr>
                <w:rFonts w:hint="eastAsia" w:ascii="宋体" w:hAnsi="宋体" w:cs="宋体"/>
                <w:szCs w:val="21"/>
                <w:lang w:val="zh-CN"/>
              </w:rPr>
            </w:pPr>
            <w:r>
              <w:rPr>
                <w:rFonts w:hint="eastAsia" w:ascii="宋体" w:hAnsi="宋体" w:cs="宋体"/>
                <w:kern w:val="0"/>
              </w:rPr>
              <w:t>提供3年的软硬件维保（</w:t>
            </w:r>
            <w:r>
              <w:rPr>
                <w:rFonts w:hint="eastAsia" w:ascii="宋体" w:hAnsi="宋体" w:cs="宋体"/>
                <w:kern w:val="0"/>
                <w:lang w:eastAsia="zh-CN"/>
              </w:rPr>
              <w:t>报价人</w:t>
            </w:r>
            <w:r>
              <w:rPr>
                <w:rFonts w:hint="eastAsia" w:ascii="宋体" w:hAnsi="宋体" w:cs="宋体"/>
                <w:kern w:val="0"/>
              </w:rPr>
              <w:t>提供加盖公章的售后服务承诺函）</w:t>
            </w:r>
          </w:p>
        </w:tc>
      </w:tr>
    </w:tbl>
    <w:p w14:paraId="4D8AA9AC"/>
    <w:p w14:paraId="152575AD">
      <w:pPr>
        <w:pStyle w:val="3"/>
        <w:rPr>
          <w:rFonts w:hint="eastAsia"/>
        </w:rPr>
      </w:pPr>
      <w:r>
        <w:rPr>
          <w:rFonts w:hint="eastAsia"/>
        </w:rPr>
        <w:t>动态地址及域名管理管理</w:t>
      </w:r>
      <w:r>
        <w:rPr>
          <w:rFonts w:hint="eastAsia"/>
          <w:lang w:val="en-US" w:eastAsia="zh-CN"/>
        </w:rPr>
        <w:t>设备</w:t>
      </w:r>
    </w:p>
    <w:tbl>
      <w:tblPr>
        <w:tblStyle w:val="20"/>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715"/>
        <w:gridCol w:w="6810"/>
      </w:tblGrid>
      <w:tr w14:paraId="5916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4716FC57">
            <w:pPr>
              <w:widowControl/>
              <w:spacing w:line="360" w:lineRule="auto"/>
              <w:jc w:val="center"/>
              <w:rPr>
                <w:rFonts w:hint="eastAsia" w:ascii="宋体" w:hAnsi="宋体" w:cs="宋体"/>
                <w:b/>
                <w:bCs/>
                <w:szCs w:val="21"/>
              </w:rPr>
            </w:pPr>
            <w:r>
              <w:rPr>
                <w:rFonts w:hint="eastAsia" w:ascii="宋体" w:hAnsi="宋体" w:cs="宋体"/>
                <w:b/>
                <w:bCs/>
                <w:szCs w:val="21"/>
              </w:rPr>
              <w:t>序号</w:t>
            </w:r>
          </w:p>
        </w:tc>
        <w:tc>
          <w:tcPr>
            <w:tcW w:w="924" w:type="pct"/>
            <w:noWrap w:val="0"/>
            <w:vAlign w:val="center"/>
          </w:tcPr>
          <w:p w14:paraId="33C9BA03">
            <w:pPr>
              <w:widowControl/>
              <w:spacing w:line="360" w:lineRule="auto"/>
              <w:jc w:val="center"/>
              <w:rPr>
                <w:rFonts w:hint="eastAsia" w:ascii="宋体" w:hAnsi="宋体" w:cs="宋体"/>
                <w:b/>
                <w:bCs/>
                <w:szCs w:val="21"/>
              </w:rPr>
            </w:pPr>
            <w:r>
              <w:rPr>
                <w:rFonts w:hint="eastAsia" w:ascii="宋体" w:hAnsi="宋体" w:cs="宋体"/>
                <w:b/>
                <w:bCs/>
                <w:szCs w:val="21"/>
              </w:rPr>
              <w:t>功能、性能指标</w:t>
            </w:r>
          </w:p>
        </w:tc>
        <w:tc>
          <w:tcPr>
            <w:tcW w:w="3669" w:type="pct"/>
            <w:noWrap w:val="0"/>
            <w:vAlign w:val="center"/>
          </w:tcPr>
          <w:p w14:paraId="7904F040">
            <w:pPr>
              <w:widowControl/>
              <w:spacing w:line="360" w:lineRule="auto"/>
              <w:jc w:val="center"/>
              <w:rPr>
                <w:rFonts w:ascii="宋体" w:hAnsi="宋体" w:cs="宋体"/>
                <w:b/>
                <w:bCs/>
                <w:szCs w:val="21"/>
              </w:rPr>
            </w:pPr>
            <w:r>
              <w:rPr>
                <w:rFonts w:hint="eastAsia" w:ascii="宋体" w:hAnsi="宋体" w:cs="宋体"/>
                <w:b/>
                <w:bCs/>
                <w:szCs w:val="21"/>
              </w:rPr>
              <w:t>技术指标要求</w:t>
            </w:r>
          </w:p>
        </w:tc>
      </w:tr>
      <w:tr w14:paraId="084C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noWrap w:val="0"/>
            <w:vAlign w:val="center"/>
          </w:tcPr>
          <w:p w14:paraId="59640A82">
            <w:pPr>
              <w:widowControl/>
              <w:numPr>
                <w:ilvl w:val="0"/>
                <w:numId w:val="5"/>
              </w:numPr>
              <w:spacing w:line="360" w:lineRule="auto"/>
              <w:jc w:val="center"/>
              <w:rPr>
                <w:rFonts w:ascii="宋体" w:hAnsi="宋体"/>
                <w:bCs/>
                <w:szCs w:val="21"/>
              </w:rPr>
            </w:pPr>
          </w:p>
        </w:tc>
        <w:tc>
          <w:tcPr>
            <w:tcW w:w="924" w:type="pct"/>
            <w:noWrap w:val="0"/>
            <w:vAlign w:val="center"/>
          </w:tcPr>
          <w:p w14:paraId="20466A00">
            <w:pPr>
              <w:widowControl/>
              <w:spacing w:line="360" w:lineRule="auto"/>
              <w:jc w:val="center"/>
              <w:rPr>
                <w:rFonts w:hint="eastAsia" w:ascii="宋体" w:hAnsi="宋体"/>
                <w:bCs/>
                <w:szCs w:val="21"/>
              </w:rPr>
            </w:pPr>
            <w:r>
              <w:rPr>
                <w:rFonts w:hint="eastAsia" w:ascii="宋体" w:hAnsi="宋体"/>
                <w:bCs/>
                <w:szCs w:val="21"/>
              </w:rPr>
              <w:t>硬件性能要求</w:t>
            </w:r>
          </w:p>
        </w:tc>
        <w:tc>
          <w:tcPr>
            <w:tcW w:w="3669" w:type="pct"/>
            <w:noWrap w:val="0"/>
            <w:vAlign w:val="center"/>
          </w:tcPr>
          <w:p w14:paraId="11FFC137">
            <w:pPr>
              <w:autoSpaceDE w:val="0"/>
              <w:autoSpaceDN w:val="0"/>
              <w:adjustRightInd w:val="0"/>
              <w:spacing w:line="360" w:lineRule="auto"/>
              <w:rPr>
                <w:rFonts w:hint="eastAsia" w:ascii="宋体" w:hAnsi="宋体" w:cs="宋体"/>
                <w:kern w:val="0"/>
              </w:rPr>
            </w:pPr>
            <w:r>
              <w:rPr>
                <w:rFonts w:hint="eastAsia" w:ascii="宋体" w:hAnsi="宋体" w:cs="宋体"/>
                <w:kern w:val="0"/>
              </w:rPr>
              <w:t>一体化软硬件国产平台，运行内存≥16G，运行内存≥16G，硬盘容量≥1T；千兆电口≥8个；冗余电源。</w:t>
            </w:r>
            <w:r>
              <w:rPr>
                <w:rFonts w:hint="eastAsia" w:ascii="宋体" w:hAnsi="宋体" w:cs="宋体"/>
                <w:kern w:val="0"/>
                <w:lang w:val="zh-CN"/>
              </w:rPr>
              <w:t>单台设备LPS（每秒可分配的地址数）</w:t>
            </w:r>
            <w:r>
              <w:rPr>
                <w:rFonts w:hint="eastAsia" w:ascii="宋体" w:hAnsi="宋体" w:cs="宋体"/>
                <w:kern w:val="0"/>
              </w:rPr>
              <w:t>≥</w:t>
            </w:r>
            <w:r>
              <w:rPr>
                <w:rFonts w:hint="eastAsia" w:ascii="宋体" w:hAnsi="宋体" w:cs="宋体"/>
                <w:kern w:val="0"/>
                <w:lang w:val="zh-CN"/>
              </w:rPr>
              <w:t>500，且不需要配置独立的日志生成设备</w:t>
            </w:r>
            <w:r>
              <w:rPr>
                <w:rFonts w:hint="eastAsia" w:ascii="宋体" w:hAnsi="宋体" w:cs="宋体"/>
                <w:kern w:val="0"/>
              </w:rPr>
              <w:t>。</w:t>
            </w:r>
            <w:r>
              <w:rPr>
                <w:rFonts w:hint="eastAsia" w:ascii="宋体" w:hAnsi="宋体" w:cs="宋体"/>
                <w:kern w:val="0"/>
                <w:lang w:val="en-US" w:eastAsia="zh-CN"/>
              </w:rPr>
              <w:t>提供DHCP动态地址管理功能模块授权域名管理功能模块，满足外网上网域名地址解析要求。动态地址管理功能授权及域名管理功能授权包括三年软件升级服务。</w:t>
            </w:r>
            <w:r>
              <w:rPr>
                <w:rFonts w:hint="eastAsia" w:ascii="宋体" w:hAnsi="宋体" w:cs="宋体"/>
                <w:kern w:val="0"/>
                <w:lang w:val="zh-CN"/>
              </w:rPr>
              <w:t>（</w:t>
            </w:r>
            <w:r>
              <w:rPr>
                <w:rFonts w:hint="eastAsia" w:ascii="宋体" w:hAnsi="宋体" w:cs="宋体"/>
                <w:kern w:val="0"/>
                <w:lang w:eastAsia="zh-CN"/>
              </w:rPr>
              <w:t>报价人</w:t>
            </w:r>
            <w:r>
              <w:rPr>
                <w:rFonts w:hint="eastAsia" w:ascii="宋体" w:hAnsi="宋体" w:cs="宋体"/>
                <w:kern w:val="0"/>
                <w:lang w:val="zh-CN"/>
              </w:rPr>
              <w:t>提供</w:t>
            </w:r>
            <w:r>
              <w:rPr>
                <w:rFonts w:hint="eastAsia" w:ascii="宋体" w:hAnsi="宋体" w:cs="宋体"/>
                <w:kern w:val="0"/>
              </w:rPr>
              <w:t>加盖公章</w:t>
            </w:r>
            <w:r>
              <w:rPr>
                <w:rFonts w:hint="eastAsia" w:ascii="宋体" w:hAnsi="宋体" w:cs="宋体"/>
                <w:kern w:val="0"/>
                <w:lang w:val="zh-CN"/>
              </w:rPr>
              <w:t>的承诺函）</w:t>
            </w:r>
          </w:p>
        </w:tc>
      </w:tr>
      <w:tr w14:paraId="10E02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6AFF9C4">
            <w:pPr>
              <w:widowControl/>
              <w:numPr>
                <w:ilvl w:val="0"/>
                <w:numId w:val="5"/>
              </w:numPr>
              <w:spacing w:line="360" w:lineRule="auto"/>
              <w:jc w:val="center"/>
              <w:rPr>
                <w:rFonts w:ascii="宋体" w:hAnsi="宋体"/>
                <w:bCs/>
                <w:szCs w:val="21"/>
              </w:rPr>
            </w:pPr>
          </w:p>
        </w:tc>
        <w:tc>
          <w:tcPr>
            <w:tcW w:w="924" w:type="pct"/>
            <w:shd w:val="clear" w:color="auto" w:fill="FFFFFF"/>
            <w:noWrap w:val="0"/>
            <w:vAlign w:val="center"/>
          </w:tcPr>
          <w:p w14:paraId="4B18E406">
            <w:pPr>
              <w:widowControl/>
              <w:spacing w:line="360" w:lineRule="auto"/>
              <w:jc w:val="center"/>
              <w:rPr>
                <w:rFonts w:ascii="宋体" w:hAnsi="宋体"/>
                <w:bCs/>
                <w:szCs w:val="21"/>
              </w:rPr>
            </w:pPr>
            <w:r>
              <w:rPr>
                <w:rFonts w:hint="eastAsia" w:ascii="宋体" w:hAnsi="宋体"/>
                <w:bCs/>
                <w:szCs w:val="21"/>
              </w:rPr>
              <w:t>兼容性</w:t>
            </w:r>
          </w:p>
        </w:tc>
        <w:tc>
          <w:tcPr>
            <w:tcW w:w="3669" w:type="pct"/>
            <w:noWrap w:val="0"/>
            <w:vAlign w:val="center"/>
          </w:tcPr>
          <w:p w14:paraId="51BF7F5A">
            <w:pPr>
              <w:autoSpaceDE w:val="0"/>
              <w:autoSpaceDN w:val="0"/>
              <w:adjustRightInd w:val="0"/>
              <w:spacing w:line="360" w:lineRule="auto"/>
              <w:rPr>
                <w:rFonts w:ascii="宋体" w:hAnsi="宋体" w:cs="宋体"/>
                <w:kern w:val="0"/>
              </w:rPr>
            </w:pPr>
            <w:r>
              <w:rPr>
                <w:rFonts w:hint="eastAsia" w:ascii="宋体" w:hAnsi="宋体" w:cs="宋体"/>
                <w:kern w:val="0"/>
              </w:rPr>
              <w:t>支持 DHCP、IPAM 、域名等协议的双向数据同步及设备故障自动切换，确保地址分配、域名解析等业务数据的一致性。</w:t>
            </w:r>
          </w:p>
        </w:tc>
      </w:tr>
      <w:tr w14:paraId="58159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DF56101">
            <w:pPr>
              <w:widowControl/>
              <w:numPr>
                <w:ilvl w:val="0"/>
                <w:numId w:val="5"/>
              </w:numPr>
              <w:spacing w:line="360" w:lineRule="auto"/>
              <w:jc w:val="center"/>
              <w:rPr>
                <w:rFonts w:ascii="宋体" w:hAnsi="宋体"/>
                <w:bCs/>
                <w:szCs w:val="21"/>
              </w:rPr>
            </w:pPr>
          </w:p>
        </w:tc>
        <w:tc>
          <w:tcPr>
            <w:tcW w:w="924" w:type="pct"/>
            <w:vMerge w:val="restart"/>
            <w:shd w:val="clear" w:color="auto" w:fill="FFFFFF"/>
            <w:noWrap w:val="0"/>
            <w:vAlign w:val="center"/>
          </w:tcPr>
          <w:p w14:paraId="0AD92213">
            <w:pPr>
              <w:widowControl/>
              <w:spacing w:line="360" w:lineRule="auto"/>
              <w:jc w:val="center"/>
              <w:rPr>
                <w:rFonts w:ascii="宋体" w:hAnsi="宋体"/>
                <w:bCs/>
                <w:szCs w:val="21"/>
              </w:rPr>
            </w:pPr>
            <w:r>
              <w:rPr>
                <w:rFonts w:hint="eastAsia" w:ascii="宋体" w:hAnsi="宋体"/>
                <w:bCs/>
                <w:szCs w:val="21"/>
              </w:rPr>
              <w:t>运维管理</w:t>
            </w:r>
          </w:p>
        </w:tc>
        <w:tc>
          <w:tcPr>
            <w:tcW w:w="3669" w:type="pct"/>
            <w:noWrap w:val="0"/>
            <w:vAlign w:val="center"/>
          </w:tcPr>
          <w:p w14:paraId="75EAA032">
            <w:pPr>
              <w:autoSpaceDE w:val="0"/>
              <w:autoSpaceDN w:val="0"/>
              <w:adjustRightInd w:val="0"/>
              <w:spacing w:line="360" w:lineRule="auto"/>
              <w:rPr>
                <w:rFonts w:hint="eastAsia" w:ascii="宋体" w:hAnsi="宋体" w:cs="宋体"/>
                <w:kern w:val="0"/>
                <w:lang w:eastAsia="zh-Hans"/>
              </w:rPr>
            </w:pPr>
            <w:r>
              <w:rPr>
                <w:rFonts w:hint="eastAsia" w:ascii="宋体" w:hAnsi="宋体" w:cs="宋体"/>
                <w:kern w:val="0"/>
              </w:rPr>
              <w:t>采用WEB HTTPS全中文化操作界面</w:t>
            </w:r>
            <w:r>
              <w:rPr>
                <w:rFonts w:hint="eastAsia" w:ascii="宋体" w:hAnsi="宋体" w:cs="宋体"/>
                <w:kern w:val="0"/>
                <w:lang w:eastAsia="zh-Hans"/>
              </w:rPr>
              <w:t>，</w:t>
            </w:r>
            <w:r>
              <w:rPr>
                <w:rFonts w:ascii="宋体" w:hAnsi="宋体" w:cs="宋体"/>
                <w:kern w:val="0"/>
              </w:rPr>
              <w:t>支持通过Web前台查看集群内所有节点的设备型号、序列号、识别码、内存大小、磁盘数量/容量、RAID级别、RAID磁盘总数、CPU主频/内核/线程数量、电口/光口信息；内存、磁盘、扩展卡等扩容结果可以直接查看，无需进行人为手动数据注入操作；硬件资源如CPU、内存使用率状态需动态展示，无需手动点击刷新。</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753C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0963A79">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3B4D1F7E">
            <w:pPr>
              <w:widowControl/>
              <w:spacing w:line="360" w:lineRule="auto"/>
              <w:jc w:val="center"/>
              <w:rPr>
                <w:rFonts w:hint="eastAsia" w:ascii="宋体" w:hAnsi="宋体"/>
                <w:bCs/>
                <w:szCs w:val="21"/>
              </w:rPr>
            </w:pPr>
          </w:p>
        </w:tc>
        <w:tc>
          <w:tcPr>
            <w:tcW w:w="3669" w:type="pct"/>
            <w:noWrap w:val="0"/>
            <w:vAlign w:val="center"/>
          </w:tcPr>
          <w:p w14:paraId="128E2622">
            <w:pPr>
              <w:autoSpaceDE w:val="0"/>
              <w:autoSpaceDN w:val="0"/>
              <w:adjustRightInd w:val="0"/>
              <w:spacing w:line="360" w:lineRule="auto"/>
              <w:rPr>
                <w:rFonts w:hint="eastAsia" w:ascii="宋体" w:hAnsi="宋体" w:cs="宋体"/>
                <w:kern w:val="0"/>
              </w:rPr>
            </w:pPr>
            <w:r>
              <w:rPr>
                <w:rFonts w:hint="eastAsia" w:ascii="宋体" w:hAnsi="宋体" w:cs="宋体"/>
                <w:kern w:val="0"/>
              </w:rPr>
              <w:t>支持Web界面查看解析日志详细信息，日志信息包括但不限于：查询时间、客户端源IP、客户端使用的源端口、查询的域名、查询域名记录类型及解析状态(NOERROR /NXDOMAIN /SERVFAIL)、解析结果、解析延迟(精确到微秒)。（</w:t>
            </w:r>
            <w:r>
              <w:rPr>
                <w:rFonts w:hint="eastAsia" w:ascii="宋体" w:hAnsi="宋体" w:cs="宋体"/>
                <w:kern w:val="0"/>
                <w:lang w:val="zh-CN"/>
              </w:rPr>
              <w:t>报价人提供</w:t>
            </w:r>
            <w:r>
              <w:rPr>
                <w:rFonts w:hint="eastAsia" w:ascii="宋体" w:hAnsi="宋体" w:cs="宋体"/>
                <w:kern w:val="0"/>
              </w:rPr>
              <w:t>第三方机构</w:t>
            </w:r>
            <w:r>
              <w:rPr>
                <w:rFonts w:hint="eastAsia" w:ascii="宋体" w:hAnsi="宋体" w:cs="宋体"/>
                <w:kern w:val="0"/>
                <w:lang w:val="en-US" w:eastAsia="zh-CN"/>
              </w:rPr>
              <w:t>出</w:t>
            </w:r>
            <w:r>
              <w:rPr>
                <w:rFonts w:hint="eastAsia" w:ascii="宋体" w:hAnsi="宋体" w:cs="宋体"/>
                <w:kern w:val="0"/>
              </w:rPr>
              <w:t>具</w:t>
            </w:r>
            <w:r>
              <w:rPr>
                <w:rFonts w:hint="eastAsia" w:ascii="宋体" w:hAnsi="宋体" w:cs="宋体"/>
                <w:kern w:val="0"/>
                <w:lang w:val="en-US" w:eastAsia="zh-CN"/>
              </w:rPr>
              <w:t>的有</w:t>
            </w:r>
            <w:r>
              <w:rPr>
                <w:rFonts w:hint="eastAsia" w:ascii="宋体" w:hAnsi="宋体" w:cs="宋体"/>
                <w:kern w:val="0"/>
              </w:rPr>
              <w:t>CMA或CAL或CNAS印章的检测报告复印件</w:t>
            </w:r>
            <w:r>
              <w:rPr>
                <w:rFonts w:hint="eastAsia" w:ascii="宋体" w:hAnsi="宋体" w:cs="宋体"/>
                <w:kern w:val="0"/>
                <w:lang w:val="en-US" w:eastAsia="zh-CN"/>
              </w:rPr>
              <w:t>证明</w:t>
            </w:r>
            <w:r>
              <w:rPr>
                <w:rFonts w:hint="eastAsia" w:ascii="宋体" w:hAnsi="宋体" w:cs="宋体"/>
                <w:kern w:val="0"/>
                <w:lang w:val="zh-CN"/>
              </w:rPr>
              <w:t>）</w:t>
            </w:r>
          </w:p>
        </w:tc>
      </w:tr>
      <w:tr w14:paraId="4300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8C908D8">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0D05B58F">
            <w:pPr>
              <w:widowControl/>
              <w:spacing w:line="360" w:lineRule="auto"/>
              <w:jc w:val="center"/>
              <w:rPr>
                <w:rFonts w:hint="eastAsia" w:ascii="宋体" w:hAnsi="宋体"/>
                <w:bCs/>
                <w:szCs w:val="21"/>
                <w:lang w:val="zh-CN"/>
              </w:rPr>
            </w:pPr>
          </w:p>
        </w:tc>
        <w:tc>
          <w:tcPr>
            <w:tcW w:w="3669" w:type="pct"/>
            <w:noWrap w:val="0"/>
            <w:vAlign w:val="center"/>
          </w:tcPr>
          <w:p w14:paraId="23626F0E">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支持设置告警阀值。支持告警信息设置，包括但不限于HA状态等告警信息的设置。支持邮件告警、回调告警、SNMP告警、syslog告警、短信告警及声音告警。告警记录内容包括但不限于告警时间，节点名称及IP、告警事件原因等信息。（</w:t>
            </w:r>
            <w:r>
              <w:rPr>
                <w:rFonts w:hint="eastAsia" w:ascii="宋体" w:hAnsi="宋体" w:cs="宋体"/>
                <w:kern w:val="0"/>
                <w:lang w:val="zh-CN"/>
              </w:rPr>
              <w:t>报价人提供</w:t>
            </w:r>
            <w:r>
              <w:rPr>
                <w:rFonts w:hint="eastAsia" w:ascii="宋体" w:hAnsi="宋体" w:cs="宋体"/>
                <w:kern w:val="0"/>
              </w:rPr>
              <w:t>第三方机构</w:t>
            </w:r>
            <w:r>
              <w:rPr>
                <w:rFonts w:hint="eastAsia" w:ascii="宋体" w:hAnsi="宋体" w:cs="宋体"/>
                <w:kern w:val="0"/>
                <w:lang w:val="en-US" w:eastAsia="zh-CN"/>
              </w:rPr>
              <w:t>出</w:t>
            </w:r>
            <w:r>
              <w:rPr>
                <w:rFonts w:hint="eastAsia" w:ascii="宋体" w:hAnsi="宋体" w:cs="宋体"/>
                <w:kern w:val="0"/>
              </w:rPr>
              <w:t>具</w:t>
            </w:r>
            <w:r>
              <w:rPr>
                <w:rFonts w:hint="eastAsia" w:ascii="宋体" w:hAnsi="宋体" w:cs="宋体"/>
                <w:kern w:val="0"/>
                <w:lang w:val="en-US" w:eastAsia="zh-CN"/>
              </w:rPr>
              <w:t>的有</w:t>
            </w:r>
            <w:r>
              <w:rPr>
                <w:rFonts w:hint="eastAsia" w:ascii="宋体" w:hAnsi="宋体" w:cs="宋体"/>
                <w:kern w:val="0"/>
              </w:rPr>
              <w:t>CMA或CAL或CNAS印章的检测报告复印件</w:t>
            </w:r>
            <w:r>
              <w:rPr>
                <w:rFonts w:hint="eastAsia" w:ascii="宋体" w:hAnsi="宋体" w:cs="宋体"/>
                <w:kern w:val="0"/>
                <w:lang w:val="en-US" w:eastAsia="zh-CN"/>
              </w:rPr>
              <w:t>证明</w:t>
            </w:r>
            <w:r>
              <w:rPr>
                <w:rFonts w:hint="eastAsia" w:ascii="宋体" w:hAnsi="宋体" w:cs="宋体"/>
                <w:kern w:val="0"/>
                <w:lang w:val="zh-CN"/>
              </w:rPr>
              <w:t>）</w:t>
            </w:r>
          </w:p>
        </w:tc>
      </w:tr>
      <w:tr w14:paraId="26263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2B3C5A0">
            <w:pPr>
              <w:widowControl/>
              <w:numPr>
                <w:ilvl w:val="0"/>
                <w:numId w:val="5"/>
              </w:numPr>
              <w:spacing w:line="360" w:lineRule="auto"/>
              <w:jc w:val="center"/>
              <w:rPr>
                <w:rFonts w:hint="eastAsia" w:ascii="宋体" w:hAnsi="宋体"/>
                <w:bCs/>
                <w:szCs w:val="21"/>
              </w:rPr>
            </w:pPr>
          </w:p>
        </w:tc>
        <w:tc>
          <w:tcPr>
            <w:tcW w:w="924" w:type="pct"/>
            <w:vMerge w:val="restart"/>
            <w:shd w:val="clear" w:color="auto" w:fill="FFFFFF"/>
            <w:noWrap w:val="0"/>
            <w:vAlign w:val="center"/>
          </w:tcPr>
          <w:p w14:paraId="69E55712">
            <w:pPr>
              <w:widowControl/>
              <w:spacing w:line="360" w:lineRule="auto"/>
              <w:jc w:val="center"/>
              <w:rPr>
                <w:rFonts w:hint="eastAsia" w:ascii="宋体" w:hAnsi="宋体"/>
                <w:bCs/>
                <w:szCs w:val="21"/>
                <w:lang w:val="en-US"/>
              </w:rPr>
            </w:pPr>
            <w:r>
              <w:rPr>
                <w:rFonts w:hint="eastAsia" w:ascii="宋体" w:hAnsi="宋体"/>
                <w:bCs/>
                <w:szCs w:val="21"/>
                <w:lang w:val="en-US"/>
              </w:rPr>
              <w:t>DHCP/IP</w:t>
            </w:r>
            <w:r>
              <w:rPr>
                <w:rFonts w:hint="eastAsia" w:ascii="宋体" w:hAnsi="宋体"/>
                <w:bCs/>
                <w:szCs w:val="21"/>
                <w:lang w:val="zh-CN"/>
              </w:rPr>
              <w:t>地址管理功能</w:t>
            </w:r>
          </w:p>
        </w:tc>
        <w:tc>
          <w:tcPr>
            <w:tcW w:w="3669" w:type="pct"/>
            <w:noWrap w:val="0"/>
            <w:vAlign w:val="center"/>
          </w:tcPr>
          <w:p w14:paraId="7D0444E5">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DHCP地址分配管理：可以通过配置下发能够实现DHCP 地址的创建、分配、续租功能；支持DHCP 固定、地址池、保留、僵尸地址等管理。（</w:t>
            </w:r>
            <w:r>
              <w:rPr>
                <w:rFonts w:hint="eastAsia" w:ascii="宋体" w:hAnsi="宋体" w:cs="宋体"/>
                <w:kern w:val="0"/>
                <w:lang w:val="zh-CN"/>
              </w:rPr>
              <w:t>报价人提供</w:t>
            </w:r>
            <w:r>
              <w:rPr>
                <w:rFonts w:hint="eastAsia" w:ascii="宋体" w:hAnsi="宋体" w:cs="宋体"/>
                <w:kern w:val="0"/>
              </w:rPr>
              <w:t>第三方机构</w:t>
            </w:r>
            <w:r>
              <w:rPr>
                <w:rFonts w:hint="eastAsia" w:ascii="宋体" w:hAnsi="宋体" w:cs="宋体"/>
                <w:kern w:val="0"/>
                <w:lang w:val="en-US" w:eastAsia="zh-CN"/>
              </w:rPr>
              <w:t>出</w:t>
            </w:r>
            <w:r>
              <w:rPr>
                <w:rFonts w:hint="eastAsia" w:ascii="宋体" w:hAnsi="宋体" w:cs="宋体"/>
                <w:kern w:val="0"/>
              </w:rPr>
              <w:t>具</w:t>
            </w:r>
            <w:r>
              <w:rPr>
                <w:rFonts w:hint="eastAsia" w:ascii="宋体" w:hAnsi="宋体" w:cs="宋体"/>
                <w:kern w:val="0"/>
                <w:lang w:val="en-US" w:eastAsia="zh-CN"/>
              </w:rPr>
              <w:t>的有</w:t>
            </w:r>
            <w:r>
              <w:rPr>
                <w:rFonts w:hint="eastAsia" w:ascii="宋体" w:hAnsi="宋体" w:cs="宋体"/>
                <w:kern w:val="0"/>
              </w:rPr>
              <w:t>CMA或CAL或CNAS印章的检测报告复印件</w:t>
            </w:r>
            <w:r>
              <w:rPr>
                <w:rFonts w:hint="eastAsia" w:ascii="宋体" w:hAnsi="宋体" w:cs="宋体"/>
                <w:kern w:val="0"/>
                <w:lang w:val="en-US" w:eastAsia="zh-CN"/>
              </w:rPr>
              <w:t>证明</w:t>
            </w:r>
            <w:r>
              <w:rPr>
                <w:rFonts w:hint="eastAsia" w:ascii="宋体" w:hAnsi="宋体" w:cs="宋体"/>
                <w:kern w:val="0"/>
                <w:lang w:val="zh-CN"/>
              </w:rPr>
              <w:t>）</w:t>
            </w:r>
          </w:p>
        </w:tc>
      </w:tr>
      <w:tr w14:paraId="05A7A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9B99F71">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70DF2769">
            <w:pPr>
              <w:widowControl/>
              <w:spacing w:line="360" w:lineRule="auto"/>
              <w:jc w:val="center"/>
              <w:rPr>
                <w:rFonts w:ascii="宋体" w:hAnsi="宋体"/>
                <w:bCs/>
                <w:szCs w:val="21"/>
              </w:rPr>
            </w:pPr>
          </w:p>
        </w:tc>
        <w:tc>
          <w:tcPr>
            <w:tcW w:w="3669" w:type="pct"/>
            <w:noWrap w:val="0"/>
            <w:vAlign w:val="center"/>
          </w:tcPr>
          <w:p w14:paraId="22550822">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僵尸地址管理：可以针对长期未在线的固定地址或手动地址在</w:t>
            </w:r>
            <w:r>
              <w:rPr>
                <w:rFonts w:hint="eastAsia" w:ascii="宋体" w:hAnsi="宋体" w:cs="宋体"/>
                <w:kern w:val="0"/>
                <w:lang w:val="en-US" w:eastAsia="zh-CN"/>
              </w:rPr>
              <w:t>按设置条件回收</w:t>
            </w:r>
            <w:r>
              <w:rPr>
                <w:rFonts w:hint="eastAsia" w:ascii="宋体" w:hAnsi="宋体" w:cs="宋体"/>
                <w:kern w:val="0"/>
              </w:rPr>
              <w:t>后自动设置为其之前的地址类型。</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4700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7AFADE1F">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011C44BE">
            <w:pPr>
              <w:widowControl/>
              <w:spacing w:line="360" w:lineRule="auto"/>
              <w:jc w:val="center"/>
              <w:rPr>
                <w:rFonts w:hint="eastAsia" w:ascii="宋体" w:hAnsi="宋体"/>
                <w:bCs/>
                <w:szCs w:val="21"/>
                <w:lang w:val="zh-CN"/>
              </w:rPr>
            </w:pPr>
          </w:p>
        </w:tc>
        <w:tc>
          <w:tcPr>
            <w:tcW w:w="3669" w:type="pct"/>
            <w:noWrap w:val="0"/>
            <w:vAlign w:val="center"/>
          </w:tcPr>
          <w:p w14:paraId="3B57F6B7">
            <w:pPr>
              <w:autoSpaceDE w:val="0"/>
              <w:autoSpaceDN w:val="0"/>
              <w:adjustRightInd w:val="0"/>
              <w:spacing w:line="360" w:lineRule="auto"/>
              <w:rPr>
                <w:rFonts w:hint="eastAsia" w:ascii="宋体" w:hAnsi="宋体" w:cs="宋体"/>
                <w:kern w:val="0"/>
              </w:rPr>
            </w:pPr>
            <w:r>
              <w:rPr>
                <w:rFonts w:hint="eastAsia" w:ascii="宋体" w:hAnsi="宋体" w:cs="宋体"/>
                <w:kern w:val="0"/>
              </w:rPr>
              <w:t>支持手动创建IP地址基线数据或同步当前台账数据作为基线，支持针对基线信息与当前台账数据进行比对，可形成基线差异报告并支持导出。（</w:t>
            </w:r>
            <w:r>
              <w:rPr>
                <w:rFonts w:hint="eastAsia" w:ascii="宋体" w:hAnsi="宋体" w:cs="宋体"/>
                <w:kern w:val="0"/>
                <w:lang w:val="zh-CN"/>
              </w:rPr>
              <w:t>报价人提供</w:t>
            </w:r>
            <w:r>
              <w:rPr>
                <w:rFonts w:hint="eastAsia" w:ascii="宋体" w:hAnsi="宋体" w:cs="宋体"/>
                <w:kern w:val="0"/>
              </w:rPr>
              <w:t>第三方机构</w:t>
            </w:r>
            <w:r>
              <w:rPr>
                <w:rFonts w:hint="eastAsia" w:ascii="宋体" w:hAnsi="宋体" w:cs="宋体"/>
                <w:kern w:val="0"/>
                <w:lang w:val="en-US" w:eastAsia="zh-CN"/>
              </w:rPr>
              <w:t>出</w:t>
            </w:r>
            <w:r>
              <w:rPr>
                <w:rFonts w:hint="eastAsia" w:ascii="宋体" w:hAnsi="宋体" w:cs="宋体"/>
                <w:kern w:val="0"/>
              </w:rPr>
              <w:t>具</w:t>
            </w:r>
            <w:r>
              <w:rPr>
                <w:rFonts w:hint="eastAsia" w:ascii="宋体" w:hAnsi="宋体" w:cs="宋体"/>
                <w:kern w:val="0"/>
                <w:lang w:val="en-US" w:eastAsia="zh-CN"/>
              </w:rPr>
              <w:t>的有</w:t>
            </w:r>
            <w:r>
              <w:rPr>
                <w:rFonts w:hint="eastAsia" w:ascii="宋体" w:hAnsi="宋体" w:cs="宋体"/>
                <w:kern w:val="0"/>
              </w:rPr>
              <w:t>CMA或CAL或CNAS印章的检测报告复印件</w:t>
            </w:r>
            <w:r>
              <w:rPr>
                <w:rFonts w:hint="eastAsia" w:ascii="宋体" w:hAnsi="宋体" w:cs="宋体"/>
                <w:kern w:val="0"/>
                <w:lang w:val="en-US" w:eastAsia="zh-CN"/>
              </w:rPr>
              <w:t>证明</w:t>
            </w:r>
            <w:r>
              <w:rPr>
                <w:rFonts w:hint="eastAsia" w:ascii="宋体" w:hAnsi="宋体" w:cs="宋体"/>
                <w:kern w:val="0"/>
                <w:lang w:val="zh-CN"/>
              </w:rPr>
              <w:t>）</w:t>
            </w:r>
          </w:p>
        </w:tc>
      </w:tr>
      <w:tr w14:paraId="3C97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348D747">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63BB1556">
            <w:pPr>
              <w:widowControl/>
              <w:spacing w:line="360" w:lineRule="auto"/>
              <w:jc w:val="center"/>
              <w:rPr>
                <w:rFonts w:hint="eastAsia" w:ascii="宋体" w:hAnsi="宋体"/>
                <w:bCs/>
                <w:szCs w:val="21"/>
                <w:lang w:val="zh-CN"/>
              </w:rPr>
            </w:pPr>
          </w:p>
        </w:tc>
        <w:tc>
          <w:tcPr>
            <w:tcW w:w="3669" w:type="pct"/>
            <w:noWrap w:val="0"/>
            <w:vAlign w:val="center"/>
          </w:tcPr>
          <w:p w14:paraId="32D5E298">
            <w:pPr>
              <w:autoSpaceDE w:val="0"/>
              <w:autoSpaceDN w:val="0"/>
              <w:adjustRightInd w:val="0"/>
              <w:spacing w:line="360" w:lineRule="auto"/>
              <w:rPr>
                <w:rFonts w:hint="eastAsia" w:ascii="宋体" w:hAnsi="宋体" w:cs="宋体"/>
                <w:kern w:val="0"/>
              </w:rPr>
            </w:pPr>
            <w:r>
              <w:rPr>
                <w:rFonts w:hint="eastAsia" w:ascii="宋体" w:hAnsi="宋体" w:cs="宋体"/>
                <w:kern w:val="0"/>
              </w:rPr>
              <w:t>支持“拖拽”操作对网络地址进行自定义拆分、缩放、合并，同时针对拆分、缩放、合并后的网络直接配置相关属性。</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29E4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616EB3C">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563A19E2">
            <w:pPr>
              <w:widowControl/>
              <w:spacing w:line="360" w:lineRule="auto"/>
              <w:jc w:val="center"/>
              <w:rPr>
                <w:rFonts w:hint="eastAsia" w:ascii="宋体" w:hAnsi="宋体"/>
                <w:bCs/>
                <w:szCs w:val="21"/>
              </w:rPr>
            </w:pPr>
          </w:p>
        </w:tc>
        <w:tc>
          <w:tcPr>
            <w:tcW w:w="3669" w:type="pct"/>
            <w:noWrap w:val="0"/>
            <w:vAlign w:val="center"/>
          </w:tcPr>
          <w:p w14:paraId="487311CF">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地址状态审计：支持地址审计实时IP地址上线检测下线快速探测，具备完整的IPAM在线状态日志，不是通过DHCP分配的IP也能记录历史在线状态，方便审计回溯网内IP历史在线状态、支持对IP地址变更历史进行审计。</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4D3F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2E8B8189">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55BA7C50">
            <w:pPr>
              <w:widowControl/>
              <w:spacing w:line="360" w:lineRule="auto"/>
              <w:jc w:val="center"/>
              <w:rPr>
                <w:rFonts w:hint="eastAsia" w:ascii="宋体" w:hAnsi="宋体"/>
                <w:bCs/>
                <w:szCs w:val="21"/>
              </w:rPr>
            </w:pPr>
          </w:p>
        </w:tc>
        <w:tc>
          <w:tcPr>
            <w:tcW w:w="3669" w:type="pct"/>
            <w:noWrap w:val="0"/>
            <w:vAlign w:val="center"/>
          </w:tcPr>
          <w:p w14:paraId="1256224A">
            <w:pPr>
              <w:autoSpaceDE w:val="0"/>
              <w:autoSpaceDN w:val="0"/>
              <w:adjustRightInd w:val="0"/>
              <w:spacing w:line="360" w:lineRule="auto"/>
              <w:rPr>
                <w:rFonts w:hint="eastAsia" w:ascii="宋体" w:hAnsi="宋体" w:cs="宋体"/>
                <w:kern w:val="0"/>
                <w:lang w:val="en-US"/>
              </w:rPr>
            </w:pPr>
            <w:r>
              <w:rPr>
                <w:rFonts w:hint="eastAsia" w:ascii="宋体" w:hAnsi="宋体" w:cs="宋体"/>
                <w:kern w:val="0"/>
              </w:rPr>
              <w:t>支持IPv4及IPv6的DHCP failover故障转移部署方式</w:t>
            </w:r>
            <w:r>
              <w:rPr>
                <w:rFonts w:hint="eastAsia" w:ascii="宋体" w:hAnsi="宋体" w:cs="宋体"/>
                <w:kern w:val="0"/>
                <w:lang w:eastAsia="zh-Hans"/>
              </w:rPr>
              <w:t>。</w:t>
            </w:r>
            <w:r>
              <w:rPr>
                <w:rFonts w:hint="eastAsia" w:ascii="宋体" w:hAnsi="宋体" w:cs="宋体"/>
                <w:kern w:val="0"/>
              </w:rPr>
              <w:t>（</w:t>
            </w:r>
            <w:r>
              <w:rPr>
                <w:rFonts w:hint="eastAsia" w:ascii="宋体" w:hAnsi="宋体" w:cs="宋体"/>
                <w:kern w:val="0"/>
                <w:lang w:val="zh-CN"/>
              </w:rPr>
              <w:t>报价人提供</w:t>
            </w:r>
            <w:r>
              <w:rPr>
                <w:rFonts w:hint="eastAsia" w:ascii="宋体" w:hAnsi="宋体" w:cs="宋体"/>
                <w:kern w:val="0"/>
              </w:rPr>
              <w:t>第三方机构</w:t>
            </w:r>
            <w:r>
              <w:rPr>
                <w:rFonts w:hint="eastAsia" w:ascii="宋体" w:hAnsi="宋体" w:cs="宋体"/>
                <w:kern w:val="0"/>
                <w:lang w:val="en-US" w:eastAsia="zh-CN"/>
              </w:rPr>
              <w:t>出</w:t>
            </w:r>
            <w:r>
              <w:rPr>
                <w:rFonts w:hint="eastAsia" w:ascii="宋体" w:hAnsi="宋体" w:cs="宋体"/>
                <w:kern w:val="0"/>
              </w:rPr>
              <w:t>具</w:t>
            </w:r>
            <w:r>
              <w:rPr>
                <w:rFonts w:hint="eastAsia" w:ascii="宋体" w:hAnsi="宋体" w:cs="宋体"/>
                <w:kern w:val="0"/>
                <w:lang w:val="en-US" w:eastAsia="zh-CN"/>
              </w:rPr>
              <w:t>的有</w:t>
            </w:r>
            <w:r>
              <w:rPr>
                <w:rFonts w:hint="eastAsia" w:ascii="宋体" w:hAnsi="宋体" w:cs="宋体"/>
                <w:kern w:val="0"/>
              </w:rPr>
              <w:t>CMA或CAL或CNAS印章的检测报告复印件</w:t>
            </w:r>
            <w:r>
              <w:rPr>
                <w:rFonts w:hint="eastAsia" w:ascii="宋体" w:hAnsi="宋体" w:cs="宋体"/>
                <w:kern w:val="0"/>
                <w:lang w:val="en-US" w:eastAsia="zh-CN"/>
              </w:rPr>
              <w:t>证明</w:t>
            </w:r>
            <w:r>
              <w:rPr>
                <w:rFonts w:hint="eastAsia" w:ascii="宋体" w:hAnsi="宋体" w:cs="宋体"/>
                <w:kern w:val="0"/>
                <w:lang w:val="zh-CN"/>
              </w:rPr>
              <w:t>）</w:t>
            </w:r>
          </w:p>
        </w:tc>
      </w:tr>
      <w:tr w14:paraId="4ABC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06D6AF8">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0E0E180E">
            <w:pPr>
              <w:widowControl/>
              <w:spacing w:line="360" w:lineRule="auto"/>
              <w:jc w:val="center"/>
              <w:rPr>
                <w:rFonts w:hint="eastAsia" w:ascii="宋体" w:hAnsi="宋体"/>
                <w:bCs/>
                <w:szCs w:val="21"/>
              </w:rPr>
            </w:pPr>
          </w:p>
        </w:tc>
        <w:tc>
          <w:tcPr>
            <w:tcW w:w="3669" w:type="pct"/>
            <w:noWrap w:val="0"/>
            <w:vAlign w:val="center"/>
          </w:tcPr>
          <w:p w14:paraId="2EB300D9">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 xml:space="preserve">DHCP </w:t>
            </w:r>
            <w:r>
              <w:rPr>
                <w:rFonts w:hint="eastAsia" w:ascii="宋体" w:hAnsi="宋体" w:cs="宋体"/>
                <w:kern w:val="0"/>
                <w:lang w:eastAsia="zh-Hans"/>
              </w:rPr>
              <w:t>failover</w:t>
            </w:r>
            <w:r>
              <w:rPr>
                <w:rFonts w:hint="eastAsia" w:ascii="宋体" w:hAnsi="宋体" w:cs="宋体"/>
                <w:kern w:val="0"/>
              </w:rPr>
              <w:t>故障转移</w:t>
            </w:r>
            <w:r>
              <w:rPr>
                <w:rFonts w:hint="eastAsia" w:ascii="宋体" w:hAnsi="宋体" w:cs="宋体"/>
                <w:kern w:val="0"/>
                <w:lang w:eastAsia="zh-Hans"/>
              </w:rPr>
              <w:t>支持自定义设置MCLT、</w:t>
            </w:r>
            <w:r>
              <w:rPr>
                <w:rFonts w:hint="eastAsia" w:ascii="宋体" w:hAnsi="宋体" w:cs="宋体"/>
                <w:kern w:val="0"/>
              </w:rPr>
              <w:t>分担</w:t>
            </w:r>
            <w:r>
              <w:rPr>
                <w:rFonts w:hint="eastAsia" w:ascii="宋体" w:hAnsi="宋体" w:cs="宋体"/>
                <w:kern w:val="0"/>
                <w:lang w:eastAsia="zh-Hans"/>
              </w:rPr>
              <w:t>比例、端口等，可实现跨区域的</w:t>
            </w:r>
            <w:r>
              <w:rPr>
                <w:rFonts w:hint="eastAsia" w:ascii="宋体" w:hAnsi="宋体" w:cs="宋体"/>
                <w:kern w:val="0"/>
              </w:rPr>
              <w:t>DHCP</w:t>
            </w:r>
            <w:r>
              <w:rPr>
                <w:rFonts w:hint="eastAsia" w:ascii="宋体" w:hAnsi="宋体" w:cs="宋体"/>
                <w:kern w:val="0"/>
                <w:lang w:eastAsia="zh-Hans"/>
              </w:rPr>
              <w:t>冗余建设要求，实现</w:t>
            </w:r>
            <w:r>
              <w:rPr>
                <w:rFonts w:hint="eastAsia" w:ascii="宋体" w:hAnsi="宋体" w:cs="宋体"/>
                <w:kern w:val="0"/>
              </w:rPr>
              <w:t>DHCP</w:t>
            </w:r>
            <w:r>
              <w:rPr>
                <w:rFonts w:hint="eastAsia" w:ascii="宋体" w:hAnsi="宋体" w:cs="宋体"/>
                <w:kern w:val="0"/>
                <w:lang w:eastAsia="zh-Hans"/>
              </w:rPr>
              <w:t>节点</w:t>
            </w:r>
            <w:r>
              <w:rPr>
                <w:rFonts w:hint="eastAsia" w:ascii="宋体" w:hAnsi="宋体" w:cs="宋体"/>
                <w:kern w:val="0"/>
              </w:rPr>
              <w:t>故障</w:t>
            </w:r>
            <w:r>
              <w:rPr>
                <w:rFonts w:hint="eastAsia" w:ascii="宋体" w:hAnsi="宋体" w:cs="宋体"/>
                <w:kern w:val="0"/>
                <w:lang w:eastAsia="zh-Hans"/>
              </w:rPr>
              <w:t>快速切换，当一台异常时另外一台支持一键接管全部租赁服务</w:t>
            </w:r>
            <w:r>
              <w:rPr>
                <w:rFonts w:hint="eastAsia" w:ascii="宋体" w:hAnsi="宋体" w:cs="宋体"/>
                <w:kern w:val="0"/>
              </w:rPr>
              <w:t>。</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612D5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0719C4C">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65BFCE37">
            <w:pPr>
              <w:widowControl/>
              <w:spacing w:line="360" w:lineRule="auto"/>
              <w:jc w:val="center"/>
              <w:rPr>
                <w:rFonts w:hint="eastAsia" w:ascii="宋体" w:hAnsi="宋体"/>
                <w:bCs/>
                <w:szCs w:val="21"/>
                <w:lang w:val="zh-CN"/>
              </w:rPr>
            </w:pPr>
          </w:p>
        </w:tc>
        <w:tc>
          <w:tcPr>
            <w:tcW w:w="3669" w:type="pct"/>
            <w:noWrap w:val="0"/>
            <w:vAlign w:val="center"/>
          </w:tcPr>
          <w:p w14:paraId="641AC88A">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支持IPv4、IPv6地址的全生命周期动态变化审计，包括但不限于租约状态变更、扫描活跃、配置变更、地址冲突、僵尸地址、类型变更等相关事件。</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14D1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0E5E296">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09BD5BA4">
            <w:pPr>
              <w:widowControl/>
              <w:spacing w:line="360" w:lineRule="auto"/>
              <w:jc w:val="center"/>
              <w:rPr>
                <w:rFonts w:hint="eastAsia" w:ascii="宋体" w:hAnsi="宋体"/>
                <w:bCs/>
                <w:szCs w:val="21"/>
              </w:rPr>
            </w:pPr>
          </w:p>
        </w:tc>
        <w:tc>
          <w:tcPr>
            <w:tcW w:w="3669" w:type="pct"/>
            <w:noWrap w:val="0"/>
            <w:vAlign w:val="center"/>
          </w:tcPr>
          <w:p w14:paraId="7A02FCA0">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支持IPv4和IPv6终端设备管理，配置IPv4地址与MAC地址绑定关系时，可同时给此终端设备自动生成一个对应的IPv6地址并形成IPv6地址与MAC地址的绑定关系，并支持设置生成的IP地址个数。</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p>
        </w:tc>
      </w:tr>
      <w:tr w14:paraId="35800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4945793C">
            <w:pPr>
              <w:widowControl/>
              <w:numPr>
                <w:ilvl w:val="0"/>
                <w:numId w:val="5"/>
              </w:numPr>
              <w:spacing w:line="360" w:lineRule="auto"/>
              <w:jc w:val="center"/>
              <w:rPr>
                <w:rFonts w:ascii="宋体" w:hAnsi="宋体"/>
                <w:bCs/>
                <w:szCs w:val="21"/>
              </w:rPr>
            </w:pPr>
          </w:p>
        </w:tc>
        <w:tc>
          <w:tcPr>
            <w:tcW w:w="924" w:type="pct"/>
            <w:vMerge w:val="continue"/>
            <w:shd w:val="clear" w:color="auto" w:fill="FFFFFF"/>
            <w:noWrap w:val="0"/>
            <w:vAlign w:val="center"/>
          </w:tcPr>
          <w:p w14:paraId="050A1F16">
            <w:pPr>
              <w:widowControl/>
              <w:spacing w:line="360" w:lineRule="auto"/>
              <w:jc w:val="center"/>
              <w:rPr>
                <w:rFonts w:hint="eastAsia" w:ascii="宋体" w:hAnsi="宋体"/>
                <w:bCs/>
                <w:szCs w:val="21"/>
                <w:lang w:val="zh-CN"/>
              </w:rPr>
            </w:pPr>
          </w:p>
        </w:tc>
        <w:tc>
          <w:tcPr>
            <w:tcW w:w="3669" w:type="pct"/>
            <w:noWrap w:val="0"/>
            <w:vAlign w:val="center"/>
          </w:tcPr>
          <w:p w14:paraId="73937944">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支持通过 Excel批量导入网络、IP、地址池等信息。（</w:t>
            </w:r>
            <w:r>
              <w:rPr>
                <w:rFonts w:hint="eastAsia" w:ascii="宋体" w:hAnsi="宋体" w:cs="宋体"/>
                <w:kern w:val="0"/>
                <w:lang w:val="zh-CN"/>
              </w:rPr>
              <w:t>报价人提供</w:t>
            </w:r>
            <w:r>
              <w:rPr>
                <w:rFonts w:hint="eastAsia" w:ascii="宋体" w:hAnsi="宋体" w:cs="宋体"/>
                <w:kern w:val="0"/>
              </w:rPr>
              <w:t>第三方机构</w:t>
            </w:r>
            <w:r>
              <w:rPr>
                <w:rFonts w:hint="eastAsia" w:ascii="宋体" w:hAnsi="宋体" w:cs="宋体"/>
                <w:kern w:val="0"/>
                <w:lang w:val="en-US" w:eastAsia="zh-CN"/>
              </w:rPr>
              <w:t>出</w:t>
            </w:r>
            <w:r>
              <w:rPr>
                <w:rFonts w:hint="eastAsia" w:ascii="宋体" w:hAnsi="宋体" w:cs="宋体"/>
                <w:kern w:val="0"/>
              </w:rPr>
              <w:t>具</w:t>
            </w:r>
            <w:r>
              <w:rPr>
                <w:rFonts w:hint="eastAsia" w:ascii="宋体" w:hAnsi="宋体" w:cs="宋体"/>
                <w:kern w:val="0"/>
                <w:lang w:val="en-US" w:eastAsia="zh-CN"/>
              </w:rPr>
              <w:t>的有</w:t>
            </w:r>
            <w:r>
              <w:rPr>
                <w:rFonts w:hint="eastAsia" w:ascii="宋体" w:hAnsi="宋体" w:cs="宋体"/>
                <w:kern w:val="0"/>
              </w:rPr>
              <w:t>CMA或CAL或CNAS印章的检测报告复印件</w:t>
            </w:r>
            <w:r>
              <w:rPr>
                <w:rFonts w:hint="eastAsia" w:ascii="宋体" w:hAnsi="宋体" w:cs="宋体"/>
                <w:kern w:val="0"/>
                <w:lang w:val="en-US" w:eastAsia="zh-CN"/>
              </w:rPr>
              <w:t>证明</w:t>
            </w:r>
            <w:r>
              <w:rPr>
                <w:rFonts w:hint="eastAsia" w:ascii="宋体" w:hAnsi="宋体" w:cs="宋体"/>
                <w:kern w:val="0"/>
                <w:lang w:val="zh-CN"/>
              </w:rPr>
              <w:t>）</w:t>
            </w:r>
          </w:p>
        </w:tc>
      </w:tr>
      <w:tr w14:paraId="4E156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23D579E2">
            <w:pPr>
              <w:widowControl/>
              <w:numPr>
                <w:ilvl w:val="0"/>
                <w:numId w:val="5"/>
              </w:numPr>
              <w:spacing w:line="360" w:lineRule="auto"/>
              <w:jc w:val="center"/>
              <w:rPr>
                <w:rFonts w:hint="eastAsia" w:ascii="宋体" w:hAnsi="宋体"/>
                <w:bCs/>
                <w:szCs w:val="21"/>
              </w:rPr>
            </w:pPr>
          </w:p>
        </w:tc>
        <w:tc>
          <w:tcPr>
            <w:tcW w:w="924" w:type="pct"/>
            <w:vMerge w:val="restart"/>
            <w:shd w:val="clear" w:color="auto" w:fill="FFFFFF"/>
            <w:noWrap w:val="0"/>
            <w:vAlign w:val="center"/>
          </w:tcPr>
          <w:p w14:paraId="4C372882">
            <w:pPr>
              <w:widowControl/>
              <w:spacing w:line="360" w:lineRule="auto"/>
              <w:jc w:val="center"/>
              <w:rPr>
                <w:rFonts w:ascii="宋体" w:hAnsi="宋体"/>
                <w:bCs/>
                <w:szCs w:val="21"/>
              </w:rPr>
            </w:pPr>
            <w:r>
              <w:rPr>
                <w:rFonts w:hint="eastAsia" w:ascii="宋体" w:hAnsi="宋体"/>
                <w:bCs/>
                <w:szCs w:val="21"/>
              </w:rPr>
              <w:t>域名管理</w:t>
            </w:r>
          </w:p>
        </w:tc>
        <w:tc>
          <w:tcPr>
            <w:tcW w:w="3669" w:type="pct"/>
            <w:noWrap w:val="0"/>
            <w:vAlign w:val="top"/>
          </w:tcPr>
          <w:p w14:paraId="7E15F400">
            <w:pPr>
              <w:autoSpaceDE w:val="0"/>
              <w:autoSpaceDN w:val="0"/>
              <w:adjustRightInd w:val="0"/>
              <w:spacing w:line="360" w:lineRule="auto"/>
              <w:rPr>
                <w:rFonts w:hint="eastAsia" w:ascii="宋体" w:hAnsi="宋体" w:cs="宋体"/>
                <w:kern w:val="0"/>
              </w:rPr>
            </w:pPr>
            <w:r>
              <w:rPr>
                <w:rFonts w:hint="eastAsia" w:ascii="宋体" w:hAnsi="宋体" w:cs="宋体"/>
                <w:kern w:val="0"/>
              </w:rPr>
              <w:t>支持常用SOA记录、NS记录、A记录、AAAA记录、CNAME记录、PTR记录、MX记录、SRV记录、TXT记录、SPF记录、NAPTR等记录配置及解析，同时支持删除A、AAAA记录时相关的MX、SRV、PTR记录联动删除，保持记录维护一致性。（</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r>
              <w:rPr>
                <w:rFonts w:hint="eastAsia" w:ascii="宋体" w:hAnsi="宋体" w:cs="宋体"/>
                <w:kern w:val="0"/>
              </w:rPr>
              <w:t>）</w:t>
            </w:r>
          </w:p>
        </w:tc>
      </w:tr>
      <w:tr w14:paraId="1CE2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179419B">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52E35F80">
            <w:pPr>
              <w:widowControl/>
              <w:spacing w:line="360" w:lineRule="auto"/>
              <w:jc w:val="center"/>
              <w:rPr>
                <w:rFonts w:hint="eastAsia" w:ascii="宋体" w:hAnsi="宋体"/>
                <w:bCs/>
                <w:szCs w:val="21"/>
                <w:lang w:val="zh-CN"/>
              </w:rPr>
            </w:pPr>
          </w:p>
        </w:tc>
        <w:tc>
          <w:tcPr>
            <w:tcW w:w="3669" w:type="pct"/>
            <w:noWrap w:val="0"/>
            <w:vAlign w:val="top"/>
          </w:tcPr>
          <w:p w14:paraId="4C5954CB">
            <w:pPr>
              <w:autoSpaceDE w:val="0"/>
              <w:autoSpaceDN w:val="0"/>
              <w:adjustRightInd w:val="0"/>
              <w:spacing w:line="360" w:lineRule="auto"/>
              <w:rPr>
                <w:rFonts w:hint="eastAsia" w:ascii="宋体" w:hAnsi="宋体" w:cs="宋体"/>
                <w:kern w:val="0"/>
              </w:rPr>
            </w:pPr>
            <w:r>
              <w:rPr>
                <w:rFonts w:hint="eastAsia" w:ascii="宋体" w:hAnsi="宋体" w:cs="宋体"/>
                <w:kern w:val="0"/>
              </w:rPr>
              <w:t>支持通过Web界面配置对所有应答结果为NXDOMAIN的权威解析和递归解析结果修改为NOERROR，并且需保证不影响其余域名解析结果，从而避免对下游客户端造成缓存污染。（</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r>
              <w:rPr>
                <w:rFonts w:hint="eastAsia" w:ascii="宋体" w:hAnsi="宋体" w:cs="宋体"/>
                <w:kern w:val="0"/>
              </w:rPr>
              <w:t>）</w:t>
            </w:r>
          </w:p>
        </w:tc>
      </w:tr>
      <w:tr w14:paraId="5ABB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5446A5B2">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6DF815D0">
            <w:pPr>
              <w:widowControl/>
              <w:spacing w:line="360" w:lineRule="auto"/>
              <w:jc w:val="center"/>
              <w:rPr>
                <w:rFonts w:hint="eastAsia" w:ascii="宋体" w:hAnsi="宋体"/>
                <w:bCs/>
                <w:szCs w:val="21"/>
                <w:lang w:val="zh-CN"/>
              </w:rPr>
            </w:pPr>
          </w:p>
        </w:tc>
        <w:tc>
          <w:tcPr>
            <w:tcW w:w="3669" w:type="pct"/>
            <w:noWrap w:val="0"/>
            <w:vAlign w:val="top"/>
          </w:tcPr>
          <w:p w14:paraId="57DC70E6">
            <w:pPr>
              <w:autoSpaceDE w:val="0"/>
              <w:autoSpaceDN w:val="0"/>
              <w:adjustRightInd w:val="0"/>
              <w:spacing w:line="360" w:lineRule="auto"/>
              <w:rPr>
                <w:rFonts w:hint="eastAsia" w:ascii="宋体" w:hAnsi="宋体" w:cs="宋体"/>
                <w:kern w:val="0"/>
              </w:rPr>
            </w:pPr>
            <w:r>
              <w:rPr>
                <w:rFonts w:hint="eastAsia" w:ascii="宋体" w:hAnsi="宋体" w:cs="宋体"/>
                <w:kern w:val="0"/>
              </w:rPr>
              <w:t>支持GSLB功能，智能DNS动态调度支持域名探测兜底解析策略，即可以支持对 GSLB 探测失败的域名，可通过 Web 前台配置业务解析失败应答策略包括但不限于动态兜底解析、静态兜底解析、无记录、无域名、丢弃等策略。（</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r>
              <w:rPr>
                <w:rFonts w:hint="eastAsia" w:ascii="宋体" w:hAnsi="宋体" w:cs="宋体"/>
                <w:kern w:val="0"/>
              </w:rPr>
              <w:t>）</w:t>
            </w:r>
          </w:p>
        </w:tc>
      </w:tr>
      <w:tr w14:paraId="06907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3D92FBFE">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2C0516DA">
            <w:pPr>
              <w:widowControl/>
              <w:spacing w:line="360" w:lineRule="auto"/>
              <w:jc w:val="center"/>
              <w:rPr>
                <w:rFonts w:hint="eastAsia" w:ascii="宋体" w:hAnsi="宋体"/>
                <w:bCs/>
                <w:szCs w:val="21"/>
                <w:lang w:val="zh-CN"/>
              </w:rPr>
            </w:pPr>
          </w:p>
        </w:tc>
        <w:tc>
          <w:tcPr>
            <w:tcW w:w="3669" w:type="pct"/>
            <w:noWrap w:val="0"/>
            <w:vAlign w:val="top"/>
          </w:tcPr>
          <w:p w14:paraId="29BC1B56">
            <w:pPr>
              <w:autoSpaceDE w:val="0"/>
              <w:autoSpaceDN w:val="0"/>
              <w:adjustRightInd w:val="0"/>
              <w:spacing w:line="360" w:lineRule="auto"/>
              <w:rPr>
                <w:rFonts w:hint="eastAsia" w:ascii="宋体" w:hAnsi="宋体" w:cs="宋体"/>
                <w:kern w:val="0"/>
              </w:rPr>
            </w:pPr>
            <w:r>
              <w:rPr>
                <w:rFonts w:hint="eastAsia" w:ascii="宋体" w:hAnsi="宋体" w:cs="宋体"/>
                <w:kern w:val="0"/>
              </w:rPr>
              <w:t>智能化的访问调度，支持DNS多种负载均衡包括轮询、加权轮询、静态就近性、全局可用性、CPU/内存、动态就近性、多维度可用性算法、丢包率算法、静态保持算法、备选IP等算法；支持两级访问调度，即优先按照某策略调度到某应用服务器池，然后再根据某策略调度到该池内具体服务器；（</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r>
              <w:rPr>
                <w:rFonts w:hint="eastAsia" w:ascii="宋体" w:hAnsi="宋体" w:cs="宋体"/>
                <w:kern w:val="0"/>
              </w:rPr>
              <w:t>）</w:t>
            </w:r>
          </w:p>
        </w:tc>
      </w:tr>
      <w:tr w14:paraId="243E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1BF80BC">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2F040419">
            <w:pPr>
              <w:widowControl/>
              <w:spacing w:line="360" w:lineRule="auto"/>
              <w:jc w:val="center"/>
              <w:rPr>
                <w:rFonts w:ascii="宋体" w:hAnsi="宋体"/>
                <w:bCs/>
                <w:szCs w:val="21"/>
              </w:rPr>
            </w:pPr>
          </w:p>
        </w:tc>
        <w:tc>
          <w:tcPr>
            <w:tcW w:w="3669" w:type="pct"/>
            <w:noWrap w:val="0"/>
            <w:vAlign w:val="top"/>
          </w:tcPr>
          <w:p w14:paraId="16D84FE9">
            <w:pPr>
              <w:autoSpaceDE w:val="0"/>
              <w:autoSpaceDN w:val="0"/>
              <w:adjustRightInd w:val="0"/>
              <w:spacing w:line="360" w:lineRule="auto"/>
              <w:rPr>
                <w:rFonts w:hint="eastAsia" w:ascii="宋体" w:hAnsi="宋体" w:cs="宋体"/>
                <w:kern w:val="0"/>
              </w:rPr>
            </w:pPr>
            <w:r>
              <w:rPr>
                <w:rFonts w:hint="eastAsia" w:ascii="宋体" w:hAnsi="宋体" w:cs="宋体"/>
                <w:kern w:val="0"/>
              </w:rPr>
              <w:t>支持对隧道攻击进行拦截，拦截策略包含告警及告警并拦截，支持隧道攻击事件告警；支持隧道多特征（6种或以上）维度识别拦截模型，可配置隧道黑白名单，支持双因子（IP+区）精准匹配事项的拦截，内置隧道特征库支持升级。</w:t>
            </w:r>
          </w:p>
        </w:tc>
      </w:tr>
      <w:tr w14:paraId="26C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65B4F041">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469C5496">
            <w:pPr>
              <w:widowControl/>
              <w:spacing w:line="360" w:lineRule="auto"/>
              <w:jc w:val="center"/>
              <w:rPr>
                <w:rFonts w:hint="eastAsia" w:ascii="宋体" w:hAnsi="宋体"/>
                <w:bCs/>
                <w:szCs w:val="21"/>
                <w:lang w:val="zh-CN"/>
              </w:rPr>
            </w:pPr>
          </w:p>
        </w:tc>
        <w:tc>
          <w:tcPr>
            <w:tcW w:w="3669" w:type="pct"/>
            <w:noWrap w:val="0"/>
            <w:vAlign w:val="top"/>
          </w:tcPr>
          <w:p w14:paraId="4784ECB7">
            <w:pPr>
              <w:autoSpaceDE w:val="0"/>
              <w:autoSpaceDN w:val="0"/>
              <w:adjustRightInd w:val="0"/>
              <w:spacing w:line="360" w:lineRule="auto"/>
              <w:rPr>
                <w:rFonts w:hint="eastAsia" w:ascii="宋体" w:hAnsi="宋体" w:cs="宋体"/>
                <w:kern w:val="0"/>
              </w:rPr>
            </w:pPr>
            <w:r>
              <w:rPr>
                <w:rFonts w:hint="eastAsia" w:ascii="宋体" w:hAnsi="宋体" w:cs="宋体"/>
                <w:kern w:val="0"/>
              </w:rPr>
              <w:t>支持对多种资源类型进行强制解析，即可以强制解析某条域名或区的A记录、AAAA记录、SOA记录、MX记录、CNAME记录、NAPTR记录、TXT记录、SRV记录、PTR记录，DNAME记录、SPF记录、CAA记录、ANY 请求、NS记录、Type自定义记录类型,并根据所选策略类型，配置强制解析结果，并记录日志。（</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r>
              <w:rPr>
                <w:rFonts w:hint="eastAsia" w:ascii="宋体" w:hAnsi="宋体" w:cs="宋体"/>
                <w:kern w:val="0"/>
              </w:rPr>
              <w:t>）</w:t>
            </w:r>
          </w:p>
        </w:tc>
      </w:tr>
      <w:tr w14:paraId="0C274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0429796D">
            <w:pPr>
              <w:widowControl/>
              <w:numPr>
                <w:ilvl w:val="0"/>
                <w:numId w:val="5"/>
              </w:numPr>
              <w:spacing w:line="360" w:lineRule="auto"/>
              <w:jc w:val="center"/>
              <w:rPr>
                <w:rFonts w:hint="eastAsia" w:ascii="宋体" w:hAnsi="宋体"/>
                <w:bCs/>
                <w:szCs w:val="21"/>
              </w:rPr>
            </w:pPr>
          </w:p>
        </w:tc>
        <w:tc>
          <w:tcPr>
            <w:tcW w:w="924" w:type="pct"/>
            <w:vMerge w:val="continue"/>
            <w:shd w:val="clear" w:color="auto" w:fill="FFFFFF"/>
            <w:noWrap w:val="0"/>
            <w:vAlign w:val="center"/>
          </w:tcPr>
          <w:p w14:paraId="3C3BE2F5">
            <w:pPr>
              <w:widowControl/>
              <w:spacing w:line="360" w:lineRule="auto"/>
              <w:jc w:val="center"/>
              <w:rPr>
                <w:rFonts w:hint="eastAsia" w:ascii="宋体" w:hAnsi="宋体"/>
                <w:bCs/>
                <w:szCs w:val="21"/>
                <w:lang w:val="zh-CN"/>
              </w:rPr>
            </w:pPr>
          </w:p>
        </w:tc>
        <w:tc>
          <w:tcPr>
            <w:tcW w:w="3669" w:type="pct"/>
            <w:noWrap w:val="0"/>
            <w:vAlign w:val="top"/>
          </w:tcPr>
          <w:p w14:paraId="32CECC15">
            <w:pPr>
              <w:autoSpaceDE w:val="0"/>
              <w:autoSpaceDN w:val="0"/>
              <w:adjustRightInd w:val="0"/>
              <w:spacing w:line="360" w:lineRule="auto"/>
              <w:rPr>
                <w:rFonts w:hint="eastAsia" w:ascii="宋体" w:hAnsi="宋体" w:cs="宋体"/>
                <w:kern w:val="0"/>
              </w:rPr>
            </w:pPr>
            <w:r>
              <w:rPr>
                <w:rFonts w:hint="eastAsia" w:ascii="宋体" w:hAnsi="宋体" w:cs="宋体"/>
                <w:kern w:val="0"/>
              </w:rPr>
              <w:t>具备DDOS 攻击能力防护，即可以监测防御 DDoS 反射攻击、源 IP DDoS 攻击、DNS 畸形包 DDoS 攻击、UDP Flood攻击、TCP Flood 攻击、SYNFlood 攻击、ICMP Flood 攻击的 DNS DDoS 攻击，支持根据业务需求自定义限速阈值，并能提供相应的告警和攻击流量统计。（</w:t>
            </w:r>
            <w:r>
              <w:rPr>
                <w:rFonts w:hint="eastAsia" w:ascii="宋体" w:hAnsi="宋体" w:cs="宋体"/>
                <w:kern w:val="0"/>
                <w:lang w:val="zh-CN"/>
              </w:rPr>
              <w:t>报价人提供</w:t>
            </w:r>
            <w:r>
              <w:rPr>
                <w:rFonts w:hint="eastAsia" w:ascii="宋体" w:hAnsi="宋体" w:cs="宋体"/>
                <w:kern w:val="0"/>
              </w:rPr>
              <w:t>加盖公章</w:t>
            </w:r>
            <w:r>
              <w:rPr>
                <w:rFonts w:hint="eastAsia" w:ascii="宋体" w:hAnsi="宋体" w:cs="宋体"/>
                <w:kern w:val="0"/>
                <w:lang w:val="zh-CN"/>
              </w:rPr>
              <w:t>的产品功能界面截图证明</w:t>
            </w:r>
            <w:r>
              <w:rPr>
                <w:rFonts w:hint="eastAsia" w:ascii="宋体" w:hAnsi="宋体" w:cs="宋体"/>
                <w:kern w:val="0"/>
              </w:rPr>
              <w:t>）</w:t>
            </w:r>
          </w:p>
        </w:tc>
      </w:tr>
      <w:tr w14:paraId="3ABA1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6" w:type="pct"/>
            <w:shd w:val="clear" w:color="auto" w:fill="auto"/>
            <w:noWrap w:val="0"/>
            <w:vAlign w:val="center"/>
          </w:tcPr>
          <w:p w14:paraId="176CA588">
            <w:pPr>
              <w:widowControl/>
              <w:numPr>
                <w:ilvl w:val="0"/>
                <w:numId w:val="5"/>
              </w:numPr>
              <w:spacing w:line="360" w:lineRule="auto"/>
              <w:jc w:val="center"/>
              <w:rPr>
                <w:rFonts w:ascii="宋体" w:hAnsi="宋体"/>
                <w:bCs/>
                <w:szCs w:val="21"/>
              </w:rPr>
            </w:pPr>
          </w:p>
        </w:tc>
        <w:tc>
          <w:tcPr>
            <w:tcW w:w="924" w:type="pct"/>
            <w:shd w:val="clear" w:color="auto" w:fill="FFFFFF"/>
            <w:noWrap w:val="0"/>
            <w:vAlign w:val="center"/>
          </w:tcPr>
          <w:p w14:paraId="721DE4C4">
            <w:pPr>
              <w:widowControl/>
              <w:spacing w:line="360" w:lineRule="auto"/>
              <w:jc w:val="center"/>
              <w:rPr>
                <w:rFonts w:hint="eastAsia" w:ascii="宋体" w:hAnsi="宋体"/>
                <w:bCs/>
                <w:szCs w:val="21"/>
                <w:lang w:val="zh-CN"/>
              </w:rPr>
            </w:pPr>
            <w:r>
              <w:rPr>
                <w:rFonts w:hint="eastAsia" w:ascii="宋体" w:hAnsi="宋体"/>
                <w:bCs/>
                <w:szCs w:val="21"/>
                <w:lang w:val="zh-CN"/>
              </w:rPr>
              <w:t>质保要求</w:t>
            </w:r>
          </w:p>
        </w:tc>
        <w:tc>
          <w:tcPr>
            <w:tcW w:w="3669" w:type="pct"/>
            <w:shd w:val="clear" w:color="auto" w:fill="FFFFFF"/>
            <w:noWrap w:val="0"/>
            <w:vAlign w:val="center"/>
          </w:tcPr>
          <w:p w14:paraId="7F6BBDE5">
            <w:pPr>
              <w:autoSpaceDE w:val="0"/>
              <w:autoSpaceDN w:val="0"/>
              <w:adjustRightInd w:val="0"/>
              <w:spacing w:line="360" w:lineRule="auto"/>
              <w:rPr>
                <w:rFonts w:hint="eastAsia" w:ascii="宋体" w:hAnsi="宋体" w:cs="宋体"/>
                <w:kern w:val="0"/>
                <w:lang w:val="zh-CN"/>
              </w:rPr>
            </w:pPr>
            <w:r>
              <w:rPr>
                <w:rFonts w:hint="eastAsia" w:ascii="宋体" w:hAnsi="宋体" w:cs="宋体"/>
                <w:kern w:val="0"/>
              </w:rPr>
              <w:t>提供3年的软件硬件维保</w:t>
            </w:r>
            <w:r>
              <w:rPr>
                <w:rFonts w:hint="eastAsia" w:ascii="宋体" w:hAnsi="宋体" w:cs="宋体"/>
                <w:kern w:val="0"/>
                <w:lang w:val="en-US" w:eastAsia="zh-CN"/>
              </w:rPr>
              <w:t>服务</w:t>
            </w:r>
            <w:r>
              <w:rPr>
                <w:rFonts w:hint="eastAsia" w:ascii="宋体" w:hAnsi="宋体" w:cs="宋体"/>
                <w:kern w:val="0"/>
              </w:rPr>
              <w:t>（</w:t>
            </w:r>
            <w:r>
              <w:rPr>
                <w:rFonts w:hint="eastAsia" w:ascii="宋体" w:hAnsi="宋体" w:cs="宋体"/>
                <w:kern w:val="0"/>
                <w:lang w:eastAsia="zh-CN"/>
              </w:rPr>
              <w:t>报价人</w:t>
            </w:r>
            <w:r>
              <w:rPr>
                <w:rFonts w:hint="eastAsia" w:ascii="宋体" w:hAnsi="宋体" w:cs="宋体"/>
                <w:kern w:val="0"/>
              </w:rPr>
              <w:t>提供加盖公章的售后服务承诺函）</w:t>
            </w:r>
          </w:p>
        </w:tc>
      </w:tr>
    </w:tbl>
    <w:p w14:paraId="25416BDA">
      <w:pPr>
        <w:rPr>
          <w:rFonts w:hint="eastAsia"/>
        </w:rPr>
      </w:pPr>
    </w:p>
    <w:p w14:paraId="4ABE5916">
      <w:pPr>
        <w:pStyle w:val="53"/>
        <w:rPr>
          <w:rFonts w:ascii="宋体" w:hAnsi="宋体" w:eastAsia="宋体"/>
          <w:b/>
          <w:color w:val="auto"/>
          <w:szCs w:val="32"/>
        </w:rPr>
      </w:pPr>
    </w:p>
    <w:p w14:paraId="14DD035F">
      <w:pPr>
        <w:pStyle w:val="53"/>
        <w:rPr>
          <w:rFonts w:ascii="宋体" w:hAnsi="宋体" w:eastAsia="宋体"/>
          <w:b/>
          <w:color w:val="auto"/>
          <w:szCs w:val="32"/>
        </w:rPr>
      </w:pPr>
    </w:p>
    <w:p w14:paraId="72D122BE">
      <w:pPr>
        <w:pStyle w:val="53"/>
        <w:rPr>
          <w:rFonts w:ascii="宋体" w:hAnsi="宋体" w:eastAsia="宋体"/>
          <w:b/>
          <w:color w:val="auto"/>
          <w:szCs w:val="32"/>
        </w:rPr>
      </w:pPr>
    </w:p>
    <w:p w14:paraId="7CC8768E">
      <w:pPr>
        <w:pStyle w:val="53"/>
        <w:rPr>
          <w:rFonts w:ascii="宋体" w:hAnsi="宋体" w:eastAsia="宋体"/>
          <w:b/>
          <w:color w:val="auto"/>
          <w:szCs w:val="32"/>
        </w:rPr>
      </w:pPr>
    </w:p>
    <w:p w14:paraId="43CA104D">
      <w:pPr>
        <w:pStyle w:val="53"/>
        <w:rPr>
          <w:rFonts w:ascii="宋体" w:hAnsi="宋体" w:eastAsia="宋体"/>
          <w:b/>
          <w:color w:val="auto"/>
          <w:szCs w:val="32"/>
        </w:rPr>
      </w:pPr>
    </w:p>
    <w:p w14:paraId="2DB2EC8D">
      <w:pPr>
        <w:pStyle w:val="53"/>
        <w:rPr>
          <w:rFonts w:ascii="宋体" w:hAnsi="宋体" w:eastAsia="宋体"/>
          <w:b/>
          <w:color w:val="auto"/>
          <w:szCs w:val="32"/>
        </w:rPr>
      </w:pPr>
    </w:p>
    <w:p w14:paraId="650521CB">
      <w:pPr>
        <w:pStyle w:val="2"/>
      </w:pPr>
      <w:bookmarkStart w:id="1" w:name="_GoBack"/>
      <w:bookmarkEnd w:id="1"/>
      <w:r>
        <w:rPr>
          <w:rFonts w:hint="eastAsia"/>
        </w:rPr>
        <w:t>项目实施要求</w:t>
      </w:r>
    </w:p>
    <w:p w14:paraId="1B292F51">
      <w:pPr>
        <w:pStyle w:val="11"/>
        <w:spacing w:before="156"/>
        <w:ind w:firstLine="0" w:firstLineChars="0"/>
      </w:pPr>
      <w:r>
        <w:rPr>
          <w:rFonts w:hint="eastAsia"/>
        </w:rPr>
        <w:t>‌</w:t>
      </w:r>
      <w:r>
        <w:rPr>
          <w:rFonts w:hint="eastAsia"/>
          <w:lang w:eastAsia="zh-CN"/>
        </w:rPr>
        <w:t>（</w:t>
      </w:r>
      <w:r>
        <w:rPr>
          <w:rFonts w:hint="eastAsia"/>
          <w:lang w:val="en-US" w:eastAsia="zh-CN"/>
        </w:rPr>
        <w:t>一</w:t>
      </w:r>
      <w:r>
        <w:t>）履约服务要求</w:t>
      </w:r>
    </w:p>
    <w:p w14:paraId="7DA7603D">
      <w:pPr>
        <w:pStyle w:val="11"/>
        <w:spacing w:before="156"/>
      </w:pPr>
      <w:r>
        <w:t>供应商应仔细研读需求文档，根据项目内容及理解，提供项目详尽的实施方案和进度表。必须以响应用户需求文件中系统解决方案为中心，向采购人提供用户需求文件中采购的所有设备的安装服务，以实现系统优化运行。供应商有责任且必须承诺使采购人单位的系统达到以上目标。</w:t>
      </w:r>
    </w:p>
    <w:p w14:paraId="7B0191ED">
      <w:pPr>
        <w:pStyle w:val="11"/>
        <w:spacing w:before="156"/>
      </w:pPr>
      <w:r>
        <w:t>若本用户需求文件中所采购设备的配置或要求出现不合理或不完整的问题时，供应商有责任和义务在用户需求文件中提出补充修改方案。</w:t>
      </w:r>
    </w:p>
    <w:p w14:paraId="7DF31027">
      <w:pPr>
        <w:pStyle w:val="11"/>
        <w:spacing w:before="156"/>
      </w:pPr>
      <w:r>
        <w:t>1.为保证所投产品有正规的供货渠道和合法性，预成交供应商必须取得厂商所开具的加盖制造商公章的售后服务承诺函原件，不能提供上述文件或提供虚假文件的，视作自动放弃中标资格处理。</w:t>
      </w:r>
    </w:p>
    <w:p w14:paraId="396BE2A2">
      <w:pPr>
        <w:pStyle w:val="11"/>
        <w:spacing w:before="156"/>
      </w:pPr>
      <w:r>
        <w:t>2．项目工期为在合同签订3个月内完成项目的实施</w:t>
      </w:r>
      <w:r>
        <w:rPr>
          <w:rFonts w:hint="eastAsia"/>
          <w:lang w:val="en-US" w:eastAsia="zh-CN"/>
        </w:rPr>
        <w:t>及安装部署</w:t>
      </w:r>
      <w:r>
        <w:t>，提高</w:t>
      </w:r>
      <w:r>
        <w:rPr>
          <w:rFonts w:hint="eastAsia"/>
          <w:lang w:val="en-US" w:eastAsia="zh-CN"/>
        </w:rPr>
        <w:t>外网</w:t>
      </w:r>
      <w:r>
        <w:t>防御能力。</w:t>
      </w:r>
    </w:p>
    <w:p w14:paraId="3387C4D6">
      <w:pPr>
        <w:pStyle w:val="11"/>
        <w:spacing w:before="156"/>
      </w:pPr>
      <w:r>
        <w:t>3.</w:t>
      </w:r>
      <w:r>
        <w:tab/>
      </w:r>
      <w:r>
        <w:t>本用户需求文件要求供应商必须具有良好的系统设计和实施信誉以及相关实力的技术队伍。</w:t>
      </w:r>
    </w:p>
    <w:p w14:paraId="5815973A">
      <w:pPr>
        <w:pStyle w:val="11"/>
        <w:spacing w:before="156"/>
      </w:pPr>
      <w:r>
        <w:t>4.</w:t>
      </w:r>
      <w:r>
        <w:tab/>
      </w:r>
      <w:r>
        <w:t>供应商应本着认真负责态度，组织技术队伍，做好用户需求文件的整体方案并书面提出长期保修、维护、服务以及今后技术支持的措施计划和承诺。</w:t>
      </w:r>
    </w:p>
    <w:p w14:paraId="2C12BE0C">
      <w:pPr>
        <w:pStyle w:val="11"/>
        <w:spacing w:before="156"/>
      </w:pPr>
      <w:r>
        <w:t>5.</w:t>
      </w:r>
      <w:r>
        <w:tab/>
      </w:r>
      <w:r>
        <w:t>供应商应对满足规定指标的设备供货商的资质和信誉进行认真考核并对采购人项目单位负责。</w:t>
      </w:r>
    </w:p>
    <w:p w14:paraId="0587402D">
      <w:pPr>
        <w:pStyle w:val="11"/>
        <w:spacing w:before="156"/>
        <w:ind w:firstLine="0" w:firstLineChars="0"/>
      </w:pPr>
      <w:r>
        <w:t>（二）安装调试要求</w:t>
      </w:r>
    </w:p>
    <w:p w14:paraId="3BCDD765">
      <w:pPr>
        <w:pStyle w:val="11"/>
        <w:spacing w:before="156"/>
      </w:pPr>
      <w:r>
        <w:t xml:space="preserve">1. </w:t>
      </w:r>
      <w:r>
        <w:rPr>
          <w:rFonts w:hint="eastAsia"/>
          <w:lang w:eastAsia="zh-CN"/>
        </w:rPr>
        <w:t>供应商</w:t>
      </w:r>
      <w:r>
        <w:t>必须向采购人提供本项目采购内容的安装、部署和调试工作。若项目实施过程中出现不合理或不完整的问题时，</w:t>
      </w:r>
      <w:r>
        <w:rPr>
          <w:rFonts w:hint="eastAsia"/>
          <w:lang w:eastAsia="zh-CN"/>
        </w:rPr>
        <w:t>供应商</w:t>
      </w:r>
      <w:r>
        <w:t>有责任和义务在补充修改部署方案并征得采购人同意后付诸实施。</w:t>
      </w:r>
    </w:p>
    <w:p w14:paraId="60BEBBB2">
      <w:pPr>
        <w:pStyle w:val="11"/>
        <w:spacing w:before="156"/>
      </w:pPr>
      <w:r>
        <w:t>2. 安装调试或搭建测试环境在项目单位指定的地点进行，</w:t>
      </w:r>
      <w:r>
        <w:rPr>
          <w:rFonts w:hint="eastAsia"/>
          <w:lang w:eastAsia="zh-CN"/>
        </w:rPr>
        <w:t>供应商</w:t>
      </w:r>
      <w:r>
        <w:t>应首先拟出一个测试方案，与采购人讨论通过后，方可按计划进行测试。</w:t>
      </w:r>
    </w:p>
    <w:p w14:paraId="425EE4AB">
      <w:pPr>
        <w:pStyle w:val="11"/>
        <w:spacing w:before="156"/>
        <w:ind w:firstLine="0" w:firstLineChars="0"/>
      </w:pPr>
      <w:r>
        <w:t>（三）硬件设备要求</w:t>
      </w:r>
    </w:p>
    <w:p w14:paraId="5252BDCE">
      <w:pPr>
        <w:pStyle w:val="11"/>
        <w:spacing w:before="156"/>
      </w:pPr>
      <w:r>
        <w:t>本期项目建设的硬件设备，应满足一下要求：</w:t>
      </w:r>
    </w:p>
    <w:p w14:paraId="7188A7A8">
      <w:pPr>
        <w:pStyle w:val="11"/>
        <w:spacing w:before="156"/>
      </w:pPr>
      <w:r>
        <w:t>1.全部设备皆采用220V电源，50Hz。</w:t>
      </w:r>
      <w:r>
        <w:rPr>
          <w:rFonts w:hint="eastAsia"/>
          <w:lang w:eastAsia="zh-CN"/>
        </w:rPr>
        <w:t>供应商</w:t>
      </w:r>
      <w:r>
        <w:t>应提供厂商原装、完整、全新的、符合国家及采购人提出的有关质量标准的设备及部件。</w:t>
      </w:r>
    </w:p>
    <w:p w14:paraId="4E8ECB34">
      <w:pPr>
        <w:pStyle w:val="11"/>
        <w:spacing w:before="156"/>
      </w:pPr>
      <w:r>
        <w:t>2.要求对全部设备、产品、型号、规格、数量、外型、外观、包装及资料、文件（如装箱单、保修单、随箱介质等）的检查。</w:t>
      </w:r>
      <w:r>
        <w:rPr>
          <w:rFonts w:hint="eastAsia"/>
          <w:lang w:eastAsia="zh-CN"/>
        </w:rPr>
        <w:t>供应商</w:t>
      </w:r>
      <w:r>
        <w:t>报价中应已经包含设备连接并构成完整运行环境所必要的配件、辅件、配线、许可。</w:t>
      </w:r>
    </w:p>
    <w:p w14:paraId="6CEF9BF9">
      <w:pPr>
        <w:pStyle w:val="11"/>
        <w:spacing w:before="156"/>
      </w:pPr>
      <w:r>
        <w:t>3.凡列入《中华人民共和国实施强制性产品认证的产品目录》的产品在检查时出具CCC认证证书复印件，并以在产品外部加施认证标志作为验收依据之一。</w:t>
      </w:r>
    </w:p>
    <w:p w14:paraId="067CEC93">
      <w:pPr>
        <w:pStyle w:val="11"/>
        <w:spacing w:before="156"/>
        <w:rPr>
          <w:rFonts w:hint="eastAsia"/>
        </w:rPr>
      </w:pPr>
      <w:r>
        <w:t>4.</w:t>
      </w:r>
      <w:r>
        <w:rPr>
          <w:rFonts w:hint="eastAsia"/>
          <w:lang w:eastAsia="zh-CN"/>
        </w:rPr>
        <w:t>供应商</w:t>
      </w:r>
      <w:r>
        <w:t>应负责在项目验收时</w:t>
      </w:r>
      <w:r>
        <w:rPr>
          <w:rFonts w:hint="eastAsia"/>
          <w:lang w:eastAsia="zh-CN"/>
        </w:rPr>
        <w:t>，</w:t>
      </w:r>
      <w:r>
        <w:rPr>
          <w:rFonts w:hint="eastAsia"/>
        </w:rPr>
        <w:t>将系统的全部有关产品说明书、原厂家安装手册、技术文件、资料、及安装、验收报告等文档汇集成册交付设备使用单位。</w:t>
      </w:r>
    </w:p>
    <w:p w14:paraId="040228E3">
      <w:pPr>
        <w:pStyle w:val="11"/>
        <w:spacing w:before="156"/>
        <w:rPr>
          <w:rFonts w:hint="eastAsia"/>
        </w:rPr>
      </w:pPr>
      <w:r>
        <w:rPr>
          <w:rFonts w:hint="eastAsia"/>
        </w:rPr>
        <w:t>5.所有设备、器材在开箱时须完好，无破损。配置与装箱单相符。数量、质量及性能不低于合同要求。</w:t>
      </w:r>
    </w:p>
    <w:p w14:paraId="748E9FD0">
      <w:pPr>
        <w:pStyle w:val="11"/>
        <w:spacing w:before="156"/>
        <w:rPr>
          <w:rFonts w:hint="eastAsia"/>
        </w:rPr>
      </w:pPr>
      <w:r>
        <w:rPr>
          <w:rFonts w:hint="eastAsia"/>
        </w:rPr>
        <w:t>6.拆箱后，</w:t>
      </w:r>
      <w:r>
        <w:rPr>
          <w:rFonts w:hint="eastAsia"/>
          <w:lang w:eastAsia="zh-CN"/>
        </w:rPr>
        <w:t>供应商</w:t>
      </w:r>
      <w:r>
        <w:rPr>
          <w:rFonts w:hint="eastAsia"/>
        </w:rPr>
        <w:t>应对其全部产品、零件、配件、用户许可证书、资料、介质造册登记，并与装箱单对比，如有出入应立即书面记录，由供货商解决，如影响安装则按合同有关条款处理。</w:t>
      </w:r>
    </w:p>
    <w:p w14:paraId="0CB4799A">
      <w:pPr>
        <w:pStyle w:val="11"/>
        <w:spacing w:before="156"/>
        <w:rPr>
          <w:rFonts w:hint="eastAsia"/>
        </w:rPr>
      </w:pPr>
      <w:r>
        <w:rPr>
          <w:rFonts w:hint="eastAsia"/>
        </w:rPr>
        <w:t>（四）培训服务要求</w:t>
      </w:r>
    </w:p>
    <w:p w14:paraId="2FC729B3">
      <w:pPr>
        <w:pStyle w:val="11"/>
        <w:spacing w:before="156"/>
        <w:rPr>
          <w:rFonts w:hint="eastAsia"/>
        </w:rPr>
      </w:pPr>
      <w:r>
        <w:rPr>
          <w:rFonts w:hint="eastAsia"/>
        </w:rPr>
        <w:t>原厂相关专家不少于2天关于系统安装配置、系统调试、操作使用、运行维护、故障排除等方面知识的培训，确保产品交付后用户能够正常有效使用产品，发挥产品价值。</w:t>
      </w:r>
    </w:p>
    <w:p w14:paraId="54C8ED96">
      <w:pPr>
        <w:pStyle w:val="11"/>
        <w:spacing w:before="156"/>
        <w:rPr>
          <w:rFonts w:hint="eastAsia"/>
        </w:rPr>
      </w:pPr>
      <w:r>
        <w:rPr>
          <w:rFonts w:hint="eastAsia"/>
        </w:rPr>
        <w:t>1.培训资料要求</w:t>
      </w:r>
    </w:p>
    <w:p w14:paraId="1712FF4C">
      <w:pPr>
        <w:pStyle w:val="11"/>
        <w:spacing w:before="156"/>
        <w:rPr>
          <w:rFonts w:hint="eastAsia"/>
        </w:rPr>
      </w:pPr>
      <w:r>
        <w:rPr>
          <w:rFonts w:hint="eastAsia"/>
          <w:lang w:eastAsia="zh-CN"/>
        </w:rPr>
        <w:t>供应商</w:t>
      </w:r>
      <w:r>
        <w:rPr>
          <w:rFonts w:hint="eastAsia"/>
        </w:rPr>
        <w:t>在试运行前提交培训计划和课程内容安排，征得用户方同意后实施。</w:t>
      </w:r>
      <w:r>
        <w:rPr>
          <w:rFonts w:hint="eastAsia"/>
          <w:lang w:eastAsia="zh-CN"/>
        </w:rPr>
        <w:t>供应商</w:t>
      </w:r>
      <w:r>
        <w:rPr>
          <w:rFonts w:hint="eastAsia"/>
        </w:rPr>
        <w:t>应承担培训所产生的所有费用。所有的培训资料必须是中文书写。</w:t>
      </w:r>
    </w:p>
    <w:p w14:paraId="5D9FB3CA">
      <w:pPr>
        <w:pStyle w:val="11"/>
        <w:spacing w:before="156"/>
        <w:rPr>
          <w:rFonts w:hint="eastAsia"/>
        </w:rPr>
      </w:pPr>
      <w:r>
        <w:rPr>
          <w:rFonts w:hint="eastAsia"/>
        </w:rPr>
        <w:t>2.培训内容及目标</w:t>
      </w:r>
    </w:p>
    <w:p w14:paraId="180E134B">
      <w:pPr>
        <w:pStyle w:val="11"/>
        <w:spacing w:before="156"/>
        <w:rPr>
          <w:rFonts w:hint="eastAsia"/>
        </w:rPr>
      </w:pPr>
      <w:r>
        <w:rPr>
          <w:rFonts w:hint="eastAsia"/>
        </w:rPr>
        <w:t>本项目培训包括用户培训和系统管理员培训。必须针对不同的对象制定不同的培训计划，</w:t>
      </w:r>
      <w:r>
        <w:rPr>
          <w:rFonts w:hint="eastAsia"/>
          <w:lang w:eastAsia="zh-CN"/>
        </w:rPr>
        <w:t>供应商</w:t>
      </w:r>
      <w:r>
        <w:rPr>
          <w:rFonts w:hint="eastAsia"/>
        </w:rPr>
        <w:t>则应根据实际数量分别培训。</w:t>
      </w:r>
    </w:p>
    <w:p w14:paraId="748D8CD6">
      <w:pPr>
        <w:pStyle w:val="53"/>
        <w:spacing w:line="360" w:lineRule="auto"/>
        <w:ind w:firstLine="480" w:firstLineChars="200"/>
        <w:rPr>
          <w:rFonts w:hint="eastAsia" w:ascii="宋体" w:hAnsi="宋体" w:eastAsia="宋体"/>
          <w:color w:val="auto"/>
        </w:rPr>
      </w:pPr>
      <w:r>
        <w:rPr>
          <w:rFonts w:hint="eastAsia"/>
        </w:rPr>
        <w:t>具体培训人数及时长应以用户需求为准。</w:t>
      </w:r>
    </w:p>
    <w:p w14:paraId="19FD563F">
      <w:pPr>
        <w:pStyle w:val="2"/>
      </w:pPr>
      <w:r>
        <w:rPr>
          <w:rFonts w:hint="eastAsia"/>
        </w:rPr>
        <w:t>售后服务要求</w:t>
      </w:r>
    </w:p>
    <w:p w14:paraId="13952161">
      <w:pPr>
        <w:pStyle w:val="11"/>
        <w:spacing w:before="156"/>
        <w:ind w:firstLine="0" w:firstLineChars="0"/>
        <w:rPr>
          <w:rFonts w:hint="eastAsia"/>
          <w:lang w:val="en-US" w:eastAsia="zh-CN"/>
        </w:rPr>
      </w:pPr>
      <w:r>
        <w:rPr>
          <w:rFonts w:hint="eastAsia"/>
          <w:lang w:val="en-US" w:eastAsia="zh-CN"/>
        </w:rPr>
        <w:t>（一）质保期要求</w:t>
      </w:r>
    </w:p>
    <w:p w14:paraId="3A2FADC7">
      <w:pPr>
        <w:pStyle w:val="11"/>
        <w:spacing w:before="156"/>
        <w:rPr>
          <w:rFonts w:hint="eastAsia"/>
          <w:lang w:val="en-US" w:eastAsia="zh-CN"/>
        </w:rPr>
      </w:pPr>
      <w:r>
        <w:rPr>
          <w:rFonts w:hint="eastAsia"/>
          <w:lang w:val="en-US" w:eastAsia="zh-CN"/>
        </w:rPr>
        <w:t>本期项目所有产品均需提供3年保修服务。保修期内，所有产品的维修均为免费，采购人不承担任何费用。</w:t>
      </w:r>
    </w:p>
    <w:p w14:paraId="17E4A769">
      <w:pPr>
        <w:pStyle w:val="11"/>
        <w:spacing w:before="156"/>
        <w:rPr>
          <w:rFonts w:hint="eastAsia"/>
          <w:lang w:val="en-US" w:eastAsia="zh-CN"/>
        </w:rPr>
      </w:pPr>
      <w:r>
        <w:rPr>
          <w:rFonts w:hint="eastAsia"/>
          <w:lang w:val="en-US" w:eastAsia="zh-CN"/>
        </w:rPr>
        <w:t>保修期内，故障报修的响应时间，要求7*24响应，周一至周五8：00～18:00期间供应商必须在2小时之内派员到现场解决问题，其余时间为4小时。在24小时内无法解决问题，要求提供不低于故障设备的性能的设备供采购人代用，直到排除故障。</w:t>
      </w:r>
    </w:p>
    <w:p w14:paraId="7A2733EF">
      <w:pPr>
        <w:pStyle w:val="11"/>
        <w:spacing w:before="156"/>
        <w:rPr>
          <w:rFonts w:hint="eastAsia"/>
          <w:lang w:val="en-US" w:eastAsia="zh-CN"/>
        </w:rPr>
      </w:pPr>
      <w:r>
        <w:rPr>
          <w:rFonts w:hint="eastAsia"/>
          <w:lang w:val="en-US" w:eastAsia="zh-CN"/>
        </w:rPr>
        <w:t>售后服务责任与费用保修期内，所有设备维修服务均为上门服务，由此产生的费用均不再收取。须提供系统扩充、升级方面的技术支持服务。</w:t>
      </w:r>
    </w:p>
    <w:p w14:paraId="0E96757F">
      <w:pPr>
        <w:pStyle w:val="11"/>
        <w:spacing w:before="156"/>
        <w:rPr>
          <w:rFonts w:hint="eastAsia"/>
          <w:lang w:val="en-US" w:eastAsia="zh-CN"/>
        </w:rPr>
      </w:pPr>
      <w:r>
        <w:rPr>
          <w:rFonts w:hint="eastAsia"/>
          <w:lang w:val="en-US" w:eastAsia="zh-CN"/>
        </w:rPr>
        <w:t>重大节假日以及重要评审会议期间，按需提供现场应急支持服务。</w:t>
      </w:r>
    </w:p>
    <w:p w14:paraId="3DF4348B">
      <w:pPr>
        <w:pStyle w:val="11"/>
        <w:spacing w:before="156"/>
        <w:rPr>
          <w:rFonts w:hint="eastAsia"/>
          <w:lang w:val="en-US" w:eastAsia="zh-CN"/>
        </w:rPr>
      </w:pPr>
      <w:r>
        <w:rPr>
          <w:rFonts w:hint="eastAsia"/>
          <w:lang w:val="en-US" w:eastAsia="zh-CN"/>
        </w:rPr>
        <w:t>项目验收前，需提供项目实施文档、测试文档及其他验收交付文档，同时按照院方要求，做好设备的线缆标识、设备标识。</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203D4">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rPr>
      <w:t>2</w:t>
    </w:r>
    <w:r>
      <w:rPr>
        <w:caps/>
        <w:color w:val="5B9BD5"/>
      </w:rPr>
      <w:fldChar w:fldCharType="end"/>
    </w:r>
  </w:p>
  <w:p w14:paraId="5989463F">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AC0FA"/>
    <w:multiLevelType w:val="multilevel"/>
    <w:tmpl w:val="9FEAC0FA"/>
    <w:lvl w:ilvl="0" w:tentative="0">
      <w:start w:val="1"/>
      <w:numFmt w:val="chineseCountingThousand"/>
      <w:pStyle w:val="2"/>
      <w:lvlText w:val="%1、"/>
      <w:lvlJc w:val="left"/>
      <w:pPr>
        <w:ind w:left="432" w:hanging="432"/>
      </w:pPr>
      <w:rPr>
        <w:rFonts w:hint="eastAsia"/>
      </w:rPr>
    </w:lvl>
    <w:lvl w:ilvl="1" w:tentative="0">
      <w:start w:val="1"/>
      <w:numFmt w:val="decimal"/>
      <w:pStyle w:val="3"/>
      <w:isLgl/>
      <w:lvlText w:val="%1.%2"/>
      <w:lvlJc w:val="left"/>
      <w:pPr>
        <w:ind w:left="576" w:hanging="576"/>
      </w:pPr>
      <w:rPr>
        <w:rFonts w:hint="eastAsia"/>
      </w:rPr>
    </w:lvl>
    <w:lvl w:ilvl="2" w:tentative="0">
      <w:start w:val="1"/>
      <w:numFmt w:val="decimal"/>
      <w:pStyle w:val="4"/>
      <w:isLgl/>
      <w:suff w:val="space"/>
      <w:lvlText w:val="%1.%2.%3"/>
      <w:lvlJc w:val="left"/>
      <w:pPr>
        <w:ind w:left="720" w:hanging="720"/>
      </w:pPr>
      <w:rPr>
        <w:rFonts w:hint="eastAsia"/>
      </w:rPr>
    </w:lvl>
    <w:lvl w:ilvl="3" w:tentative="0">
      <w:start w:val="1"/>
      <w:numFmt w:val="decimal"/>
      <w:pStyle w:val="5"/>
      <w:isLgl/>
      <w:suff w:val="space"/>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2" w:hanging="1152"/>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BDC94DB"/>
    <w:multiLevelType w:val="singleLevel"/>
    <w:tmpl w:val="5BDC94DB"/>
    <w:lvl w:ilvl="0" w:tentative="0">
      <w:start w:val="1"/>
      <w:numFmt w:val="decimal"/>
      <w:suff w:val="nothing"/>
      <w:lvlText w:val="%1"/>
      <w:lvlJc w:val="left"/>
      <w:pPr>
        <w:tabs>
          <w:tab w:val="left" w:pos="0"/>
        </w:tabs>
        <w:ind w:left="425" w:hanging="425"/>
      </w:pPr>
      <w:rPr>
        <w:rFonts w:hint="default"/>
      </w:rPr>
    </w:lvl>
  </w:abstractNum>
  <w:abstractNum w:abstractNumId="3">
    <w:nsid w:val="77FFA40B"/>
    <w:multiLevelType w:val="singleLevel"/>
    <w:tmpl w:val="77FFA40B"/>
    <w:lvl w:ilvl="0" w:tentative="0">
      <w:start w:val="1"/>
      <w:numFmt w:val="decimal"/>
      <w:lvlText w:val="%1."/>
      <w:lvlJc w:val="left"/>
      <w:pPr>
        <w:tabs>
          <w:tab w:val="left" w:pos="312"/>
        </w:tabs>
      </w:pPr>
    </w:lvl>
  </w:abstractNum>
  <w:abstractNum w:abstractNumId="4">
    <w:nsid w:val="7BF8397C"/>
    <w:multiLevelType w:val="singleLevel"/>
    <w:tmpl w:val="7BF8397C"/>
    <w:lvl w:ilvl="0" w:tentative="0">
      <w:start w:val="1"/>
      <w:numFmt w:val="decimal"/>
      <w:suff w:val="nothing"/>
      <w:lvlText w:val="%1"/>
      <w:lvlJc w:val="left"/>
      <w:pPr>
        <w:tabs>
          <w:tab w:val="left" w:pos="0"/>
        </w:tabs>
        <w:ind w:left="425" w:hanging="425"/>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172A27"/>
    <w:rsid w:val="00002E86"/>
    <w:rsid w:val="00003E42"/>
    <w:rsid w:val="000051D2"/>
    <w:rsid w:val="00007097"/>
    <w:rsid w:val="000079DD"/>
    <w:rsid w:val="00012DCC"/>
    <w:rsid w:val="0001327F"/>
    <w:rsid w:val="00016B63"/>
    <w:rsid w:val="000226EE"/>
    <w:rsid w:val="00037BB9"/>
    <w:rsid w:val="0004334E"/>
    <w:rsid w:val="000463D8"/>
    <w:rsid w:val="00046B39"/>
    <w:rsid w:val="00054706"/>
    <w:rsid w:val="00062A12"/>
    <w:rsid w:val="00066DE7"/>
    <w:rsid w:val="00074EDD"/>
    <w:rsid w:val="000805F8"/>
    <w:rsid w:val="00086AE0"/>
    <w:rsid w:val="00090A18"/>
    <w:rsid w:val="000A1BCB"/>
    <w:rsid w:val="000B0EA3"/>
    <w:rsid w:val="000B200B"/>
    <w:rsid w:val="000B41B7"/>
    <w:rsid w:val="000B6A3F"/>
    <w:rsid w:val="000C3EEA"/>
    <w:rsid w:val="000C739A"/>
    <w:rsid w:val="000D5317"/>
    <w:rsid w:val="000E276C"/>
    <w:rsid w:val="000E4524"/>
    <w:rsid w:val="000F13A2"/>
    <w:rsid w:val="00106D68"/>
    <w:rsid w:val="001106CE"/>
    <w:rsid w:val="001107F8"/>
    <w:rsid w:val="001116F6"/>
    <w:rsid w:val="001201A8"/>
    <w:rsid w:val="00121E40"/>
    <w:rsid w:val="0012322D"/>
    <w:rsid w:val="00123FCC"/>
    <w:rsid w:val="00124807"/>
    <w:rsid w:val="00124AE1"/>
    <w:rsid w:val="0013077D"/>
    <w:rsid w:val="00130CE2"/>
    <w:rsid w:val="00134789"/>
    <w:rsid w:val="00135BF9"/>
    <w:rsid w:val="001365DD"/>
    <w:rsid w:val="00136606"/>
    <w:rsid w:val="00140E0C"/>
    <w:rsid w:val="0014437A"/>
    <w:rsid w:val="00150831"/>
    <w:rsid w:val="00153AB3"/>
    <w:rsid w:val="001568F4"/>
    <w:rsid w:val="00162D29"/>
    <w:rsid w:val="00164878"/>
    <w:rsid w:val="00165091"/>
    <w:rsid w:val="00171903"/>
    <w:rsid w:val="001720CC"/>
    <w:rsid w:val="0018200C"/>
    <w:rsid w:val="001833B6"/>
    <w:rsid w:val="00183958"/>
    <w:rsid w:val="00190CD2"/>
    <w:rsid w:val="001A22A1"/>
    <w:rsid w:val="001B3CEF"/>
    <w:rsid w:val="001B4850"/>
    <w:rsid w:val="001B7864"/>
    <w:rsid w:val="001B7966"/>
    <w:rsid w:val="001B7D79"/>
    <w:rsid w:val="001C23B3"/>
    <w:rsid w:val="001C7BC6"/>
    <w:rsid w:val="001D3957"/>
    <w:rsid w:val="001D6AA3"/>
    <w:rsid w:val="001D7749"/>
    <w:rsid w:val="001E1F35"/>
    <w:rsid w:val="001E3B38"/>
    <w:rsid w:val="001F3EB0"/>
    <w:rsid w:val="00200054"/>
    <w:rsid w:val="002000DE"/>
    <w:rsid w:val="00202EFF"/>
    <w:rsid w:val="0020509F"/>
    <w:rsid w:val="00207A96"/>
    <w:rsid w:val="00214A6F"/>
    <w:rsid w:val="00221F1F"/>
    <w:rsid w:val="00223E47"/>
    <w:rsid w:val="00233AE2"/>
    <w:rsid w:val="00234414"/>
    <w:rsid w:val="00241D77"/>
    <w:rsid w:val="002509F5"/>
    <w:rsid w:val="00251C0E"/>
    <w:rsid w:val="002535AA"/>
    <w:rsid w:val="00257ABF"/>
    <w:rsid w:val="00261CBC"/>
    <w:rsid w:val="0026320A"/>
    <w:rsid w:val="00265DE7"/>
    <w:rsid w:val="00270260"/>
    <w:rsid w:val="002720CE"/>
    <w:rsid w:val="002722CA"/>
    <w:rsid w:val="0027451B"/>
    <w:rsid w:val="00275C0F"/>
    <w:rsid w:val="002834D3"/>
    <w:rsid w:val="002853BF"/>
    <w:rsid w:val="00291FB8"/>
    <w:rsid w:val="00292528"/>
    <w:rsid w:val="002A01D6"/>
    <w:rsid w:val="002A4778"/>
    <w:rsid w:val="002C53D1"/>
    <w:rsid w:val="002D6BE1"/>
    <w:rsid w:val="002E3D5A"/>
    <w:rsid w:val="002E4754"/>
    <w:rsid w:val="002F31F1"/>
    <w:rsid w:val="003024F8"/>
    <w:rsid w:val="00303343"/>
    <w:rsid w:val="00303CAB"/>
    <w:rsid w:val="003042A2"/>
    <w:rsid w:val="00304636"/>
    <w:rsid w:val="00311322"/>
    <w:rsid w:val="00314A5A"/>
    <w:rsid w:val="003150C5"/>
    <w:rsid w:val="003168D6"/>
    <w:rsid w:val="00322973"/>
    <w:rsid w:val="00322B45"/>
    <w:rsid w:val="003325F0"/>
    <w:rsid w:val="00341038"/>
    <w:rsid w:val="00352E7C"/>
    <w:rsid w:val="00353276"/>
    <w:rsid w:val="003653C0"/>
    <w:rsid w:val="00366980"/>
    <w:rsid w:val="003802E2"/>
    <w:rsid w:val="00380CE9"/>
    <w:rsid w:val="00382D91"/>
    <w:rsid w:val="00385E95"/>
    <w:rsid w:val="00385FED"/>
    <w:rsid w:val="00392120"/>
    <w:rsid w:val="00397B7E"/>
    <w:rsid w:val="003A7269"/>
    <w:rsid w:val="003A799F"/>
    <w:rsid w:val="003C0FB7"/>
    <w:rsid w:val="003C6D81"/>
    <w:rsid w:val="003D0F80"/>
    <w:rsid w:val="003D2595"/>
    <w:rsid w:val="003D26D1"/>
    <w:rsid w:val="003D42A6"/>
    <w:rsid w:val="003E7083"/>
    <w:rsid w:val="003F629F"/>
    <w:rsid w:val="00402A4C"/>
    <w:rsid w:val="00403938"/>
    <w:rsid w:val="00413DA3"/>
    <w:rsid w:val="00414171"/>
    <w:rsid w:val="0041771C"/>
    <w:rsid w:val="0041787F"/>
    <w:rsid w:val="00423450"/>
    <w:rsid w:val="0042702D"/>
    <w:rsid w:val="00430AD3"/>
    <w:rsid w:val="00435C81"/>
    <w:rsid w:val="00440F72"/>
    <w:rsid w:val="004565AA"/>
    <w:rsid w:val="00456A2C"/>
    <w:rsid w:val="00460001"/>
    <w:rsid w:val="00462BA7"/>
    <w:rsid w:val="004630DC"/>
    <w:rsid w:val="00472B82"/>
    <w:rsid w:val="00474AE0"/>
    <w:rsid w:val="0047796F"/>
    <w:rsid w:val="00482931"/>
    <w:rsid w:val="00485DEA"/>
    <w:rsid w:val="00495574"/>
    <w:rsid w:val="004A44FF"/>
    <w:rsid w:val="004A7A0D"/>
    <w:rsid w:val="004C2C5B"/>
    <w:rsid w:val="004E2D8F"/>
    <w:rsid w:val="004E5E61"/>
    <w:rsid w:val="004F1410"/>
    <w:rsid w:val="00500264"/>
    <w:rsid w:val="00507E54"/>
    <w:rsid w:val="00510B1E"/>
    <w:rsid w:val="005120A9"/>
    <w:rsid w:val="00517D7C"/>
    <w:rsid w:val="00520646"/>
    <w:rsid w:val="0052176F"/>
    <w:rsid w:val="0052604B"/>
    <w:rsid w:val="0052690C"/>
    <w:rsid w:val="0053088D"/>
    <w:rsid w:val="00534BF6"/>
    <w:rsid w:val="00537CDE"/>
    <w:rsid w:val="005409FC"/>
    <w:rsid w:val="0054210F"/>
    <w:rsid w:val="00552AB4"/>
    <w:rsid w:val="005563D3"/>
    <w:rsid w:val="005712A9"/>
    <w:rsid w:val="0057291B"/>
    <w:rsid w:val="005745ED"/>
    <w:rsid w:val="00575F76"/>
    <w:rsid w:val="005766CE"/>
    <w:rsid w:val="00580F0E"/>
    <w:rsid w:val="00581C26"/>
    <w:rsid w:val="00591388"/>
    <w:rsid w:val="005920EA"/>
    <w:rsid w:val="0059358B"/>
    <w:rsid w:val="005944F9"/>
    <w:rsid w:val="00595D97"/>
    <w:rsid w:val="00596428"/>
    <w:rsid w:val="00596CC5"/>
    <w:rsid w:val="005A4D1C"/>
    <w:rsid w:val="005B046D"/>
    <w:rsid w:val="005B226A"/>
    <w:rsid w:val="005B33AE"/>
    <w:rsid w:val="005B5966"/>
    <w:rsid w:val="005C4979"/>
    <w:rsid w:val="005C49D7"/>
    <w:rsid w:val="005C60FB"/>
    <w:rsid w:val="005C7EF5"/>
    <w:rsid w:val="005D1C7F"/>
    <w:rsid w:val="005D2402"/>
    <w:rsid w:val="005D2BF6"/>
    <w:rsid w:val="005E7C53"/>
    <w:rsid w:val="005F0356"/>
    <w:rsid w:val="005F73BC"/>
    <w:rsid w:val="00600923"/>
    <w:rsid w:val="006053FC"/>
    <w:rsid w:val="00610205"/>
    <w:rsid w:val="00612F3F"/>
    <w:rsid w:val="00623637"/>
    <w:rsid w:val="006279C6"/>
    <w:rsid w:val="006308A5"/>
    <w:rsid w:val="00636AE9"/>
    <w:rsid w:val="00644F1D"/>
    <w:rsid w:val="00646B59"/>
    <w:rsid w:val="006604C2"/>
    <w:rsid w:val="00665A7D"/>
    <w:rsid w:val="0068051E"/>
    <w:rsid w:val="006861F5"/>
    <w:rsid w:val="00686815"/>
    <w:rsid w:val="0068706A"/>
    <w:rsid w:val="00697FBB"/>
    <w:rsid w:val="006B2085"/>
    <w:rsid w:val="006B21B8"/>
    <w:rsid w:val="006B7B58"/>
    <w:rsid w:val="006C0423"/>
    <w:rsid w:val="006C36EB"/>
    <w:rsid w:val="006D4B15"/>
    <w:rsid w:val="006D59F7"/>
    <w:rsid w:val="006E28C7"/>
    <w:rsid w:val="006E5E07"/>
    <w:rsid w:val="006F0434"/>
    <w:rsid w:val="007007DF"/>
    <w:rsid w:val="00701D12"/>
    <w:rsid w:val="0070239F"/>
    <w:rsid w:val="0072309C"/>
    <w:rsid w:val="0072333B"/>
    <w:rsid w:val="0072695B"/>
    <w:rsid w:val="00734273"/>
    <w:rsid w:val="0074224C"/>
    <w:rsid w:val="00750A70"/>
    <w:rsid w:val="0075211B"/>
    <w:rsid w:val="00752912"/>
    <w:rsid w:val="007556BE"/>
    <w:rsid w:val="007621CC"/>
    <w:rsid w:val="00764B48"/>
    <w:rsid w:val="0076668A"/>
    <w:rsid w:val="00780543"/>
    <w:rsid w:val="00784C08"/>
    <w:rsid w:val="00785EDF"/>
    <w:rsid w:val="00786A29"/>
    <w:rsid w:val="00795F59"/>
    <w:rsid w:val="007C0A5B"/>
    <w:rsid w:val="007C29E2"/>
    <w:rsid w:val="007D225B"/>
    <w:rsid w:val="007D22AB"/>
    <w:rsid w:val="007D4B97"/>
    <w:rsid w:val="007E623D"/>
    <w:rsid w:val="007E71E6"/>
    <w:rsid w:val="007F5726"/>
    <w:rsid w:val="00806D92"/>
    <w:rsid w:val="00815726"/>
    <w:rsid w:val="008168FB"/>
    <w:rsid w:val="00816935"/>
    <w:rsid w:val="00822BA6"/>
    <w:rsid w:val="00832B6D"/>
    <w:rsid w:val="008419E9"/>
    <w:rsid w:val="00846C1D"/>
    <w:rsid w:val="008548FB"/>
    <w:rsid w:val="008623FD"/>
    <w:rsid w:val="00863D74"/>
    <w:rsid w:val="00866774"/>
    <w:rsid w:val="00873B97"/>
    <w:rsid w:val="00874FEB"/>
    <w:rsid w:val="008A62AC"/>
    <w:rsid w:val="008B2206"/>
    <w:rsid w:val="008C255D"/>
    <w:rsid w:val="008D3291"/>
    <w:rsid w:val="008D59AA"/>
    <w:rsid w:val="008E145D"/>
    <w:rsid w:val="008E2B56"/>
    <w:rsid w:val="008E2DFE"/>
    <w:rsid w:val="00900232"/>
    <w:rsid w:val="00900BAA"/>
    <w:rsid w:val="00903734"/>
    <w:rsid w:val="00903878"/>
    <w:rsid w:val="00903CF6"/>
    <w:rsid w:val="009052C7"/>
    <w:rsid w:val="00905FFA"/>
    <w:rsid w:val="0092017A"/>
    <w:rsid w:val="00922032"/>
    <w:rsid w:val="00925C23"/>
    <w:rsid w:val="00927E08"/>
    <w:rsid w:val="009303FA"/>
    <w:rsid w:val="00943004"/>
    <w:rsid w:val="00955958"/>
    <w:rsid w:val="00966A88"/>
    <w:rsid w:val="00967EAC"/>
    <w:rsid w:val="00973A47"/>
    <w:rsid w:val="00981ED8"/>
    <w:rsid w:val="00982AA3"/>
    <w:rsid w:val="009863EF"/>
    <w:rsid w:val="00986A41"/>
    <w:rsid w:val="0098719A"/>
    <w:rsid w:val="00991FF2"/>
    <w:rsid w:val="0099315B"/>
    <w:rsid w:val="00995DD9"/>
    <w:rsid w:val="009C1F02"/>
    <w:rsid w:val="009C3783"/>
    <w:rsid w:val="009C4E7E"/>
    <w:rsid w:val="009D5B82"/>
    <w:rsid w:val="009D6951"/>
    <w:rsid w:val="009D7DD1"/>
    <w:rsid w:val="009E0351"/>
    <w:rsid w:val="009E214B"/>
    <w:rsid w:val="009E53AF"/>
    <w:rsid w:val="009F0270"/>
    <w:rsid w:val="009F61FA"/>
    <w:rsid w:val="00A04B65"/>
    <w:rsid w:val="00A05796"/>
    <w:rsid w:val="00A1231C"/>
    <w:rsid w:val="00A13CB0"/>
    <w:rsid w:val="00A14FD8"/>
    <w:rsid w:val="00A15EC1"/>
    <w:rsid w:val="00A22CA1"/>
    <w:rsid w:val="00A42126"/>
    <w:rsid w:val="00A4595D"/>
    <w:rsid w:val="00A51146"/>
    <w:rsid w:val="00A61D3A"/>
    <w:rsid w:val="00A66833"/>
    <w:rsid w:val="00A70DCF"/>
    <w:rsid w:val="00A72437"/>
    <w:rsid w:val="00A73FDF"/>
    <w:rsid w:val="00A870DD"/>
    <w:rsid w:val="00A918F2"/>
    <w:rsid w:val="00A953ED"/>
    <w:rsid w:val="00A96157"/>
    <w:rsid w:val="00A969AF"/>
    <w:rsid w:val="00A9729E"/>
    <w:rsid w:val="00AA1F69"/>
    <w:rsid w:val="00AB348F"/>
    <w:rsid w:val="00AB3FCB"/>
    <w:rsid w:val="00AB7D36"/>
    <w:rsid w:val="00AC1390"/>
    <w:rsid w:val="00AC4663"/>
    <w:rsid w:val="00AD660B"/>
    <w:rsid w:val="00AE0007"/>
    <w:rsid w:val="00AE02ED"/>
    <w:rsid w:val="00AE1DD2"/>
    <w:rsid w:val="00AE4106"/>
    <w:rsid w:val="00B12073"/>
    <w:rsid w:val="00B12138"/>
    <w:rsid w:val="00B17749"/>
    <w:rsid w:val="00B17AE9"/>
    <w:rsid w:val="00B17C05"/>
    <w:rsid w:val="00B20334"/>
    <w:rsid w:val="00B20819"/>
    <w:rsid w:val="00B225B9"/>
    <w:rsid w:val="00B24AB1"/>
    <w:rsid w:val="00B36BD9"/>
    <w:rsid w:val="00B41A4C"/>
    <w:rsid w:val="00B43095"/>
    <w:rsid w:val="00B446CA"/>
    <w:rsid w:val="00B5093C"/>
    <w:rsid w:val="00B5413F"/>
    <w:rsid w:val="00B54356"/>
    <w:rsid w:val="00B55FE5"/>
    <w:rsid w:val="00B62917"/>
    <w:rsid w:val="00B67506"/>
    <w:rsid w:val="00B7114B"/>
    <w:rsid w:val="00B74609"/>
    <w:rsid w:val="00B752B2"/>
    <w:rsid w:val="00B765E3"/>
    <w:rsid w:val="00B80E39"/>
    <w:rsid w:val="00B824A5"/>
    <w:rsid w:val="00B8588F"/>
    <w:rsid w:val="00B858F1"/>
    <w:rsid w:val="00B863F9"/>
    <w:rsid w:val="00B8684C"/>
    <w:rsid w:val="00BA5A2D"/>
    <w:rsid w:val="00BA5B8F"/>
    <w:rsid w:val="00BB2B54"/>
    <w:rsid w:val="00BC0FED"/>
    <w:rsid w:val="00BC3CA1"/>
    <w:rsid w:val="00BC49E5"/>
    <w:rsid w:val="00BD3194"/>
    <w:rsid w:val="00BD5ADD"/>
    <w:rsid w:val="00BD5FA8"/>
    <w:rsid w:val="00BD630E"/>
    <w:rsid w:val="00BE23E5"/>
    <w:rsid w:val="00BE31E6"/>
    <w:rsid w:val="00BF0CE4"/>
    <w:rsid w:val="00BF1E5D"/>
    <w:rsid w:val="00BF6959"/>
    <w:rsid w:val="00BF757E"/>
    <w:rsid w:val="00BF7C0E"/>
    <w:rsid w:val="00BF7F5A"/>
    <w:rsid w:val="00C04539"/>
    <w:rsid w:val="00C17719"/>
    <w:rsid w:val="00C2470A"/>
    <w:rsid w:val="00C335D8"/>
    <w:rsid w:val="00C36A48"/>
    <w:rsid w:val="00C41607"/>
    <w:rsid w:val="00C420BE"/>
    <w:rsid w:val="00C45DD2"/>
    <w:rsid w:val="00C50E12"/>
    <w:rsid w:val="00C533CB"/>
    <w:rsid w:val="00C54491"/>
    <w:rsid w:val="00C71B43"/>
    <w:rsid w:val="00C74D8F"/>
    <w:rsid w:val="00C751A9"/>
    <w:rsid w:val="00C766DD"/>
    <w:rsid w:val="00C76BDF"/>
    <w:rsid w:val="00C775CE"/>
    <w:rsid w:val="00C8030E"/>
    <w:rsid w:val="00C82EB2"/>
    <w:rsid w:val="00C843F9"/>
    <w:rsid w:val="00C8463B"/>
    <w:rsid w:val="00C91697"/>
    <w:rsid w:val="00C92EAA"/>
    <w:rsid w:val="00CA148F"/>
    <w:rsid w:val="00CA29F9"/>
    <w:rsid w:val="00CB5A5E"/>
    <w:rsid w:val="00CB6B73"/>
    <w:rsid w:val="00CC218D"/>
    <w:rsid w:val="00CC508C"/>
    <w:rsid w:val="00CC6334"/>
    <w:rsid w:val="00CC677A"/>
    <w:rsid w:val="00CD008E"/>
    <w:rsid w:val="00CD21F7"/>
    <w:rsid w:val="00CD6EDC"/>
    <w:rsid w:val="00CD7A6F"/>
    <w:rsid w:val="00CE2D1F"/>
    <w:rsid w:val="00CF1561"/>
    <w:rsid w:val="00CF1A40"/>
    <w:rsid w:val="00CF36EF"/>
    <w:rsid w:val="00CF4AE2"/>
    <w:rsid w:val="00D02B95"/>
    <w:rsid w:val="00D1110F"/>
    <w:rsid w:val="00D15B10"/>
    <w:rsid w:val="00D23E20"/>
    <w:rsid w:val="00D32842"/>
    <w:rsid w:val="00D352E7"/>
    <w:rsid w:val="00D377BD"/>
    <w:rsid w:val="00D404F3"/>
    <w:rsid w:val="00D450DA"/>
    <w:rsid w:val="00D454AB"/>
    <w:rsid w:val="00D467AA"/>
    <w:rsid w:val="00D536AB"/>
    <w:rsid w:val="00D54E0C"/>
    <w:rsid w:val="00D5537A"/>
    <w:rsid w:val="00D5554D"/>
    <w:rsid w:val="00D70C78"/>
    <w:rsid w:val="00D71136"/>
    <w:rsid w:val="00D77F36"/>
    <w:rsid w:val="00D80644"/>
    <w:rsid w:val="00D80873"/>
    <w:rsid w:val="00D9057D"/>
    <w:rsid w:val="00DA026E"/>
    <w:rsid w:val="00DA576E"/>
    <w:rsid w:val="00DA79A7"/>
    <w:rsid w:val="00DB0A86"/>
    <w:rsid w:val="00DB57B7"/>
    <w:rsid w:val="00DB7B75"/>
    <w:rsid w:val="00DC33CF"/>
    <w:rsid w:val="00DC3415"/>
    <w:rsid w:val="00DD3DE6"/>
    <w:rsid w:val="00DE0E59"/>
    <w:rsid w:val="00DE4534"/>
    <w:rsid w:val="00DF0D71"/>
    <w:rsid w:val="00DF0E8E"/>
    <w:rsid w:val="00DF3D3A"/>
    <w:rsid w:val="00DF4228"/>
    <w:rsid w:val="00E031DF"/>
    <w:rsid w:val="00E04EDC"/>
    <w:rsid w:val="00E06670"/>
    <w:rsid w:val="00E14AD2"/>
    <w:rsid w:val="00E34039"/>
    <w:rsid w:val="00E37437"/>
    <w:rsid w:val="00E410B9"/>
    <w:rsid w:val="00E47752"/>
    <w:rsid w:val="00E53030"/>
    <w:rsid w:val="00E56652"/>
    <w:rsid w:val="00E61148"/>
    <w:rsid w:val="00E62C9E"/>
    <w:rsid w:val="00E63369"/>
    <w:rsid w:val="00E63569"/>
    <w:rsid w:val="00E80756"/>
    <w:rsid w:val="00E81DEE"/>
    <w:rsid w:val="00E81F96"/>
    <w:rsid w:val="00E8302B"/>
    <w:rsid w:val="00E83E34"/>
    <w:rsid w:val="00E84F8C"/>
    <w:rsid w:val="00E85360"/>
    <w:rsid w:val="00E85641"/>
    <w:rsid w:val="00E85DA4"/>
    <w:rsid w:val="00E86B42"/>
    <w:rsid w:val="00E94327"/>
    <w:rsid w:val="00E95892"/>
    <w:rsid w:val="00E97354"/>
    <w:rsid w:val="00EA6408"/>
    <w:rsid w:val="00EB12C1"/>
    <w:rsid w:val="00EB5CCE"/>
    <w:rsid w:val="00EB7853"/>
    <w:rsid w:val="00EC0483"/>
    <w:rsid w:val="00ED0897"/>
    <w:rsid w:val="00ED73FF"/>
    <w:rsid w:val="00ED7F01"/>
    <w:rsid w:val="00EE51DE"/>
    <w:rsid w:val="00EF5E01"/>
    <w:rsid w:val="00EF6EC0"/>
    <w:rsid w:val="00F02058"/>
    <w:rsid w:val="00F0343C"/>
    <w:rsid w:val="00F04CE5"/>
    <w:rsid w:val="00F109E4"/>
    <w:rsid w:val="00F13514"/>
    <w:rsid w:val="00F1360F"/>
    <w:rsid w:val="00F16AA8"/>
    <w:rsid w:val="00F21622"/>
    <w:rsid w:val="00F3226A"/>
    <w:rsid w:val="00F33DB0"/>
    <w:rsid w:val="00F45DB8"/>
    <w:rsid w:val="00F54D29"/>
    <w:rsid w:val="00F62BCD"/>
    <w:rsid w:val="00F74B77"/>
    <w:rsid w:val="00F764FE"/>
    <w:rsid w:val="00F827B6"/>
    <w:rsid w:val="00F90CA9"/>
    <w:rsid w:val="00F92BE5"/>
    <w:rsid w:val="00FA0574"/>
    <w:rsid w:val="00FB418A"/>
    <w:rsid w:val="00FB68D3"/>
    <w:rsid w:val="00FC4B75"/>
    <w:rsid w:val="00FD0945"/>
    <w:rsid w:val="00FD47BE"/>
    <w:rsid w:val="00FD50F8"/>
    <w:rsid w:val="00FE7554"/>
    <w:rsid w:val="00FF17FE"/>
    <w:rsid w:val="00FF3C6C"/>
    <w:rsid w:val="00FF593A"/>
    <w:rsid w:val="02632D16"/>
    <w:rsid w:val="05AF1641"/>
    <w:rsid w:val="05BF60FB"/>
    <w:rsid w:val="0A1E56AF"/>
    <w:rsid w:val="0DFFC59E"/>
    <w:rsid w:val="0F77EDDC"/>
    <w:rsid w:val="0F7F2066"/>
    <w:rsid w:val="11A7689B"/>
    <w:rsid w:val="12AA1460"/>
    <w:rsid w:val="177B2AC0"/>
    <w:rsid w:val="17F5FD75"/>
    <w:rsid w:val="17FE2957"/>
    <w:rsid w:val="18EB20EA"/>
    <w:rsid w:val="18FFFC35"/>
    <w:rsid w:val="19ABDA2A"/>
    <w:rsid w:val="19EB5816"/>
    <w:rsid w:val="1A0A20B0"/>
    <w:rsid w:val="1ACF4F3A"/>
    <w:rsid w:val="1B3FC6DA"/>
    <w:rsid w:val="1BADAF7C"/>
    <w:rsid w:val="1D572D74"/>
    <w:rsid w:val="1DAF98DE"/>
    <w:rsid w:val="1E9E86BA"/>
    <w:rsid w:val="1EFB9DB6"/>
    <w:rsid w:val="1F9FF5E3"/>
    <w:rsid w:val="1FF468DA"/>
    <w:rsid w:val="22672876"/>
    <w:rsid w:val="232B42A5"/>
    <w:rsid w:val="23FED5BF"/>
    <w:rsid w:val="25FFF7CE"/>
    <w:rsid w:val="2B55B099"/>
    <w:rsid w:val="2B7E2DD3"/>
    <w:rsid w:val="2C1A252B"/>
    <w:rsid w:val="2CC47DB8"/>
    <w:rsid w:val="2EF7017E"/>
    <w:rsid w:val="2F6F9ABA"/>
    <w:rsid w:val="2F727E07"/>
    <w:rsid w:val="2FE53B49"/>
    <w:rsid w:val="309D0402"/>
    <w:rsid w:val="33CFB83F"/>
    <w:rsid w:val="33F7B0A5"/>
    <w:rsid w:val="35F55526"/>
    <w:rsid w:val="36033606"/>
    <w:rsid w:val="360794E8"/>
    <w:rsid w:val="36ED29EB"/>
    <w:rsid w:val="374A77A2"/>
    <w:rsid w:val="378FD899"/>
    <w:rsid w:val="37BAE457"/>
    <w:rsid w:val="37EC17AC"/>
    <w:rsid w:val="38F67232"/>
    <w:rsid w:val="38F71D2C"/>
    <w:rsid w:val="395C226D"/>
    <w:rsid w:val="39B7045C"/>
    <w:rsid w:val="39ED2787"/>
    <w:rsid w:val="3ABF4E7D"/>
    <w:rsid w:val="3B6FD8B0"/>
    <w:rsid w:val="3BB5F383"/>
    <w:rsid w:val="3BCF5BE9"/>
    <w:rsid w:val="3BEC3E7B"/>
    <w:rsid w:val="3CBFC495"/>
    <w:rsid w:val="3CDC4653"/>
    <w:rsid w:val="3CEF0F38"/>
    <w:rsid w:val="3D417E1B"/>
    <w:rsid w:val="3DFA98D6"/>
    <w:rsid w:val="3DFDF99B"/>
    <w:rsid w:val="3E2F0D4C"/>
    <w:rsid w:val="3EF7BA84"/>
    <w:rsid w:val="3F6CBF4C"/>
    <w:rsid w:val="3F6DB9D8"/>
    <w:rsid w:val="3F6E9B32"/>
    <w:rsid w:val="3F97FDBB"/>
    <w:rsid w:val="3FDF5E69"/>
    <w:rsid w:val="42200080"/>
    <w:rsid w:val="42FF0CC8"/>
    <w:rsid w:val="43F61C0F"/>
    <w:rsid w:val="44FF9871"/>
    <w:rsid w:val="47FF3AC7"/>
    <w:rsid w:val="488C513A"/>
    <w:rsid w:val="4EB74514"/>
    <w:rsid w:val="4F5F40C9"/>
    <w:rsid w:val="4FBB0909"/>
    <w:rsid w:val="4FFEA577"/>
    <w:rsid w:val="503B2B9F"/>
    <w:rsid w:val="505F7FF6"/>
    <w:rsid w:val="554F06E1"/>
    <w:rsid w:val="55D114CB"/>
    <w:rsid w:val="565E0120"/>
    <w:rsid w:val="56B360BD"/>
    <w:rsid w:val="56EDB6AA"/>
    <w:rsid w:val="57097F27"/>
    <w:rsid w:val="570D9609"/>
    <w:rsid w:val="5777DEEA"/>
    <w:rsid w:val="577920C0"/>
    <w:rsid w:val="57DF0600"/>
    <w:rsid w:val="57DFEC5F"/>
    <w:rsid w:val="57FA88AA"/>
    <w:rsid w:val="57FF1737"/>
    <w:rsid w:val="58297B7D"/>
    <w:rsid w:val="594DCDF8"/>
    <w:rsid w:val="5ABEE8F5"/>
    <w:rsid w:val="5B062A42"/>
    <w:rsid w:val="5B91CA85"/>
    <w:rsid w:val="5BF7AFD7"/>
    <w:rsid w:val="5C371DDB"/>
    <w:rsid w:val="5D2577F0"/>
    <w:rsid w:val="5D2B2C38"/>
    <w:rsid w:val="5DD5DBC4"/>
    <w:rsid w:val="5DF7E0F9"/>
    <w:rsid w:val="5DFF943C"/>
    <w:rsid w:val="5EFC6CD4"/>
    <w:rsid w:val="5F8E93CC"/>
    <w:rsid w:val="5FD12F2D"/>
    <w:rsid w:val="5FD30C8D"/>
    <w:rsid w:val="5FFE617D"/>
    <w:rsid w:val="61A82AA5"/>
    <w:rsid w:val="62C27EC7"/>
    <w:rsid w:val="637B18B2"/>
    <w:rsid w:val="63EF99C1"/>
    <w:rsid w:val="63F5A2F3"/>
    <w:rsid w:val="64775C8D"/>
    <w:rsid w:val="647BF184"/>
    <w:rsid w:val="675DAECC"/>
    <w:rsid w:val="68720EA3"/>
    <w:rsid w:val="69A80CB1"/>
    <w:rsid w:val="6AA93B11"/>
    <w:rsid w:val="6AB232AE"/>
    <w:rsid w:val="6B9415E4"/>
    <w:rsid w:val="6BD6E83A"/>
    <w:rsid w:val="6C7C7008"/>
    <w:rsid w:val="6D7EE662"/>
    <w:rsid w:val="6DA756AB"/>
    <w:rsid w:val="6EF581E9"/>
    <w:rsid w:val="6EFE0644"/>
    <w:rsid w:val="6EFF34CB"/>
    <w:rsid w:val="6EFFE199"/>
    <w:rsid w:val="6F2FEC76"/>
    <w:rsid w:val="6F3AD71E"/>
    <w:rsid w:val="6F3BFF94"/>
    <w:rsid w:val="6F7CC80B"/>
    <w:rsid w:val="6F7CF9BE"/>
    <w:rsid w:val="6F7F88C1"/>
    <w:rsid w:val="6FA340EE"/>
    <w:rsid w:val="6FB2D5EB"/>
    <w:rsid w:val="6FBF5E8C"/>
    <w:rsid w:val="6FBF78D7"/>
    <w:rsid w:val="6FC42E6D"/>
    <w:rsid w:val="6FDB973E"/>
    <w:rsid w:val="6FF1B3F0"/>
    <w:rsid w:val="6FF5DCCE"/>
    <w:rsid w:val="71FF8525"/>
    <w:rsid w:val="72FF8485"/>
    <w:rsid w:val="737747C9"/>
    <w:rsid w:val="753FC72B"/>
    <w:rsid w:val="755E5D74"/>
    <w:rsid w:val="75752FE0"/>
    <w:rsid w:val="75DB1039"/>
    <w:rsid w:val="75EE6F96"/>
    <w:rsid w:val="76094FC0"/>
    <w:rsid w:val="773F581F"/>
    <w:rsid w:val="776DAB74"/>
    <w:rsid w:val="77722A38"/>
    <w:rsid w:val="777635D5"/>
    <w:rsid w:val="777F694C"/>
    <w:rsid w:val="77B2B8F3"/>
    <w:rsid w:val="77CD0A03"/>
    <w:rsid w:val="77CF6540"/>
    <w:rsid w:val="77DF1889"/>
    <w:rsid w:val="77FBDC06"/>
    <w:rsid w:val="79CEB12A"/>
    <w:rsid w:val="7A7FC2A2"/>
    <w:rsid w:val="7AF6340D"/>
    <w:rsid w:val="7AFDF68F"/>
    <w:rsid w:val="7B22521E"/>
    <w:rsid w:val="7B773A48"/>
    <w:rsid w:val="7B7BE5A3"/>
    <w:rsid w:val="7B7E120C"/>
    <w:rsid w:val="7B9D7EC2"/>
    <w:rsid w:val="7BBF29C0"/>
    <w:rsid w:val="7BBFC4B4"/>
    <w:rsid w:val="7BD75BE4"/>
    <w:rsid w:val="7BDB7F9A"/>
    <w:rsid w:val="7BDF89F9"/>
    <w:rsid w:val="7BEF5AD5"/>
    <w:rsid w:val="7BF6707C"/>
    <w:rsid w:val="7BF7C8F0"/>
    <w:rsid w:val="7BFCD2BC"/>
    <w:rsid w:val="7C2A25DC"/>
    <w:rsid w:val="7C8A36C7"/>
    <w:rsid w:val="7CF7E42C"/>
    <w:rsid w:val="7CF95511"/>
    <w:rsid w:val="7CFF982B"/>
    <w:rsid w:val="7D5F1737"/>
    <w:rsid w:val="7D7CCD74"/>
    <w:rsid w:val="7DF50682"/>
    <w:rsid w:val="7DFBA535"/>
    <w:rsid w:val="7DFF3EE9"/>
    <w:rsid w:val="7DFFB20D"/>
    <w:rsid w:val="7E9AE698"/>
    <w:rsid w:val="7EBF4C7C"/>
    <w:rsid w:val="7EEB6E77"/>
    <w:rsid w:val="7EF7EB07"/>
    <w:rsid w:val="7F62B6B4"/>
    <w:rsid w:val="7F7F6FF8"/>
    <w:rsid w:val="7F7FE85E"/>
    <w:rsid w:val="7FB70E5A"/>
    <w:rsid w:val="7FBFA9C5"/>
    <w:rsid w:val="7FBFE34B"/>
    <w:rsid w:val="7FCEB177"/>
    <w:rsid w:val="7FD74C4C"/>
    <w:rsid w:val="7FDBC6A8"/>
    <w:rsid w:val="7FDDD09A"/>
    <w:rsid w:val="7FDF50DD"/>
    <w:rsid w:val="7FEF5444"/>
    <w:rsid w:val="7FEFC347"/>
    <w:rsid w:val="7FEFE269"/>
    <w:rsid w:val="7FF97F5E"/>
    <w:rsid w:val="7FFBFF3E"/>
    <w:rsid w:val="7FFDFEB1"/>
    <w:rsid w:val="7FFF1E5F"/>
    <w:rsid w:val="7FFFA6C6"/>
    <w:rsid w:val="7FFFC327"/>
    <w:rsid w:val="83DF53AD"/>
    <w:rsid w:val="877C33E7"/>
    <w:rsid w:val="87EF9C9B"/>
    <w:rsid w:val="8F6EC001"/>
    <w:rsid w:val="8FDDE94C"/>
    <w:rsid w:val="93DCA6B8"/>
    <w:rsid w:val="9DEB16BC"/>
    <w:rsid w:val="9FBBFDC9"/>
    <w:rsid w:val="A3B76E13"/>
    <w:rsid w:val="A43F3F9E"/>
    <w:rsid w:val="A4E7703C"/>
    <w:rsid w:val="A6DF8F34"/>
    <w:rsid w:val="A7BBC85E"/>
    <w:rsid w:val="AA6E03FC"/>
    <w:rsid w:val="ABFC954F"/>
    <w:rsid w:val="AF7AF507"/>
    <w:rsid w:val="AF8F2AB4"/>
    <w:rsid w:val="AFFF6738"/>
    <w:rsid w:val="B3654DDC"/>
    <w:rsid w:val="B3FE9D24"/>
    <w:rsid w:val="B57E46DE"/>
    <w:rsid w:val="B6BF799B"/>
    <w:rsid w:val="B8EECEFA"/>
    <w:rsid w:val="BAF52CCA"/>
    <w:rsid w:val="BBD75A65"/>
    <w:rsid w:val="BBE7C5AC"/>
    <w:rsid w:val="BBEF338A"/>
    <w:rsid w:val="BC7CE808"/>
    <w:rsid w:val="BCEBE50D"/>
    <w:rsid w:val="BCFB680B"/>
    <w:rsid w:val="BDBF3FC5"/>
    <w:rsid w:val="BE56AE6D"/>
    <w:rsid w:val="BEBEED42"/>
    <w:rsid w:val="BEEF0CF5"/>
    <w:rsid w:val="BEF66F4B"/>
    <w:rsid w:val="BEFFC69A"/>
    <w:rsid w:val="BF5F4394"/>
    <w:rsid w:val="BF7E4FFA"/>
    <w:rsid w:val="BF9DD428"/>
    <w:rsid w:val="BFBE9D95"/>
    <w:rsid w:val="BFCF1BDA"/>
    <w:rsid w:val="BFD63D2A"/>
    <w:rsid w:val="BFEF7F13"/>
    <w:rsid w:val="BFF21372"/>
    <w:rsid w:val="BFF3B2FB"/>
    <w:rsid w:val="BFF749C7"/>
    <w:rsid w:val="BFFF7926"/>
    <w:rsid w:val="C7937A1C"/>
    <w:rsid w:val="C7F1EBF6"/>
    <w:rsid w:val="C7FFABDF"/>
    <w:rsid w:val="CA7F8AE9"/>
    <w:rsid w:val="CBBF9DD4"/>
    <w:rsid w:val="CEBD9096"/>
    <w:rsid w:val="CEF67C0F"/>
    <w:rsid w:val="CF1D5546"/>
    <w:rsid w:val="CF5ECD3E"/>
    <w:rsid w:val="CFBF9DAD"/>
    <w:rsid w:val="D11F3E94"/>
    <w:rsid w:val="D368852F"/>
    <w:rsid w:val="D3BF6953"/>
    <w:rsid w:val="D5FBF601"/>
    <w:rsid w:val="D6F75F6C"/>
    <w:rsid w:val="D76F42C2"/>
    <w:rsid w:val="D7FFD98D"/>
    <w:rsid w:val="D8F78CDC"/>
    <w:rsid w:val="DA7C470C"/>
    <w:rsid w:val="DB7E662C"/>
    <w:rsid w:val="DBBF5064"/>
    <w:rsid w:val="DDFBAA42"/>
    <w:rsid w:val="DE775700"/>
    <w:rsid w:val="DEB7D750"/>
    <w:rsid w:val="DED3423D"/>
    <w:rsid w:val="DEF70C65"/>
    <w:rsid w:val="DF1B27B1"/>
    <w:rsid w:val="DF7527FF"/>
    <w:rsid w:val="DFBB60BC"/>
    <w:rsid w:val="DFBE947D"/>
    <w:rsid w:val="E21E21C7"/>
    <w:rsid w:val="E6AF8AAB"/>
    <w:rsid w:val="E77AB46F"/>
    <w:rsid w:val="E77BBDBC"/>
    <w:rsid w:val="E7F34244"/>
    <w:rsid w:val="E8BE943F"/>
    <w:rsid w:val="E99A1E3B"/>
    <w:rsid w:val="EAEDB545"/>
    <w:rsid w:val="EAFFAEB4"/>
    <w:rsid w:val="ECDF5EBC"/>
    <w:rsid w:val="ED7B50FF"/>
    <w:rsid w:val="EDBB4842"/>
    <w:rsid w:val="EDF77E38"/>
    <w:rsid w:val="EE3FD485"/>
    <w:rsid w:val="EEBE0258"/>
    <w:rsid w:val="EEDE4BD6"/>
    <w:rsid w:val="EEF97FCB"/>
    <w:rsid w:val="EEFB0F56"/>
    <w:rsid w:val="EF2123E6"/>
    <w:rsid w:val="EFEF59D2"/>
    <w:rsid w:val="EFF66097"/>
    <w:rsid w:val="EFFEB11F"/>
    <w:rsid w:val="EFFFA9AC"/>
    <w:rsid w:val="F1FEA918"/>
    <w:rsid w:val="F33EB268"/>
    <w:rsid w:val="F37F204A"/>
    <w:rsid w:val="F4DFA04E"/>
    <w:rsid w:val="F4FD6A12"/>
    <w:rsid w:val="F4FF3B3F"/>
    <w:rsid w:val="F6DC26AF"/>
    <w:rsid w:val="F6E56D64"/>
    <w:rsid w:val="F77EC995"/>
    <w:rsid w:val="F7AF3BB0"/>
    <w:rsid w:val="F7DE860D"/>
    <w:rsid w:val="F7EFF70B"/>
    <w:rsid w:val="F7FAE658"/>
    <w:rsid w:val="F7FDB121"/>
    <w:rsid w:val="F7FF13FA"/>
    <w:rsid w:val="F9D744B8"/>
    <w:rsid w:val="F9FED343"/>
    <w:rsid w:val="FAE5E6A9"/>
    <w:rsid w:val="FAEF6213"/>
    <w:rsid w:val="FAFF9B44"/>
    <w:rsid w:val="FB735631"/>
    <w:rsid w:val="FB7DFEF6"/>
    <w:rsid w:val="FB9E6D1C"/>
    <w:rsid w:val="FBAF88F8"/>
    <w:rsid w:val="FBB71A4D"/>
    <w:rsid w:val="FBBB2C08"/>
    <w:rsid w:val="FBBBBAA2"/>
    <w:rsid w:val="FBF5F056"/>
    <w:rsid w:val="FBFD1E79"/>
    <w:rsid w:val="FC4E9D0D"/>
    <w:rsid w:val="FCBF0E07"/>
    <w:rsid w:val="FCDF2F79"/>
    <w:rsid w:val="FD3A41E3"/>
    <w:rsid w:val="FD76C222"/>
    <w:rsid w:val="FDBB860C"/>
    <w:rsid w:val="FDBF924F"/>
    <w:rsid w:val="FDED78DB"/>
    <w:rsid w:val="FDEDD1E4"/>
    <w:rsid w:val="FDEE52EB"/>
    <w:rsid w:val="FDFC0BBA"/>
    <w:rsid w:val="FDFF74C0"/>
    <w:rsid w:val="FE7CD845"/>
    <w:rsid w:val="FE7FCE1D"/>
    <w:rsid w:val="FECFC840"/>
    <w:rsid w:val="FECFF48F"/>
    <w:rsid w:val="FED6B5C8"/>
    <w:rsid w:val="FED766B3"/>
    <w:rsid w:val="FEE31B10"/>
    <w:rsid w:val="FEFAAD42"/>
    <w:rsid w:val="FEFF276F"/>
    <w:rsid w:val="FEFF4849"/>
    <w:rsid w:val="FEFF6EE6"/>
    <w:rsid w:val="FF2F306B"/>
    <w:rsid w:val="FF2F58C7"/>
    <w:rsid w:val="FF51536B"/>
    <w:rsid w:val="FF5BC790"/>
    <w:rsid w:val="FF5C034C"/>
    <w:rsid w:val="FF5F2ECC"/>
    <w:rsid w:val="FF67DDDD"/>
    <w:rsid w:val="FFBD157C"/>
    <w:rsid w:val="FFBD9149"/>
    <w:rsid w:val="FFDDE14E"/>
    <w:rsid w:val="FFDFEA5D"/>
    <w:rsid w:val="FFDFF476"/>
    <w:rsid w:val="FFE93330"/>
    <w:rsid w:val="FFEFA585"/>
    <w:rsid w:val="FFF768B7"/>
    <w:rsid w:val="FFFED7E8"/>
    <w:rsid w:val="FFFEDC43"/>
    <w:rsid w:val="FFFF8760"/>
    <w:rsid w:val="FFFFDF72"/>
    <w:rsid w:val="FFFFE0A9"/>
    <w:rsid w:val="FFFFF9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99"/>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link w:val="27"/>
    <w:qFormat/>
    <w:uiPriority w:val="0"/>
    <w:pPr>
      <w:keepNext/>
      <w:keepLines/>
      <w:numPr>
        <w:ilvl w:val="1"/>
        <w:numId w:val="1"/>
      </w:numPr>
      <w:spacing w:before="260" w:after="260" w:line="416" w:lineRule="auto"/>
      <w:ind w:left="576" w:hanging="576"/>
      <w:outlineLvl w:val="1"/>
    </w:pPr>
    <w:rPr>
      <w:rFonts w:ascii="等线 Light" w:hAnsi="等线 Light" w:eastAsia="等线 Light"/>
      <w:b/>
      <w:bCs/>
      <w:sz w:val="32"/>
      <w:szCs w:val="32"/>
    </w:rPr>
  </w:style>
  <w:style w:type="paragraph" w:styleId="4">
    <w:name w:val="heading 3"/>
    <w:basedOn w:val="1"/>
    <w:next w:val="1"/>
    <w:link w:val="28"/>
    <w:qFormat/>
    <w:uiPriority w:val="0"/>
    <w:pPr>
      <w:keepNext/>
      <w:keepLines/>
      <w:numPr>
        <w:ilvl w:val="2"/>
        <w:numId w:val="1"/>
      </w:numPr>
      <w:spacing w:before="260" w:after="260" w:line="416" w:lineRule="auto"/>
      <w:ind w:left="720" w:hanging="720"/>
      <w:outlineLvl w:val="2"/>
    </w:pPr>
    <w:rPr>
      <w:b/>
      <w:bCs/>
      <w:sz w:val="30"/>
      <w:szCs w:val="30"/>
    </w:rPr>
  </w:style>
  <w:style w:type="paragraph" w:styleId="5">
    <w:name w:val="heading 4"/>
    <w:basedOn w:val="1"/>
    <w:next w:val="1"/>
    <w:link w:val="29"/>
    <w:qFormat/>
    <w:uiPriority w:val="9"/>
    <w:pPr>
      <w:keepNext/>
      <w:keepLines/>
      <w:numPr>
        <w:ilvl w:val="3"/>
        <w:numId w:val="1"/>
      </w:numPr>
      <w:spacing w:before="280" w:after="290" w:line="376" w:lineRule="auto"/>
      <w:outlineLvl w:val="3"/>
    </w:pPr>
    <w:rPr>
      <w:rFonts w:ascii="宋体" w:hAnsi="宋体"/>
      <w:b/>
      <w:bCs/>
      <w:sz w:val="28"/>
      <w:szCs w:val="28"/>
    </w:rPr>
  </w:style>
  <w:style w:type="paragraph" w:styleId="6">
    <w:name w:val="heading 5"/>
    <w:basedOn w:val="1"/>
    <w:next w:val="1"/>
    <w:link w:val="30"/>
    <w:qFormat/>
    <w:uiPriority w:val="9"/>
    <w:pPr>
      <w:keepNext/>
      <w:keepLines/>
      <w:numPr>
        <w:ilvl w:val="4"/>
        <w:numId w:val="1"/>
      </w:numPr>
      <w:spacing w:before="280" w:after="290" w:line="376" w:lineRule="auto"/>
      <w:ind w:left="1008" w:hanging="1008"/>
      <w:outlineLvl w:val="4"/>
    </w:pPr>
    <w:rPr>
      <w:b/>
      <w:bCs/>
      <w:sz w:val="28"/>
      <w:szCs w:val="28"/>
    </w:rPr>
  </w:style>
  <w:style w:type="paragraph" w:styleId="7">
    <w:name w:val="heading 6"/>
    <w:basedOn w:val="1"/>
    <w:next w:val="1"/>
    <w:link w:val="31"/>
    <w:qFormat/>
    <w:uiPriority w:val="9"/>
    <w:pPr>
      <w:keepNext/>
      <w:keepLines/>
      <w:numPr>
        <w:ilvl w:val="5"/>
        <w:numId w:val="1"/>
      </w:numPr>
      <w:spacing w:before="240" w:after="64" w:line="320" w:lineRule="auto"/>
      <w:outlineLvl w:val="5"/>
    </w:pPr>
    <w:rPr>
      <w:rFonts w:ascii="等线 Light" w:hAnsi="等线 Light" w:eastAsia="等线 Light"/>
      <w:b/>
      <w:bCs/>
      <w:sz w:val="24"/>
    </w:rPr>
  </w:style>
  <w:style w:type="paragraph" w:styleId="8">
    <w:name w:val="heading 7"/>
    <w:basedOn w:val="1"/>
    <w:next w:val="1"/>
    <w:link w:val="32"/>
    <w:qFormat/>
    <w:uiPriority w:val="9"/>
    <w:pPr>
      <w:keepNext/>
      <w:keepLines/>
      <w:numPr>
        <w:ilvl w:val="6"/>
        <w:numId w:val="1"/>
      </w:numPr>
      <w:spacing w:before="240" w:after="64" w:line="320" w:lineRule="auto"/>
      <w:outlineLvl w:val="6"/>
    </w:pPr>
    <w:rPr>
      <w:b/>
      <w:bCs/>
      <w:sz w:val="24"/>
    </w:rPr>
  </w:style>
  <w:style w:type="paragraph" w:styleId="9">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rPr>
  </w:style>
  <w:style w:type="paragraph" w:styleId="10">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11">
    <w:name w:val="Normal Indent"/>
    <w:basedOn w:val="1"/>
    <w:link w:val="35"/>
    <w:qFormat/>
    <w:uiPriority w:val="99"/>
    <w:pPr>
      <w:spacing w:before="120" w:beforeLines="50" w:line="360" w:lineRule="auto"/>
      <w:ind w:firstLine="512" w:firstLineChars="200"/>
    </w:pPr>
    <w:rPr>
      <w:spacing w:val="8"/>
      <w:sz w:val="24"/>
      <w:szCs w:val="20"/>
    </w:rPr>
  </w:style>
  <w:style w:type="paragraph" w:styleId="12">
    <w:name w:val="annotation text"/>
    <w:basedOn w:val="1"/>
    <w:link w:val="36"/>
    <w:unhideWhenUsed/>
    <w:qFormat/>
    <w:uiPriority w:val="0"/>
    <w:pPr>
      <w:jc w:val="left"/>
    </w:pPr>
    <w:rPr>
      <w:kern w:val="0"/>
      <w:sz w:val="20"/>
    </w:rPr>
  </w:style>
  <w:style w:type="paragraph" w:styleId="13">
    <w:name w:val="Plain Text"/>
    <w:basedOn w:val="1"/>
    <w:link w:val="37"/>
    <w:qFormat/>
    <w:uiPriority w:val="0"/>
    <w:rPr>
      <w:rFonts w:ascii="Calibri" w:hAnsi="Courier New"/>
      <w:szCs w:val="20"/>
    </w:rPr>
  </w:style>
  <w:style w:type="paragraph" w:styleId="14">
    <w:name w:val="Balloon Text"/>
    <w:basedOn w:val="1"/>
    <w:link w:val="38"/>
    <w:qFormat/>
    <w:uiPriority w:val="0"/>
    <w:rPr>
      <w:sz w:val="18"/>
      <w:szCs w:val="18"/>
    </w:rPr>
  </w:style>
  <w:style w:type="paragraph" w:styleId="15">
    <w:name w:val="footer"/>
    <w:basedOn w:val="1"/>
    <w:link w:val="39"/>
    <w:qFormat/>
    <w:uiPriority w:val="0"/>
    <w:pPr>
      <w:tabs>
        <w:tab w:val="center" w:pos="4153"/>
        <w:tab w:val="right" w:pos="8306"/>
      </w:tabs>
      <w:snapToGrid w:val="0"/>
      <w:jc w:val="left"/>
    </w:pPr>
    <w:rPr>
      <w:sz w:val="18"/>
      <w:szCs w:val="18"/>
    </w:rPr>
  </w:style>
  <w:style w:type="paragraph" w:styleId="16">
    <w:name w:val="header"/>
    <w:basedOn w:val="1"/>
    <w:link w:val="40"/>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19">
    <w:name w:val="annotation subject"/>
    <w:basedOn w:val="12"/>
    <w:next w:val="12"/>
    <w:link w:val="41"/>
    <w:qFormat/>
    <w:uiPriority w:val="0"/>
    <w:rPr>
      <w:b/>
      <w:bCs/>
      <w:kern w:val="2"/>
      <w:sz w:val="21"/>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uiPriority w:val="0"/>
    <w:rPr>
      <w:color w:val="800080"/>
      <w:u w:val="single"/>
    </w:rPr>
  </w:style>
  <w:style w:type="character" w:styleId="24">
    <w:name w:val="Hyperlink"/>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2"/>
    <w:qFormat/>
    <w:uiPriority w:val="99"/>
    <w:rPr>
      <w:b/>
      <w:bCs/>
      <w:kern w:val="44"/>
      <w:sz w:val="44"/>
      <w:szCs w:val="44"/>
    </w:rPr>
  </w:style>
  <w:style w:type="character" w:customStyle="1" w:styleId="27">
    <w:name w:val="标题 2 字符1"/>
    <w:link w:val="3"/>
    <w:qFormat/>
    <w:uiPriority w:val="0"/>
    <w:rPr>
      <w:rFonts w:ascii="等线 Light" w:hAnsi="等线 Light" w:eastAsia="等线 Light" w:cs="Times New Roman"/>
      <w:b/>
      <w:bCs/>
      <w:kern w:val="2"/>
      <w:sz w:val="32"/>
      <w:szCs w:val="32"/>
    </w:rPr>
  </w:style>
  <w:style w:type="character" w:customStyle="1" w:styleId="28">
    <w:name w:val="标题 3 字符"/>
    <w:link w:val="4"/>
    <w:uiPriority w:val="0"/>
    <w:rPr>
      <w:b/>
      <w:bCs/>
      <w:kern w:val="2"/>
      <w:sz w:val="30"/>
      <w:szCs w:val="30"/>
    </w:rPr>
  </w:style>
  <w:style w:type="character" w:customStyle="1" w:styleId="29">
    <w:name w:val="标题 4 字符"/>
    <w:link w:val="5"/>
    <w:qFormat/>
    <w:uiPriority w:val="0"/>
    <w:rPr>
      <w:rFonts w:ascii="宋体" w:hAnsi="宋体"/>
      <w:b/>
      <w:bCs/>
      <w:kern w:val="2"/>
      <w:sz w:val="28"/>
      <w:szCs w:val="28"/>
    </w:rPr>
  </w:style>
  <w:style w:type="character" w:customStyle="1" w:styleId="30">
    <w:name w:val="标题 5 字符"/>
    <w:link w:val="6"/>
    <w:uiPriority w:val="0"/>
    <w:rPr>
      <w:b/>
      <w:bCs/>
      <w:kern w:val="2"/>
      <w:sz w:val="28"/>
      <w:szCs w:val="28"/>
    </w:rPr>
  </w:style>
  <w:style w:type="character" w:customStyle="1" w:styleId="31">
    <w:name w:val="标题 6 字符"/>
    <w:link w:val="7"/>
    <w:semiHidden/>
    <w:qFormat/>
    <w:uiPriority w:val="0"/>
    <w:rPr>
      <w:rFonts w:ascii="等线 Light" w:hAnsi="等线 Light" w:eastAsia="等线 Light"/>
      <w:b/>
      <w:bCs/>
      <w:kern w:val="2"/>
      <w:sz w:val="24"/>
      <w:szCs w:val="24"/>
    </w:rPr>
  </w:style>
  <w:style w:type="character" w:customStyle="1" w:styleId="32">
    <w:name w:val="标题 7 字符"/>
    <w:link w:val="8"/>
    <w:semiHidden/>
    <w:qFormat/>
    <w:uiPriority w:val="0"/>
    <w:rPr>
      <w:b/>
      <w:bCs/>
      <w:kern w:val="2"/>
      <w:sz w:val="24"/>
      <w:szCs w:val="24"/>
    </w:rPr>
  </w:style>
  <w:style w:type="character" w:customStyle="1" w:styleId="33">
    <w:name w:val="标题 8 字符"/>
    <w:link w:val="9"/>
    <w:semiHidden/>
    <w:qFormat/>
    <w:uiPriority w:val="0"/>
    <w:rPr>
      <w:rFonts w:ascii="等线 Light" w:hAnsi="等线 Light" w:eastAsia="等线 Light"/>
      <w:kern w:val="2"/>
      <w:sz w:val="24"/>
      <w:szCs w:val="24"/>
    </w:rPr>
  </w:style>
  <w:style w:type="character" w:customStyle="1" w:styleId="34">
    <w:name w:val="标题 9 字符"/>
    <w:link w:val="10"/>
    <w:semiHidden/>
    <w:uiPriority w:val="0"/>
    <w:rPr>
      <w:rFonts w:ascii="等线 Light" w:hAnsi="等线 Light" w:eastAsia="等线 Light"/>
      <w:kern w:val="2"/>
      <w:sz w:val="21"/>
      <w:szCs w:val="21"/>
    </w:rPr>
  </w:style>
  <w:style w:type="character" w:customStyle="1" w:styleId="35">
    <w:name w:val="正文缩进 字符"/>
    <w:link w:val="11"/>
    <w:qFormat/>
    <w:uiPriority w:val="99"/>
    <w:rPr>
      <w:spacing w:val="8"/>
      <w:kern w:val="2"/>
      <w:sz w:val="24"/>
    </w:rPr>
  </w:style>
  <w:style w:type="character" w:customStyle="1" w:styleId="36">
    <w:name w:val="批注文字 字符1"/>
    <w:link w:val="12"/>
    <w:qFormat/>
    <w:uiPriority w:val="0"/>
    <w:rPr>
      <w:szCs w:val="24"/>
    </w:rPr>
  </w:style>
  <w:style w:type="character" w:customStyle="1" w:styleId="37">
    <w:name w:val="纯文本 字符"/>
    <w:link w:val="13"/>
    <w:qFormat/>
    <w:uiPriority w:val="0"/>
    <w:rPr>
      <w:rFonts w:ascii="Calibri" w:hAnsi="Courier New"/>
      <w:kern w:val="2"/>
      <w:sz w:val="21"/>
    </w:rPr>
  </w:style>
  <w:style w:type="character" w:customStyle="1" w:styleId="38">
    <w:name w:val="批注框文本 字符"/>
    <w:link w:val="14"/>
    <w:uiPriority w:val="0"/>
    <w:rPr>
      <w:kern w:val="2"/>
      <w:sz w:val="18"/>
      <w:szCs w:val="18"/>
    </w:rPr>
  </w:style>
  <w:style w:type="character" w:customStyle="1" w:styleId="39">
    <w:name w:val="页脚 字符1"/>
    <w:link w:val="15"/>
    <w:qFormat/>
    <w:uiPriority w:val="0"/>
    <w:rPr>
      <w:kern w:val="2"/>
      <w:sz w:val="18"/>
      <w:szCs w:val="18"/>
    </w:rPr>
  </w:style>
  <w:style w:type="character" w:customStyle="1" w:styleId="40">
    <w:name w:val="页眉 字符"/>
    <w:link w:val="16"/>
    <w:qFormat/>
    <w:uiPriority w:val="0"/>
    <w:rPr>
      <w:kern w:val="2"/>
      <w:sz w:val="18"/>
      <w:szCs w:val="18"/>
    </w:rPr>
  </w:style>
  <w:style w:type="character" w:customStyle="1" w:styleId="41">
    <w:name w:val="批注主题 字符"/>
    <w:link w:val="19"/>
    <w:qFormat/>
    <w:uiPriority w:val="0"/>
    <w:rPr>
      <w:b/>
      <w:bCs/>
      <w:kern w:val="2"/>
      <w:sz w:val="21"/>
      <w:szCs w:val="24"/>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rPr>
  </w:style>
  <w:style w:type="character" w:customStyle="1" w:styleId="44">
    <w:name w:val="段落 Char1"/>
    <w:link w:val="45"/>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uiPriority w:val="99"/>
  </w:style>
  <w:style w:type="character" w:customStyle="1" w:styleId="49">
    <w:name w:val="列表段落 字符"/>
    <w:link w:val="50"/>
    <w:qFormat/>
    <w:uiPriority w:val="34"/>
    <w:rPr>
      <w:rFonts w:ascii="等线" w:hAnsi="等线" w:eastAsia="等线"/>
      <w:kern w:val="2"/>
      <w:sz w:val="21"/>
      <w:szCs w:val="22"/>
    </w:rPr>
  </w:style>
  <w:style w:type="paragraph" w:styleId="50">
    <w:name w:val="List Paragraph"/>
    <w:basedOn w:val="1"/>
    <w:link w:val="49"/>
    <w:qFormat/>
    <w:uiPriority w:val="34"/>
    <w:pPr>
      <w:ind w:firstLine="420" w:firstLineChars="200"/>
    </w:pPr>
    <w:rPr>
      <w:rFonts w:ascii="等线" w:hAnsi="等线" w:eastAsia="等线"/>
      <w:szCs w:val="22"/>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5"/>
    <w:next w:val="1"/>
    <w:qFormat/>
    <w:uiPriority w:val="0"/>
    <w:pPr>
      <w:widowControl/>
      <w:numPr>
        <w:ilvl w:val="3"/>
        <w:numId w:val="2"/>
      </w:numPr>
      <w:spacing w:after="156"/>
      <w:ind w:leftChars="200"/>
      <w:jc w:val="left"/>
    </w:pPr>
    <w:rPr>
      <w:rFonts w:ascii="Arial" w:hAnsi="Arial" w:eastAsia="黑体"/>
      <w:bCs w:val="0"/>
      <w:kern w:val="0"/>
    </w:rPr>
  </w:style>
  <w:style w:type="paragraph" w:customStyle="1" w:styleId="58">
    <w:name w:val="标题 3（DBSec）"/>
    <w:basedOn w:val="4"/>
    <w:next w:val="1"/>
    <w:qFormat/>
    <w:uiPriority w:val="0"/>
    <w:pPr>
      <w:numPr>
        <w:ilvl w:val="2"/>
        <w:numId w:val="2"/>
      </w:numPr>
      <w:tabs>
        <w:tab w:val="left" w:pos="960"/>
      </w:tabs>
      <w:spacing w:line="415" w:lineRule="auto"/>
      <w:ind w:leftChars="200"/>
      <w:jc w:val="left"/>
    </w:pPr>
    <w:rPr>
      <w:rFonts w:ascii="Arial" w:hAnsi="Arial" w:eastAsia="黑体"/>
      <w:bCs w:val="0"/>
      <w:kern w:val="0"/>
      <w:sz w:val="30"/>
      <w:szCs w:val="30"/>
    </w:rPr>
  </w:style>
  <w:style w:type="paragraph" w:customStyle="1" w:styleId="59">
    <w:name w:val="标题 1（DBSec）"/>
    <w:basedOn w:val="2"/>
    <w:next w:val="1"/>
    <w:qFormat/>
    <w:uiPriority w:val="0"/>
    <w:pPr>
      <w:pageBreakBefore/>
      <w:numPr>
        <w:ilvl w:val="0"/>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Id w:val="2"/>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标题 2 字符"/>
    <w:qFormat/>
    <w:uiPriority w:val="0"/>
    <w:rPr>
      <w:rFonts w:ascii="等线 Light" w:hAnsi="等线 Light" w:eastAsia="等线 Light" w:cs="Times New Roman"/>
      <w:b/>
      <w:bCs/>
      <w:kern w:val="2"/>
      <w:sz w:val="32"/>
      <w:szCs w:val="32"/>
    </w:rPr>
  </w:style>
  <w:style w:type="paragraph" w:customStyle="1" w:styleId="66">
    <w:name w:val="_Style 65"/>
    <w:unhideWhenUsed/>
    <w:qFormat/>
    <w:uiPriority w:val="99"/>
    <w:rPr>
      <w:rFonts w:ascii="Times New Roman" w:hAnsi="Times New Roman" w:eastAsia="宋体" w:cs="Times New Roman"/>
      <w:kern w:val="2"/>
      <w:sz w:val="21"/>
      <w:szCs w:val="24"/>
      <w:lang w:val="en-US" w:eastAsia="zh-CN" w:bidi="ar-SA"/>
    </w:rPr>
  </w:style>
  <w:style w:type="character" w:customStyle="1" w:styleId="67">
    <w:name w:val="font31"/>
    <w:qFormat/>
    <w:uiPriority w:val="0"/>
    <w:rPr>
      <w:rFonts w:hint="eastAsia" w:ascii="宋体" w:hAnsi="宋体" w:eastAsia="宋体" w:cs="宋体"/>
      <w:color w:val="000000"/>
      <w:sz w:val="24"/>
      <w:szCs w:val="24"/>
      <w:u w:val="none"/>
    </w:rPr>
  </w:style>
  <w:style w:type="character" w:customStyle="1" w:styleId="68">
    <w:name w:val="font51"/>
    <w:qFormat/>
    <w:uiPriority w:val="0"/>
    <w:rPr>
      <w:rFonts w:hint="eastAsia" w:ascii="宋体" w:hAnsi="宋体" w:eastAsia="宋体" w:cs="宋体"/>
      <w:color w:val="FF0000"/>
      <w:sz w:val="20"/>
      <w:szCs w:val="20"/>
      <w:u w:val="none"/>
    </w:rPr>
  </w:style>
  <w:style w:type="paragraph" w:customStyle="1" w:styleId="69">
    <w:name w:val="null3"/>
    <w:qFormat/>
    <w:uiPriority w:val="0"/>
    <w:rPr>
      <w:rFonts w:hint="eastAsia" w:ascii="Calibri" w:hAnsi="Calibri" w:eastAsia="宋体" w:cs="Times New Roman"/>
      <w:lang w:val="en-US" w:eastAsia="zh-Hans" w:bidi="ar-SA"/>
    </w:rPr>
  </w:style>
  <w:style w:type="paragraph" w:customStyle="1" w:styleId="70">
    <w:name w:val="Table Text"/>
    <w:basedOn w:val="1"/>
    <w:semiHidden/>
    <w:qFormat/>
    <w:uiPriority w:val="0"/>
    <w:rPr>
      <w:rFonts w:ascii="宋体" w:hAnsi="宋体" w:eastAsia="宋体" w:cs="宋体"/>
      <w:sz w:val="19"/>
      <w:szCs w:val="19"/>
    </w:rPr>
  </w:style>
  <w:style w:type="table" w:customStyle="1" w:styleId="7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5620</Words>
  <Characters>6102</Characters>
  <Lines>270</Lines>
  <Paragraphs>249</Paragraphs>
  <TotalTime>22</TotalTime>
  <ScaleCrop>false</ScaleCrop>
  <LinksUpToDate>false</LinksUpToDate>
  <CharactersWithSpaces>6158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2025-06-30T13:46:00Z</dcterms:created>
  <dc:creator>陈永辉</dc:creator>
  <cp:lastModifiedBy>祥</cp:lastModifiedBy>
  <dcterms:modified xsi:type="dcterms:W3CDTF">2025-08-29T03:02:36Z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2F938F995FBC42FE8AAE104F7D15D843_13</vt:lpwstr>
  </property>
  <property fmtid="{D5CDD505-2E9C-101B-9397-08002B2CF9AE}" pid="4" name="KSOTemplateDocerSaveRecord">
    <vt:lpwstr>eyJoZGlkIjoiYThhYjEyNWZhZGZhNGVjOTYzZTIxMjgzN2JiZjI4YjUiLCJ1c2VySWQiOiIxMjExMTY5NDY4In0=</vt:lpwstr>
  </property>
</Properties>
</file>