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5364D">
      <w:pPr>
        <w:spacing w:before="624" w:beforeLines="200" w:after="312" w:afterLines="100"/>
        <w:jc w:val="center"/>
        <w:rPr>
          <w:b/>
          <w:sz w:val="44"/>
          <w:szCs w:val="44"/>
        </w:rPr>
      </w:pPr>
      <w:bookmarkStart w:id="0" w:name="OLE_LINK26"/>
      <w:r>
        <w:rPr>
          <w:rFonts w:hint="eastAsia"/>
          <w:b/>
          <w:sz w:val="44"/>
          <w:szCs w:val="44"/>
        </w:rPr>
        <w:t>广东省人民医院血液病临床大数据智能平台</w:t>
      </w:r>
    </w:p>
    <w:p w14:paraId="0D795E72">
      <w:pPr>
        <w:spacing w:before="624" w:beforeLines="200" w:after="312" w:afterLines="100"/>
        <w:jc w:val="center"/>
        <w:rPr>
          <w:b/>
          <w:sz w:val="44"/>
          <w:szCs w:val="30"/>
        </w:rPr>
      </w:pPr>
      <w:r>
        <w:rPr>
          <w:rFonts w:hint="eastAsia"/>
          <w:b/>
          <w:sz w:val="44"/>
          <w:szCs w:val="30"/>
        </w:rPr>
        <w:t>采购项目需求</w:t>
      </w:r>
    </w:p>
    <w:bookmarkEnd w:id="0"/>
    <w:p w14:paraId="23B069CF">
      <w:pPr>
        <w:pStyle w:val="2"/>
      </w:pPr>
      <w:r>
        <w:rPr>
          <w:rFonts w:hint="eastAsia"/>
        </w:rPr>
        <w:t>项目名称</w:t>
      </w:r>
    </w:p>
    <w:p w14:paraId="5E8DDF89">
      <w:pPr>
        <w:ind w:firstLine="480" w:firstLineChars="200"/>
      </w:pPr>
      <w:r>
        <w:rPr>
          <w:rFonts w:hint="eastAsia" w:ascii="宋体" w:hAnsi="宋体" w:eastAsia="宋体" w:cs="宋体"/>
          <w:sz w:val="24"/>
        </w:rPr>
        <w:t>项目名称：血液病临床大数据智能平台</w:t>
      </w:r>
    </w:p>
    <w:p w14:paraId="1E1F6AAF">
      <w:pPr>
        <w:pStyle w:val="2"/>
      </w:pPr>
      <w:r>
        <w:rPr>
          <w:rFonts w:hint="eastAsia" w:ascii="宋体" w:hAnsi="宋体" w:eastAsia="宋体" w:cs="宋体"/>
        </w:rPr>
        <w:t>采购清单</w:t>
      </w:r>
    </w:p>
    <w:tbl>
      <w:tblPr>
        <w:tblStyle w:val="22"/>
        <w:tblW w:w="8930"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2"/>
        <w:gridCol w:w="3227"/>
        <w:gridCol w:w="3608"/>
        <w:gridCol w:w="1103"/>
      </w:tblGrid>
      <w:tr w14:paraId="45591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tcPr>
          <w:p w14:paraId="1C025E83">
            <w:pPr>
              <w:jc w:val="center"/>
            </w:pPr>
            <w:r>
              <w:rPr>
                <w:rFonts w:hint="eastAsia"/>
              </w:rPr>
              <w:t>序号</w:t>
            </w:r>
          </w:p>
        </w:tc>
        <w:tc>
          <w:tcPr>
            <w:tcW w:w="3227" w:type="dxa"/>
          </w:tcPr>
          <w:p w14:paraId="48F11312">
            <w:pPr>
              <w:jc w:val="center"/>
            </w:pPr>
            <w:r>
              <w:rPr>
                <w:rFonts w:hint="eastAsia"/>
              </w:rPr>
              <w:t>项目名称</w:t>
            </w:r>
          </w:p>
        </w:tc>
        <w:tc>
          <w:tcPr>
            <w:tcW w:w="3608" w:type="dxa"/>
            <w:shd w:val="clear" w:color="auto" w:fill="auto"/>
          </w:tcPr>
          <w:p w14:paraId="732E1CF6">
            <w:pPr>
              <w:jc w:val="center"/>
            </w:pPr>
            <w:r>
              <w:rPr>
                <w:rFonts w:hint="eastAsia" w:cs="宋体"/>
                <w:bCs/>
                <w:color w:val="000000"/>
                <w:kern w:val="0"/>
                <w:sz w:val="22"/>
              </w:rPr>
              <w:t>配置描述</w:t>
            </w:r>
          </w:p>
        </w:tc>
        <w:tc>
          <w:tcPr>
            <w:tcW w:w="1103" w:type="dxa"/>
          </w:tcPr>
          <w:p w14:paraId="77318169">
            <w:pPr>
              <w:jc w:val="center"/>
              <w:rPr>
                <w:color w:val="000000"/>
              </w:rPr>
            </w:pPr>
            <w:r>
              <w:rPr>
                <w:rFonts w:hint="eastAsia"/>
                <w:color w:val="000000"/>
              </w:rPr>
              <w:t>数量</w:t>
            </w:r>
          </w:p>
        </w:tc>
      </w:tr>
      <w:tr w14:paraId="6E357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tcPr>
          <w:p w14:paraId="44BB215F">
            <w:pPr>
              <w:jc w:val="center"/>
            </w:pPr>
            <w:r>
              <w:t>1</w:t>
            </w:r>
          </w:p>
        </w:tc>
        <w:tc>
          <w:tcPr>
            <w:tcW w:w="3227" w:type="dxa"/>
          </w:tcPr>
          <w:p w14:paraId="17BA48FE">
            <w:pPr>
              <w:jc w:val="center"/>
            </w:pPr>
            <w:r>
              <w:rPr>
                <w:rFonts w:hint="eastAsia"/>
              </w:rPr>
              <w:t>血液病临床大数据智能平台</w:t>
            </w:r>
          </w:p>
        </w:tc>
        <w:tc>
          <w:tcPr>
            <w:tcW w:w="3608" w:type="dxa"/>
          </w:tcPr>
          <w:p w14:paraId="7D5C71BC">
            <w:pPr>
              <w:jc w:val="center"/>
              <w:rPr>
                <w:rFonts w:hint="default" w:eastAsia="宋体"/>
                <w:sz w:val="22"/>
                <w:lang w:val="en-US" w:eastAsia="zh-CN"/>
              </w:rPr>
            </w:pPr>
            <w:r>
              <w:rPr>
                <w:rFonts w:hint="eastAsia"/>
                <w:sz w:val="22"/>
              </w:rPr>
              <w:t>详见三</w:t>
            </w:r>
            <w:r>
              <w:rPr>
                <w:rFonts w:hint="eastAsia"/>
                <w:sz w:val="22"/>
                <w:lang w:val="en-US" w:eastAsia="zh-CN"/>
              </w:rPr>
              <w:t>详细参数配置</w:t>
            </w:r>
          </w:p>
        </w:tc>
        <w:tc>
          <w:tcPr>
            <w:tcW w:w="1103" w:type="dxa"/>
          </w:tcPr>
          <w:p w14:paraId="1086DAFF">
            <w:pPr>
              <w:jc w:val="center"/>
              <w:rPr>
                <w:sz w:val="22"/>
              </w:rPr>
            </w:pPr>
            <w:r>
              <w:rPr>
                <w:rFonts w:hint="eastAsia" w:cs="宋体"/>
                <w:szCs w:val="21"/>
                <w:lang w:bidi="ar"/>
              </w:rPr>
              <w:t>1</w:t>
            </w:r>
          </w:p>
        </w:tc>
      </w:tr>
    </w:tbl>
    <w:p w14:paraId="31E239A5">
      <w:pPr>
        <w:pStyle w:val="2"/>
      </w:pPr>
      <w:r>
        <w:rPr>
          <w:rFonts w:hint="eastAsia"/>
        </w:rPr>
        <w:t>详细配置参数描述</w:t>
      </w:r>
      <w:bookmarkStart w:id="3" w:name="_GoBack"/>
      <w:bookmarkEnd w:id="3"/>
    </w:p>
    <w:tbl>
      <w:tblPr>
        <w:tblStyle w:val="22"/>
        <w:tblW w:w="0" w:type="auto"/>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46"/>
        <w:gridCol w:w="1264"/>
        <w:gridCol w:w="1417"/>
        <w:gridCol w:w="5663"/>
      </w:tblGrid>
      <w:tr w14:paraId="5AED6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6" w:type="dxa"/>
          </w:tcPr>
          <w:p w14:paraId="1503E6E2">
            <w:pPr>
              <w:jc w:val="center"/>
            </w:pPr>
            <w:r>
              <w:rPr>
                <w:rFonts w:hint="eastAsia"/>
              </w:rPr>
              <w:t>序号</w:t>
            </w:r>
          </w:p>
        </w:tc>
        <w:tc>
          <w:tcPr>
            <w:tcW w:w="1264" w:type="dxa"/>
            <w:shd w:val="clear" w:color="auto" w:fill="auto"/>
          </w:tcPr>
          <w:p w14:paraId="71780C29">
            <w:pPr>
              <w:jc w:val="center"/>
            </w:pPr>
            <w:r>
              <w:rPr>
                <w:rFonts w:hint="eastAsia"/>
              </w:rPr>
              <w:t>功能模块</w:t>
            </w:r>
          </w:p>
        </w:tc>
        <w:tc>
          <w:tcPr>
            <w:tcW w:w="1417" w:type="dxa"/>
          </w:tcPr>
          <w:p w14:paraId="537A1F93">
            <w:pPr>
              <w:jc w:val="center"/>
              <w:rPr>
                <w:color w:val="000000"/>
              </w:rPr>
            </w:pPr>
            <w:r>
              <w:rPr>
                <w:color w:val="000000"/>
              </w:rPr>
              <w:t>模块子功能</w:t>
            </w:r>
          </w:p>
        </w:tc>
        <w:tc>
          <w:tcPr>
            <w:tcW w:w="5663" w:type="dxa"/>
            <w:shd w:val="clear" w:color="auto" w:fill="auto"/>
          </w:tcPr>
          <w:p w14:paraId="5B018126">
            <w:pPr>
              <w:jc w:val="center"/>
            </w:pPr>
            <w:r>
              <w:rPr>
                <w:rFonts w:hint="eastAsia"/>
                <w:color w:val="000000"/>
              </w:rPr>
              <w:t>配置描述</w:t>
            </w:r>
          </w:p>
        </w:tc>
      </w:tr>
      <w:tr w14:paraId="102AF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6" w:type="dxa"/>
            <w:vMerge w:val="restart"/>
          </w:tcPr>
          <w:p w14:paraId="6BBFF542">
            <w:pPr>
              <w:jc w:val="center"/>
            </w:pPr>
          </w:p>
          <w:p w14:paraId="6139E428">
            <w:pPr>
              <w:jc w:val="center"/>
            </w:pPr>
          </w:p>
          <w:p w14:paraId="3407C8A0">
            <w:pPr>
              <w:jc w:val="center"/>
            </w:pPr>
            <w:r>
              <w:t>1</w:t>
            </w:r>
          </w:p>
        </w:tc>
        <w:tc>
          <w:tcPr>
            <w:tcW w:w="1264" w:type="dxa"/>
            <w:vMerge w:val="restart"/>
          </w:tcPr>
          <w:p w14:paraId="5620225A">
            <w:pPr>
              <w:rPr>
                <w:sz w:val="22"/>
              </w:rPr>
            </w:pPr>
          </w:p>
          <w:p w14:paraId="7E21F48F">
            <w:pPr>
              <w:jc w:val="center"/>
              <w:rPr>
                <w:sz w:val="22"/>
              </w:rPr>
            </w:pPr>
            <w:r>
              <w:rPr>
                <w:rFonts w:hint="eastAsia"/>
                <w:sz w:val="22"/>
              </w:rPr>
              <w:t>专病临床数据采集治理模块</w:t>
            </w:r>
          </w:p>
          <w:p w14:paraId="0C38BBA2">
            <w:pPr>
              <w:jc w:val="center"/>
              <w:rPr>
                <w:sz w:val="22"/>
              </w:rPr>
            </w:pPr>
          </w:p>
          <w:p w14:paraId="6D76463E">
            <w:pPr>
              <w:jc w:val="center"/>
              <w:rPr>
                <w:sz w:val="22"/>
              </w:rPr>
            </w:pPr>
            <w:r>
              <w:rPr>
                <w:rFonts w:hint="eastAsia"/>
                <w:sz w:val="22"/>
              </w:rPr>
              <w:t>（专病数据库包括白血病、淋巴瘤专病数据库以及其它</w:t>
            </w:r>
          </w:p>
          <w:p w14:paraId="5DAA40B7">
            <w:pPr>
              <w:jc w:val="center"/>
              <w:rPr>
                <w:sz w:val="22"/>
              </w:rPr>
            </w:pPr>
            <w:r>
              <w:rPr>
                <w:sz w:val="22"/>
              </w:rPr>
              <w:t>信创支持</w:t>
            </w:r>
            <w:r>
              <w:rPr>
                <w:rFonts w:hint="eastAsia"/>
                <w:sz w:val="22"/>
              </w:rPr>
              <w:t>）</w:t>
            </w:r>
          </w:p>
        </w:tc>
        <w:tc>
          <w:tcPr>
            <w:tcW w:w="1417" w:type="dxa"/>
          </w:tcPr>
          <w:p w14:paraId="34E1E232">
            <w:pPr>
              <w:jc w:val="center"/>
              <w:rPr>
                <w:rFonts w:cs="宋体"/>
                <w:szCs w:val="21"/>
                <w:lang w:bidi="ar"/>
              </w:rPr>
            </w:pPr>
          </w:p>
          <w:p w14:paraId="66D5DA4A">
            <w:pPr>
              <w:jc w:val="center"/>
              <w:rPr>
                <w:rFonts w:cs="宋体"/>
                <w:szCs w:val="21"/>
                <w:lang w:bidi="ar"/>
              </w:rPr>
            </w:pPr>
          </w:p>
          <w:p w14:paraId="0E3CF33E">
            <w:pPr>
              <w:jc w:val="center"/>
              <w:rPr>
                <w:rFonts w:cs="宋体"/>
                <w:szCs w:val="21"/>
                <w:lang w:bidi="ar"/>
              </w:rPr>
            </w:pPr>
          </w:p>
          <w:p w14:paraId="74F4689D">
            <w:pPr>
              <w:jc w:val="center"/>
              <w:rPr>
                <w:rFonts w:cs="宋体"/>
                <w:szCs w:val="21"/>
                <w:lang w:bidi="ar"/>
              </w:rPr>
            </w:pPr>
          </w:p>
          <w:p w14:paraId="12FA2EB6">
            <w:pPr>
              <w:jc w:val="center"/>
              <w:rPr>
                <w:rFonts w:cs="宋体"/>
                <w:szCs w:val="21"/>
                <w:lang w:bidi="ar"/>
              </w:rPr>
            </w:pPr>
          </w:p>
          <w:p w14:paraId="253763EA">
            <w:pPr>
              <w:jc w:val="center"/>
              <w:rPr>
                <w:sz w:val="22"/>
              </w:rPr>
            </w:pPr>
            <w:r>
              <w:rPr>
                <w:rFonts w:hint="eastAsia" w:cs="宋体"/>
                <w:szCs w:val="21"/>
                <w:lang w:bidi="ar"/>
              </w:rPr>
              <w:t>1</w:t>
            </w:r>
            <w:r>
              <w:rPr>
                <w:rFonts w:cs="宋体"/>
                <w:szCs w:val="21"/>
                <w:lang w:bidi="ar"/>
              </w:rPr>
              <w:t>.临床数据采集</w:t>
            </w:r>
            <w:r>
              <w:rPr>
                <w:rFonts w:hint="eastAsia"/>
                <w:sz w:val="22"/>
              </w:rPr>
              <w:t>▲</w:t>
            </w:r>
          </w:p>
        </w:tc>
        <w:tc>
          <w:tcPr>
            <w:tcW w:w="5663" w:type="dxa"/>
          </w:tcPr>
          <w:p w14:paraId="5197A2D9">
            <w:pPr>
              <w:ind w:firstLine="330" w:firstLineChars="150"/>
              <w:rPr>
                <w:sz w:val="22"/>
              </w:rPr>
            </w:pPr>
            <w:r>
              <w:rPr>
                <w:rFonts w:hint="eastAsia"/>
                <w:sz w:val="22"/>
              </w:rPr>
              <w:t>本次建设的专病数据库包括白血病、淋巴瘤专病数据库，具体数据集模块如下：</w:t>
            </w:r>
          </w:p>
          <w:p w14:paraId="66BE66B9">
            <w:pPr>
              <w:ind w:firstLine="330" w:firstLineChars="150"/>
              <w:rPr>
                <w:sz w:val="22"/>
              </w:rPr>
            </w:pPr>
            <w:r>
              <w:rPr>
                <w:rFonts w:hint="eastAsia"/>
                <w:sz w:val="22"/>
              </w:rPr>
              <w:t>白血病数据元属性表包括：患者人口学信息、诊疗概览、就诊信息、一诉五史、体格检查、诊断、形态学检查、免疫学检查、细胞遗传学和分子生物学检查、实验室检验、物理检查、治疗及疗效评估等。</w:t>
            </w:r>
          </w:p>
          <w:p w14:paraId="34B399B7">
            <w:pPr>
              <w:ind w:firstLine="440" w:firstLineChars="200"/>
              <w:rPr>
                <w:sz w:val="22"/>
              </w:rPr>
            </w:pPr>
            <w:r>
              <w:rPr>
                <w:rFonts w:hint="eastAsia"/>
                <w:sz w:val="22"/>
              </w:rPr>
              <w:t>淋巴瘤数据元属性表包括：患者人口学信息、个人家族及既往疾病情况、一般状况及体格检查、恶性肿瘤诊断、淋巴瘤既往治疗史、淋巴瘤干预措施、合并用药、实验室检验及标本采集、医学检查、疗效评价、不良反应、随访及预后。</w:t>
            </w:r>
          </w:p>
          <w:p w14:paraId="3ACCC5C7">
            <w:pPr>
              <w:ind w:firstLine="220" w:firstLineChars="100"/>
              <w:rPr>
                <w:sz w:val="22"/>
              </w:rPr>
            </w:pPr>
            <w:r>
              <w:rPr>
                <w:rFonts w:hint="eastAsia"/>
                <w:sz w:val="22"/>
              </w:rPr>
              <w:t>1</w:t>
            </w:r>
            <w:r>
              <w:rPr>
                <w:sz w:val="22"/>
              </w:rPr>
              <w:t>.</w:t>
            </w:r>
            <w:r>
              <w:rPr>
                <w:rFonts w:hint="eastAsia" w:ascii="仿宋" w:hAnsi="仿宋" w:eastAsia="仿宋"/>
                <w:bCs/>
                <w:sz w:val="28"/>
                <w:szCs w:val="28"/>
              </w:rPr>
              <w:t xml:space="preserve"> </w:t>
            </w:r>
            <w:r>
              <w:rPr>
                <w:sz w:val="22"/>
              </w:rPr>
              <w:t>采集范围</w:t>
            </w:r>
          </w:p>
          <w:p w14:paraId="729F7039">
            <w:pPr>
              <w:ind w:firstLine="660" w:firstLineChars="300"/>
              <w:rPr>
                <w:sz w:val="22"/>
              </w:rPr>
            </w:pPr>
            <w:r>
              <w:rPr>
                <w:sz w:val="22"/>
              </w:rPr>
              <w:t>医院的HIS、EMR、LIS、PACS等信息系统中获取数据（无论是何种格式）</w:t>
            </w:r>
            <w:r>
              <w:rPr>
                <w:rFonts w:hint="eastAsia"/>
                <w:sz w:val="22"/>
              </w:rPr>
              <w:t>:</w:t>
            </w:r>
          </w:p>
          <w:p w14:paraId="4327B830">
            <w:pPr>
              <w:ind w:firstLine="440" w:firstLineChars="200"/>
              <w:rPr>
                <w:sz w:val="22"/>
              </w:rPr>
            </w:pPr>
            <w:r>
              <w:rPr>
                <w:sz w:val="22"/>
              </w:rPr>
              <w:t>(1)</w:t>
            </w:r>
            <w:r>
              <w:rPr>
                <w:sz w:val="22"/>
              </w:rPr>
              <w:tab/>
            </w:r>
            <w:r>
              <w:rPr>
                <w:sz w:val="22"/>
              </w:rPr>
              <w:t>医疗机构信息系统（HIS）：患者、挂号、入出转、就诊、处方/医嘱、申请、收费等信息</w:t>
            </w:r>
          </w:p>
          <w:p w14:paraId="35B3B4AC">
            <w:pPr>
              <w:ind w:firstLine="440" w:firstLineChars="200"/>
              <w:rPr>
                <w:sz w:val="22"/>
              </w:rPr>
            </w:pPr>
            <w:r>
              <w:rPr>
                <w:sz w:val="22"/>
              </w:rPr>
              <w:t>(2)实验室系统（LIS）：标本、检验结果等信息</w:t>
            </w:r>
          </w:p>
          <w:p w14:paraId="1F24E88A">
            <w:pPr>
              <w:ind w:firstLine="440" w:firstLineChars="200"/>
              <w:rPr>
                <w:sz w:val="22"/>
              </w:rPr>
            </w:pPr>
            <w:r>
              <w:rPr>
                <w:sz w:val="22"/>
              </w:rPr>
              <w:t>(3)病理信息系统：病理检查、病理标本、病理报告等信息</w:t>
            </w:r>
          </w:p>
          <w:p w14:paraId="439DF18B">
            <w:pPr>
              <w:ind w:firstLine="550" w:firstLineChars="250"/>
              <w:rPr>
                <w:sz w:val="22"/>
              </w:rPr>
            </w:pPr>
            <w:r>
              <w:rPr>
                <w:sz w:val="22"/>
              </w:rPr>
              <w:t>(4)放射信息系统：放射检查、放射报告等信息</w:t>
            </w:r>
          </w:p>
          <w:p w14:paraId="7D2287F7">
            <w:pPr>
              <w:ind w:firstLine="550" w:firstLineChars="250"/>
              <w:rPr>
                <w:sz w:val="22"/>
              </w:rPr>
            </w:pPr>
            <w:r>
              <w:rPr>
                <w:sz w:val="22"/>
              </w:rPr>
              <w:t>(5)核医学信息系统：核医学检查、核医学报告等信息</w:t>
            </w:r>
          </w:p>
          <w:p w14:paraId="750BCB86">
            <w:pPr>
              <w:ind w:firstLine="550" w:firstLineChars="250"/>
              <w:rPr>
                <w:sz w:val="22"/>
              </w:rPr>
            </w:pPr>
            <w:r>
              <w:rPr>
                <w:sz w:val="22"/>
              </w:rPr>
              <w:t>(6)电子病历系统（EMR）：入院记录、出院记录、病程等病历信息</w:t>
            </w:r>
          </w:p>
          <w:p w14:paraId="3E4EDC13">
            <w:pPr>
              <w:ind w:firstLine="550" w:firstLineChars="250"/>
              <w:rPr>
                <w:sz w:val="22"/>
              </w:rPr>
            </w:pPr>
            <w:r>
              <w:rPr>
                <w:sz w:val="22"/>
              </w:rPr>
              <w:t>(7)病案管理系统：病案首页信息</w:t>
            </w:r>
          </w:p>
          <w:p w14:paraId="7D815F7C">
            <w:pPr>
              <w:ind w:firstLine="220" w:firstLineChars="100"/>
              <w:rPr>
                <w:sz w:val="22"/>
              </w:rPr>
            </w:pPr>
            <w:r>
              <w:rPr>
                <w:rFonts w:hint="eastAsia"/>
                <w:sz w:val="22"/>
              </w:rPr>
              <w:t>2</w:t>
            </w:r>
            <w:r>
              <w:rPr>
                <w:sz w:val="22"/>
              </w:rPr>
              <w:t>.数据采集条款（包括不限于）：</w:t>
            </w:r>
          </w:p>
          <w:p w14:paraId="2CC34C22">
            <w:pPr>
              <w:ind w:firstLine="440" w:firstLineChars="200"/>
              <w:rPr>
                <w:sz w:val="22"/>
              </w:rPr>
            </w:pPr>
            <w:r>
              <w:rPr>
                <w:sz w:val="22"/>
              </w:rPr>
              <w:t>(1)</w:t>
            </w:r>
            <w:r>
              <w:rPr>
                <w:rFonts w:hint="eastAsia"/>
                <w:sz w:val="22"/>
              </w:rPr>
              <w:t>基线数据</w:t>
            </w:r>
            <w:r>
              <w:rPr>
                <w:sz w:val="22"/>
              </w:rPr>
              <w:t>。人口统计学：年龄、性别、ECOG评分、合并症、并发症、体能状态评分，实验室指标</w:t>
            </w:r>
            <w:r>
              <w:rPr>
                <w:rFonts w:hint="eastAsia"/>
                <w:sz w:val="22"/>
              </w:rPr>
              <w:t>：</w:t>
            </w:r>
            <w:r>
              <w:rPr>
                <w:sz w:val="22"/>
              </w:rPr>
              <w:t>初诊WBC、Hb、PLT、血生化、出凝血等。MICM结果：形态学、流式细胞学、细胞遗传学、分子学标志（如PML-RARA, BCR-ABL1等）。</w:t>
            </w:r>
          </w:p>
          <w:p w14:paraId="5B66FA39">
            <w:pPr>
              <w:ind w:firstLine="440" w:firstLineChars="200"/>
              <w:rPr>
                <w:sz w:val="22"/>
              </w:rPr>
            </w:pPr>
            <w:r>
              <w:rPr>
                <w:sz w:val="22"/>
              </w:rPr>
              <w:t>(2)</w:t>
            </w:r>
            <w:r>
              <w:rPr>
                <w:rFonts w:hint="eastAsia"/>
                <w:sz w:val="22"/>
              </w:rPr>
              <w:t>诊疗数据</w:t>
            </w:r>
            <w:r>
              <w:rPr>
                <w:sz w:val="22"/>
              </w:rPr>
              <w:t>。诊断信息</w:t>
            </w:r>
            <w:r>
              <w:rPr>
                <w:rFonts w:hint="eastAsia"/>
                <w:sz w:val="22"/>
              </w:rPr>
              <w:t>：</w:t>
            </w:r>
            <w:r>
              <w:rPr>
                <w:sz w:val="22"/>
              </w:rPr>
              <w:t>FAB分型、WHO分型（5th）、ICC、危险度分层（中国指南、NCCN、ELN）等。</w:t>
            </w:r>
          </w:p>
          <w:p w14:paraId="441187BE">
            <w:pPr>
              <w:ind w:firstLine="440" w:firstLineChars="200"/>
              <w:rPr>
                <w:sz w:val="22"/>
              </w:rPr>
            </w:pPr>
            <w:r>
              <w:rPr>
                <w:sz w:val="22"/>
              </w:rPr>
              <w:t>(3)</w:t>
            </w:r>
            <w:r>
              <w:rPr>
                <w:rFonts w:hint="eastAsia"/>
                <w:sz w:val="22"/>
              </w:rPr>
              <w:t>随访数据</w:t>
            </w:r>
            <w:r>
              <w:rPr>
                <w:sz w:val="22"/>
              </w:rPr>
              <w:t>：治疗数据。诱导/巩固/维持治疗方案、药物剂量、移植相关数据（供者类型、预处理、GVHD预防等）、支持治疗、不良反应记录。疗效监测：每个疗程后的疗效评估（完全缓解、部分缓解、复发、耐药等），MRD检测（流式/PCR）、检测时间点、生存状态、复发时间、死亡原因、生活质量量表、远期并发症等。安全性数据：不良事件（AE）记录，如粒细胞缺乏性发热、感染、肝肾功能损害等。</w:t>
            </w:r>
          </w:p>
          <w:p w14:paraId="4AE70196">
            <w:pPr>
              <w:ind w:firstLine="440" w:firstLineChars="200"/>
              <w:rPr>
                <w:sz w:val="22"/>
              </w:rPr>
            </w:pPr>
            <w:r>
              <w:rPr>
                <w:sz w:val="22"/>
              </w:rPr>
              <w:t>(4)</w:t>
            </w:r>
            <w:r>
              <w:rPr>
                <w:sz w:val="22"/>
              </w:rPr>
              <w:tab/>
            </w:r>
            <w:r>
              <w:rPr>
                <w:rFonts w:hint="eastAsia"/>
                <w:sz w:val="22"/>
              </w:rPr>
              <w:t>结局事件</w:t>
            </w:r>
            <w:r>
              <w:rPr>
                <w:sz w:val="22"/>
              </w:rPr>
              <w:t>：短期结局：完全缓解（CR）率、MRD转阴率</w:t>
            </w:r>
            <w:r>
              <w:rPr>
                <w:rFonts w:hint="eastAsia"/>
                <w:sz w:val="22"/>
              </w:rPr>
              <w:t>。</w:t>
            </w:r>
            <w:r>
              <w:rPr>
                <w:sz w:val="22"/>
              </w:rPr>
              <w:t>长期结局：复发（日期）、死亡（日期与原因）、无事件生存（EFS）、总生存（OS）、无复发生存（RFS）、非复发死亡率等关键研究终点</w:t>
            </w:r>
          </w:p>
        </w:tc>
      </w:tr>
      <w:tr w14:paraId="15C5C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6" w:type="dxa"/>
            <w:vMerge w:val="continue"/>
          </w:tcPr>
          <w:p w14:paraId="356F903C">
            <w:pPr>
              <w:jc w:val="center"/>
            </w:pPr>
          </w:p>
        </w:tc>
        <w:tc>
          <w:tcPr>
            <w:tcW w:w="1264" w:type="dxa"/>
            <w:vMerge w:val="continue"/>
          </w:tcPr>
          <w:p w14:paraId="694CC1BE">
            <w:pPr>
              <w:jc w:val="center"/>
              <w:rPr>
                <w:rFonts w:cs="宋体"/>
                <w:szCs w:val="21"/>
                <w:lang w:bidi="ar"/>
              </w:rPr>
            </w:pPr>
          </w:p>
        </w:tc>
        <w:tc>
          <w:tcPr>
            <w:tcW w:w="1417" w:type="dxa"/>
          </w:tcPr>
          <w:p w14:paraId="6F1B6852">
            <w:pPr>
              <w:jc w:val="center"/>
              <w:rPr>
                <w:rFonts w:cs="宋体"/>
                <w:szCs w:val="21"/>
                <w:lang w:bidi="ar"/>
              </w:rPr>
            </w:pPr>
            <w:r>
              <w:rPr>
                <w:rFonts w:hint="eastAsia" w:cs="宋体"/>
                <w:szCs w:val="21"/>
              </w:rPr>
              <w:t>2</w:t>
            </w:r>
            <w:r>
              <w:rPr>
                <w:rFonts w:cs="宋体"/>
                <w:szCs w:val="21"/>
              </w:rPr>
              <w:t>.</w:t>
            </w:r>
            <w:r>
              <w:rPr>
                <w:rFonts w:hint="eastAsia"/>
                <w:sz w:val="22"/>
              </w:rPr>
              <w:t xml:space="preserve"> ▲</w:t>
            </w:r>
            <w:r>
              <w:rPr>
                <w:rFonts w:cs="宋体"/>
                <w:szCs w:val="21"/>
              </w:rPr>
              <w:t>数据清洗与质控</w:t>
            </w:r>
          </w:p>
        </w:tc>
        <w:tc>
          <w:tcPr>
            <w:tcW w:w="5663" w:type="dxa"/>
          </w:tcPr>
          <w:p w14:paraId="431A5A02">
            <w:pPr>
              <w:rPr>
                <w:sz w:val="22"/>
              </w:rPr>
            </w:pPr>
            <w:r>
              <w:rPr>
                <w:sz w:val="22"/>
              </w:rPr>
              <w:t>1、专病数据清洗</w:t>
            </w:r>
          </w:p>
          <w:p w14:paraId="683E46B6">
            <w:pPr>
              <w:rPr>
                <w:sz w:val="22"/>
              </w:rPr>
            </w:pPr>
            <w:r>
              <w:rPr>
                <w:rFonts w:hint="eastAsia"/>
                <w:sz w:val="22"/>
              </w:rPr>
              <w:t>平台满足以下功能要求：</w:t>
            </w:r>
          </w:p>
          <w:p w14:paraId="67EF1D69">
            <w:pPr>
              <w:rPr>
                <w:sz w:val="22"/>
              </w:rPr>
            </w:pPr>
            <w:r>
              <w:rPr>
                <w:sz w:val="22"/>
              </w:rPr>
              <w:t>（1）、针对入库数据进行数据清洗，包括支持病案首页及参数配置的数据清洗，支持标化字典管理、库表结构管理、数据库校验、数据清洗质控。</w:t>
            </w:r>
          </w:p>
          <w:p w14:paraId="3BA6861A">
            <w:pPr>
              <w:rPr>
                <w:sz w:val="22"/>
              </w:rPr>
            </w:pPr>
            <w:r>
              <w:rPr>
                <w:sz w:val="22"/>
              </w:rPr>
              <w:t>（2）、利用自动化辅以人工质控等综合手段，支持数据的准确性、完整性、规范性、一致性、时效性、唯一性等维度的数据质控，保证数据质量，并提供数量质量报告。</w:t>
            </w:r>
          </w:p>
          <w:p w14:paraId="51E2DA9E">
            <w:pPr>
              <w:rPr>
                <w:sz w:val="22"/>
              </w:rPr>
            </w:pPr>
            <w:r>
              <w:rPr>
                <w:sz w:val="22"/>
              </w:rPr>
              <w:t>(3)、支持对数据进行一致性检查、无效值和缺失值的处理、残缺数据处理、错误数据处理、重复数据处理。</w:t>
            </w:r>
          </w:p>
          <w:p w14:paraId="29190685">
            <w:pPr>
              <w:rPr>
                <w:sz w:val="22"/>
              </w:rPr>
            </w:pPr>
            <w:r>
              <w:rPr>
                <w:sz w:val="22"/>
              </w:rPr>
              <w:t>(4)、支持对后结构化数据的质控，包括准确率、召回率、关联关系、准确性等维度。</w:t>
            </w:r>
          </w:p>
          <w:p w14:paraId="3D790AA5">
            <w:pPr>
              <w:rPr>
                <w:sz w:val="22"/>
              </w:rPr>
            </w:pPr>
            <w:r>
              <w:rPr>
                <w:sz w:val="22"/>
              </w:rPr>
              <w:t>(5)、数据清洗规则至少包含基础清洗规则、正则清洗规则、自定义清洗规则，其中正则清洗规则支持表名查询和新增，包含库名、表名、表含义、字段名、字段含义、正则表达式、替换内容、匹配操作和操作等功能。</w:t>
            </w:r>
          </w:p>
          <w:p w14:paraId="24827260">
            <w:pPr>
              <w:rPr>
                <w:sz w:val="22"/>
              </w:rPr>
            </w:pPr>
            <w:r>
              <w:rPr>
                <w:sz w:val="22"/>
              </w:rPr>
              <w:t>（6）、支持查阅字段名称对应的数据类型、值域/说明、是否可为空、对应其他标准的编码和名称等。</w:t>
            </w:r>
          </w:p>
          <w:p w14:paraId="4A4B2A13">
            <w:pPr>
              <w:rPr>
                <w:sz w:val="22"/>
              </w:rPr>
            </w:pPr>
            <w:r>
              <w:rPr>
                <w:rFonts w:hint="eastAsia"/>
                <w:sz w:val="22"/>
              </w:rPr>
              <w:t>下面对几种数据清洗中常见的问题和解决方案进行描述：</w:t>
            </w:r>
          </w:p>
          <w:p w14:paraId="4837F0B7">
            <w:pPr>
              <w:ind w:firstLine="220" w:firstLineChars="100"/>
              <w:rPr>
                <w:sz w:val="22"/>
              </w:rPr>
            </w:pPr>
            <w:r>
              <w:rPr>
                <w:sz w:val="22"/>
              </w:rPr>
              <w:t>2、专病数据质控</w:t>
            </w:r>
          </w:p>
          <w:p w14:paraId="20283772">
            <w:pPr>
              <w:rPr>
                <w:sz w:val="22"/>
              </w:rPr>
            </w:pPr>
            <w:r>
              <w:rPr>
                <w:rFonts w:hint="eastAsia"/>
                <w:sz w:val="22"/>
              </w:rPr>
              <w:t>通过数据质量校验平台，可以进行原始数据关联性检查、原始数据的分布检查、清洗后数据与原始数据一致性检查，支持临床数据质控标准，以及</w:t>
            </w:r>
            <w:r>
              <w:rPr>
                <w:sz w:val="22"/>
              </w:rPr>
              <w:t>14大类共共计1200+的数据检测规则，包括不限于：</w:t>
            </w:r>
            <w:r>
              <w:rPr>
                <w:rFonts w:hint="eastAsia"/>
                <w:sz w:val="22"/>
              </w:rPr>
              <w:t>完整性、一致性、</w:t>
            </w:r>
            <w:r>
              <w:rPr>
                <w:sz w:val="22"/>
              </w:rPr>
              <w:t xml:space="preserve"> </w:t>
            </w:r>
            <w:r>
              <w:rPr>
                <w:rFonts w:hint="eastAsia"/>
                <w:sz w:val="22"/>
              </w:rPr>
              <w:t>准确性、及时性。</w:t>
            </w:r>
            <w:r>
              <w:rPr>
                <w:sz w:val="22"/>
              </w:rPr>
              <w:t xml:space="preserve"> </w:t>
            </w:r>
          </w:p>
        </w:tc>
      </w:tr>
      <w:tr w14:paraId="1B4A0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6" w:type="dxa"/>
            <w:vMerge w:val="continue"/>
          </w:tcPr>
          <w:p w14:paraId="2269BFBF">
            <w:pPr>
              <w:jc w:val="center"/>
            </w:pPr>
          </w:p>
        </w:tc>
        <w:tc>
          <w:tcPr>
            <w:tcW w:w="1264" w:type="dxa"/>
            <w:vMerge w:val="continue"/>
          </w:tcPr>
          <w:p w14:paraId="11CA41AE">
            <w:pPr>
              <w:jc w:val="center"/>
              <w:rPr>
                <w:rFonts w:cs="宋体"/>
                <w:szCs w:val="21"/>
              </w:rPr>
            </w:pPr>
          </w:p>
        </w:tc>
        <w:tc>
          <w:tcPr>
            <w:tcW w:w="1417" w:type="dxa"/>
          </w:tcPr>
          <w:p w14:paraId="39FCC6D0">
            <w:pPr>
              <w:jc w:val="center"/>
              <w:rPr>
                <w:rFonts w:cs="仿宋"/>
                <w:bCs/>
                <w:szCs w:val="21"/>
              </w:rPr>
            </w:pPr>
          </w:p>
          <w:p w14:paraId="696ABB4A">
            <w:pPr>
              <w:jc w:val="center"/>
              <w:rPr>
                <w:rFonts w:cs="仿宋"/>
                <w:bCs/>
                <w:szCs w:val="21"/>
              </w:rPr>
            </w:pPr>
          </w:p>
          <w:p w14:paraId="4E6D0F80">
            <w:pPr>
              <w:jc w:val="center"/>
              <w:rPr>
                <w:rFonts w:cs="仿宋"/>
                <w:bCs/>
                <w:szCs w:val="21"/>
              </w:rPr>
            </w:pPr>
          </w:p>
          <w:p w14:paraId="3E48036E">
            <w:pPr>
              <w:jc w:val="center"/>
              <w:rPr>
                <w:rFonts w:cs="仿宋"/>
                <w:bCs/>
                <w:szCs w:val="21"/>
              </w:rPr>
            </w:pPr>
          </w:p>
          <w:p w14:paraId="05790F78">
            <w:pPr>
              <w:jc w:val="center"/>
              <w:rPr>
                <w:rFonts w:cs="仿宋"/>
                <w:bCs/>
                <w:szCs w:val="21"/>
              </w:rPr>
            </w:pPr>
          </w:p>
          <w:p w14:paraId="1D84A6BD">
            <w:pPr>
              <w:jc w:val="center"/>
              <w:rPr>
                <w:rFonts w:cs="宋体"/>
                <w:szCs w:val="21"/>
              </w:rPr>
            </w:pPr>
            <w:r>
              <w:rPr>
                <w:rFonts w:hint="eastAsia" w:cs="仿宋"/>
                <w:bCs/>
                <w:szCs w:val="21"/>
              </w:rPr>
              <w:t>3</w:t>
            </w:r>
            <w:r>
              <w:rPr>
                <w:rFonts w:cs="仿宋"/>
                <w:bCs/>
                <w:szCs w:val="21"/>
              </w:rPr>
              <w:t>.</w:t>
            </w:r>
            <w:r>
              <w:rPr>
                <w:rFonts w:hint="eastAsia"/>
                <w:sz w:val="22"/>
              </w:rPr>
              <w:t xml:space="preserve"> ▲</w:t>
            </w:r>
            <w:r>
              <w:rPr>
                <w:rFonts w:cs="仿宋"/>
                <w:bCs/>
                <w:szCs w:val="21"/>
              </w:rPr>
              <w:t>自然语言处理</w:t>
            </w:r>
          </w:p>
        </w:tc>
        <w:tc>
          <w:tcPr>
            <w:tcW w:w="5663" w:type="dxa"/>
          </w:tcPr>
          <w:p w14:paraId="54D011E7">
            <w:pPr>
              <w:rPr>
                <w:sz w:val="22"/>
              </w:rPr>
            </w:pPr>
            <w:r>
              <w:rPr>
                <w:rFonts w:hint="eastAsia"/>
                <w:sz w:val="22"/>
              </w:rPr>
              <w:t>平台满足以下功能：</w:t>
            </w:r>
          </w:p>
          <w:p w14:paraId="1AEC76CA">
            <w:pPr>
              <w:rPr>
                <w:sz w:val="22"/>
              </w:rPr>
            </w:pPr>
            <w:r>
              <w:rPr>
                <w:sz w:val="22"/>
              </w:rPr>
              <w:t>1、NLP标注：可制定标注指南（定义待标注的标签和不同便签之间可能存在的关系），可在界面上进行人工标注和机器标注。</w:t>
            </w:r>
          </w:p>
          <w:p w14:paraId="7F94340A">
            <w:pPr>
              <w:rPr>
                <w:sz w:val="22"/>
              </w:rPr>
            </w:pPr>
            <w:r>
              <w:rPr>
                <w:sz w:val="22"/>
              </w:rPr>
              <w:t>2、模型训练：可使用一批或多批NLP标注结果，利用在算法管理页面中配置好的算法，一键训练机器学习模型。</w:t>
            </w:r>
          </w:p>
          <w:p w14:paraId="47959513">
            <w:pPr>
              <w:rPr>
                <w:sz w:val="22"/>
              </w:rPr>
            </w:pPr>
            <w:r>
              <w:rPr>
                <w:sz w:val="22"/>
              </w:rPr>
              <w:t>3、入库规则：可选取需要结构化的标签，系统会跟即标签之间可能存在的关系自动配置数据表结构和入库规则。</w:t>
            </w:r>
          </w:p>
          <w:p w14:paraId="12AC238F">
            <w:pPr>
              <w:rPr>
                <w:sz w:val="22"/>
              </w:rPr>
            </w:pPr>
            <w:r>
              <w:rPr>
                <w:sz w:val="22"/>
              </w:rPr>
              <w:t>4、结构化任务：可选定训练好的模型、入库规则，对大批量的文本数据进行一键结构化。结构化结果可以导出为excel文件。</w:t>
            </w:r>
          </w:p>
        </w:tc>
      </w:tr>
      <w:tr w14:paraId="1CA94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6" w:type="dxa"/>
            <w:vMerge w:val="continue"/>
          </w:tcPr>
          <w:p w14:paraId="6F565704">
            <w:pPr>
              <w:jc w:val="center"/>
            </w:pPr>
          </w:p>
        </w:tc>
        <w:tc>
          <w:tcPr>
            <w:tcW w:w="1264" w:type="dxa"/>
            <w:vMerge w:val="continue"/>
          </w:tcPr>
          <w:p w14:paraId="6C3333D4">
            <w:pPr>
              <w:jc w:val="center"/>
              <w:rPr>
                <w:rFonts w:cs="仿宋"/>
                <w:bCs/>
                <w:szCs w:val="21"/>
              </w:rPr>
            </w:pPr>
          </w:p>
        </w:tc>
        <w:tc>
          <w:tcPr>
            <w:tcW w:w="1417" w:type="dxa"/>
          </w:tcPr>
          <w:p w14:paraId="0D0F70A0">
            <w:pPr>
              <w:jc w:val="center"/>
              <w:rPr>
                <w:rFonts w:cs="仿宋"/>
                <w:bCs/>
                <w:szCs w:val="21"/>
              </w:rPr>
            </w:pPr>
            <w:r>
              <w:rPr>
                <w:rFonts w:cs="宋体"/>
                <w:szCs w:val="21"/>
              </w:rPr>
              <w:t>4．</w:t>
            </w:r>
            <w:r>
              <w:rPr>
                <w:rFonts w:hint="eastAsia"/>
                <w:sz w:val="22"/>
              </w:rPr>
              <w:t>▲</w:t>
            </w:r>
            <w:r>
              <w:rPr>
                <w:rFonts w:cs="宋体"/>
                <w:szCs w:val="21"/>
              </w:rPr>
              <w:t>术语标准化</w:t>
            </w:r>
          </w:p>
        </w:tc>
        <w:tc>
          <w:tcPr>
            <w:tcW w:w="5663" w:type="dxa"/>
          </w:tcPr>
          <w:p w14:paraId="2BDF3D44">
            <w:pPr>
              <w:rPr>
                <w:sz w:val="22"/>
              </w:rPr>
            </w:pPr>
            <w:r>
              <w:rPr>
                <w:rFonts w:hint="eastAsia"/>
                <w:sz w:val="22"/>
              </w:rPr>
              <w:t>术语标准化满足以下功能要求：</w:t>
            </w:r>
          </w:p>
          <w:p w14:paraId="5A9C56AD">
            <w:pPr>
              <w:rPr>
                <w:sz w:val="22"/>
              </w:rPr>
            </w:pPr>
            <w:r>
              <w:rPr>
                <w:sz w:val="22"/>
              </w:rPr>
              <w:t>1、术语查询：可通过关键词、编码查询医学概念，可展示查询结果的上下位概念和其属性。</w:t>
            </w:r>
          </w:p>
          <w:p w14:paraId="0C1EBFFB">
            <w:pPr>
              <w:rPr>
                <w:sz w:val="22"/>
              </w:rPr>
            </w:pPr>
            <w:r>
              <w:rPr>
                <w:sz w:val="22"/>
              </w:rPr>
              <w:t>2、概念模型配置：可配置每一类概念的属性和值域。</w:t>
            </w:r>
          </w:p>
          <w:p w14:paraId="47924885">
            <w:pPr>
              <w:rPr>
                <w:sz w:val="22"/>
              </w:rPr>
            </w:pPr>
            <w:r>
              <w:rPr>
                <w:sz w:val="22"/>
              </w:rPr>
              <w:t>3、概念构建：可填写新概念的必要属性和分类，系统自动计算新概念与原有概念的关系，并将新概念加入到SNOMEDCT体系中。</w:t>
            </w:r>
          </w:p>
          <w:p w14:paraId="48105A36">
            <w:pPr>
              <w:rPr>
                <w:sz w:val="22"/>
              </w:rPr>
            </w:pPr>
            <w:r>
              <w:rPr>
                <w:sz w:val="22"/>
              </w:rPr>
              <w:t>4、表达式库：在库中存储所有SNOMEDCT未覆盖，但真实世界存在的概念，可将高频出现的新概念加入到SNOMEDCT中术语标准化</w:t>
            </w:r>
          </w:p>
          <w:p w14:paraId="1EFF7784">
            <w:pPr>
              <w:rPr>
                <w:sz w:val="22"/>
              </w:rPr>
            </w:pPr>
            <w:r>
              <w:rPr>
                <w:sz w:val="22"/>
              </w:rPr>
              <w:t>5、标化范围：标化范围：5大类结构化数据（诊断、手术、检查、检验和药品），以及NLP处理后的半结构化数据。术语体系：SNOMEDCT、ICD-10、ICD-9、LOINC、药品字典。</w:t>
            </w:r>
          </w:p>
          <w:p w14:paraId="2CA5F20A">
            <w:pPr>
              <w:rPr>
                <w:sz w:val="22"/>
              </w:rPr>
            </w:pPr>
            <w:r>
              <w:rPr>
                <w:rFonts w:hint="eastAsia"/>
                <w:sz w:val="22"/>
              </w:rPr>
              <w:t>6</w:t>
            </w:r>
            <w:r>
              <w:rPr>
                <w:sz w:val="22"/>
              </w:rPr>
              <w:t>. 中文医学本体库：</w:t>
            </w:r>
            <w:r>
              <w:rPr>
                <w:rFonts w:hint="eastAsia"/>
                <w:sz w:val="22"/>
              </w:rPr>
              <w:t>建立中文医学本体知识库是将国内较为混乱的各种医学术语整合统一、相互映射。</w:t>
            </w:r>
          </w:p>
          <w:p w14:paraId="7092068C">
            <w:pPr>
              <w:rPr>
                <w:sz w:val="22"/>
              </w:rPr>
            </w:pPr>
            <w:r>
              <w:rPr>
                <w:rFonts w:hint="eastAsia"/>
                <w:sz w:val="22"/>
              </w:rPr>
              <w:t>7</w:t>
            </w:r>
            <w:r>
              <w:rPr>
                <w:sz w:val="22"/>
              </w:rPr>
              <w:t>. 术语映射：</w:t>
            </w:r>
            <w:r>
              <w:rPr>
                <w:rFonts w:hint="eastAsia"/>
                <w:sz w:val="22"/>
              </w:rPr>
              <w:t>对不同医疗机构对药品、诊断检查等信息采用的记录不同的标准等，将诊疗记录中的医学本体进行标准化映射。</w:t>
            </w:r>
          </w:p>
        </w:tc>
      </w:tr>
      <w:tr w14:paraId="570F5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6" w:type="dxa"/>
            <w:vMerge w:val="restart"/>
          </w:tcPr>
          <w:p w14:paraId="6BD95454">
            <w:pPr>
              <w:jc w:val="center"/>
            </w:pPr>
          </w:p>
          <w:p w14:paraId="047AC238">
            <w:pPr>
              <w:jc w:val="center"/>
            </w:pPr>
          </w:p>
          <w:p w14:paraId="3A508088"/>
          <w:p w14:paraId="32C7EA36">
            <w:pPr>
              <w:jc w:val="center"/>
            </w:pPr>
            <w:r>
              <w:rPr>
                <w:rFonts w:hint="eastAsia"/>
              </w:rPr>
              <w:t>2</w:t>
            </w:r>
          </w:p>
        </w:tc>
        <w:tc>
          <w:tcPr>
            <w:tcW w:w="1264" w:type="dxa"/>
            <w:vMerge w:val="restart"/>
          </w:tcPr>
          <w:p w14:paraId="22A72B61">
            <w:pPr>
              <w:jc w:val="center"/>
              <w:rPr>
                <w:rFonts w:cs="宋体"/>
                <w:szCs w:val="21"/>
              </w:rPr>
            </w:pPr>
          </w:p>
          <w:p w14:paraId="0400E974">
            <w:pPr>
              <w:jc w:val="center"/>
              <w:rPr>
                <w:rFonts w:cs="宋体"/>
                <w:szCs w:val="21"/>
              </w:rPr>
            </w:pPr>
          </w:p>
          <w:p w14:paraId="54E17F3F">
            <w:pPr>
              <w:jc w:val="center"/>
              <w:rPr>
                <w:rFonts w:cs="宋体"/>
                <w:szCs w:val="21"/>
              </w:rPr>
            </w:pPr>
            <w:r>
              <w:rPr>
                <w:rFonts w:hint="eastAsia" w:cs="宋体"/>
                <w:szCs w:val="21"/>
              </w:rPr>
              <w:t>专病科研数据分析模块</w:t>
            </w:r>
          </w:p>
          <w:p w14:paraId="0AA9A7D3">
            <w:pPr>
              <w:jc w:val="center"/>
              <w:rPr>
                <w:sz w:val="22"/>
              </w:rPr>
            </w:pPr>
            <w:r>
              <w:rPr>
                <w:rFonts w:hint="eastAsia" w:cs="宋体"/>
                <w:szCs w:val="21"/>
              </w:rPr>
              <w:t>（临床科研分析系统可以通过建立病人队列，利用流行病学分析方法，对诊断、用药、检验、手术、费用等信息进行统计分析，探索各项指标、参数的相关性。</w:t>
            </w:r>
            <w:r>
              <w:rPr>
                <w:rFonts w:hint="eastAsia"/>
                <w:sz w:val="22"/>
              </w:rPr>
              <w:t>及其它</w:t>
            </w:r>
          </w:p>
          <w:p w14:paraId="2FDABD9A">
            <w:pPr>
              <w:jc w:val="center"/>
              <w:rPr>
                <w:rFonts w:cs="宋体"/>
                <w:szCs w:val="21"/>
              </w:rPr>
            </w:pPr>
            <w:r>
              <w:rPr>
                <w:sz w:val="22"/>
              </w:rPr>
              <w:t>信创支持</w:t>
            </w:r>
            <w:r>
              <w:rPr>
                <w:rFonts w:hint="eastAsia" w:cs="宋体"/>
                <w:szCs w:val="21"/>
              </w:rPr>
              <w:t>）</w:t>
            </w:r>
          </w:p>
        </w:tc>
        <w:tc>
          <w:tcPr>
            <w:tcW w:w="1417" w:type="dxa"/>
          </w:tcPr>
          <w:p w14:paraId="26E03FF6">
            <w:pPr>
              <w:jc w:val="center"/>
              <w:rPr>
                <w:rFonts w:cs="宋体"/>
                <w:szCs w:val="21"/>
              </w:rPr>
            </w:pPr>
            <w:r>
              <w:rPr>
                <w:rFonts w:cs="宋体"/>
                <w:szCs w:val="21"/>
              </w:rPr>
              <w:t>1．专病科研分析</w:t>
            </w:r>
          </w:p>
        </w:tc>
        <w:tc>
          <w:tcPr>
            <w:tcW w:w="5663" w:type="dxa"/>
          </w:tcPr>
          <w:p w14:paraId="32BD7637">
            <w:pPr>
              <w:rPr>
                <w:sz w:val="22"/>
              </w:rPr>
            </w:pPr>
            <w:r>
              <w:rPr>
                <w:rFonts w:hint="eastAsia"/>
                <w:sz w:val="22"/>
              </w:rPr>
              <w:t>专科专病及临床科研分析系统是在对专病数据进行抽取整合的基础上，实现患者队列筛选、单队列分析、多队列比较、运营统计、病历搜索、样本预测、科研管理等</w:t>
            </w:r>
          </w:p>
          <w:p w14:paraId="2C31CB05">
            <w:pPr>
              <w:rPr>
                <w:sz w:val="22"/>
              </w:rPr>
            </w:pPr>
            <w:r>
              <w:rPr>
                <w:sz w:val="22"/>
              </w:rPr>
              <w:t>平台支持以下功能：</w:t>
            </w:r>
          </w:p>
          <w:p w14:paraId="43F5F9FC">
            <w:pPr>
              <w:ind w:firstLine="220" w:firstLineChars="100"/>
              <w:rPr>
                <w:sz w:val="22"/>
              </w:rPr>
            </w:pPr>
            <w:r>
              <w:rPr>
                <w:rFonts w:hint="eastAsia"/>
                <w:sz w:val="22"/>
              </w:rPr>
              <w:t>1</w:t>
            </w:r>
            <w:r>
              <w:rPr>
                <w:sz w:val="22"/>
              </w:rPr>
              <w:t>.</w:t>
            </w:r>
            <w:r>
              <w:rPr>
                <w:rFonts w:hint="eastAsia"/>
                <w:sz w:val="22"/>
              </w:rPr>
              <w:t>课题设计与数据规划</w:t>
            </w:r>
            <w:r>
              <w:rPr>
                <w:sz w:val="22"/>
              </w:rPr>
              <w:t>功能</w:t>
            </w:r>
          </w:p>
          <w:p w14:paraId="0AAFBAD3">
            <w:pPr>
              <w:ind w:firstLine="220" w:firstLineChars="100"/>
              <w:rPr>
                <w:sz w:val="22"/>
              </w:rPr>
            </w:pPr>
            <w:r>
              <w:rPr>
                <w:rFonts w:hint="eastAsia"/>
                <w:sz w:val="22"/>
              </w:rPr>
              <w:t>（1）支持记录</w:t>
            </w:r>
            <w:r>
              <w:rPr>
                <w:sz w:val="22"/>
              </w:rPr>
              <w:t>明确的研究问题、支持定义数据元、支持定义制定数据采集表(CRF) 、</w:t>
            </w:r>
            <w:r>
              <w:rPr>
                <w:rFonts w:hint="eastAsia"/>
                <w:sz w:val="22"/>
              </w:rPr>
              <w:t>专病临床数据采集治理、专病科研数据分析。支持输出详细的研究方案和标准化</w:t>
            </w:r>
            <w:r>
              <w:rPr>
                <w:sz w:val="22"/>
              </w:rPr>
              <w:t>CRF。</w:t>
            </w:r>
          </w:p>
          <w:p w14:paraId="0C6B8E7B">
            <w:pPr>
              <w:ind w:firstLine="220" w:firstLineChars="100"/>
              <w:rPr>
                <w:sz w:val="22"/>
              </w:rPr>
            </w:pPr>
            <w:r>
              <w:rPr>
                <w:rFonts w:hint="eastAsia"/>
                <w:sz w:val="22"/>
              </w:rPr>
              <w:t>（</w:t>
            </w:r>
            <w:r>
              <w:rPr>
                <w:sz w:val="22"/>
              </w:rPr>
              <w:t>2</w:t>
            </w:r>
            <w:r>
              <w:rPr>
                <w:rFonts w:hint="eastAsia"/>
                <w:sz w:val="22"/>
              </w:rPr>
              <w:t>）数据检索与集成</w:t>
            </w:r>
            <w:r>
              <w:rPr>
                <w:sz w:val="22"/>
              </w:rPr>
              <w:t>(构建专病数据库)</w:t>
            </w:r>
            <w:r>
              <w:rPr>
                <w:rFonts w:hint="eastAsia"/>
                <w:sz w:val="22"/>
              </w:rPr>
              <w:t xml:space="preserve"> 功能</w:t>
            </w:r>
          </w:p>
          <w:p w14:paraId="7F4F95CC">
            <w:pPr>
              <w:ind w:firstLine="440" w:firstLineChars="200"/>
              <w:rPr>
                <w:sz w:val="22"/>
              </w:rPr>
            </w:pPr>
            <w:r>
              <w:rPr>
                <w:sz w:val="22"/>
              </w:rPr>
              <w:t>支持</w:t>
            </w:r>
            <w:r>
              <w:rPr>
                <w:rFonts w:hint="eastAsia"/>
                <w:sz w:val="22"/>
              </w:rPr>
              <w:t>从多源异构系统中提取、清洗、标准化数据，形成高质量分析数据集、</w:t>
            </w:r>
            <w:r>
              <w:rPr>
                <w:sz w:val="22"/>
              </w:rPr>
              <w:t>数据提取与处理：</w:t>
            </w:r>
            <w:r>
              <w:rPr>
                <w:rFonts w:hint="eastAsia"/>
                <w:sz w:val="22"/>
              </w:rPr>
              <w:t>结构化数据</w:t>
            </w:r>
            <w:r>
              <w:rPr>
                <w:sz w:val="22"/>
              </w:rPr>
              <w:t>与</w:t>
            </w:r>
            <w:r>
              <w:rPr>
                <w:rFonts w:hint="eastAsia"/>
                <w:sz w:val="22"/>
              </w:rPr>
              <w:t>非结构化数据：应用</w:t>
            </w:r>
            <w:r>
              <w:rPr>
                <w:sz w:val="22"/>
              </w:rPr>
              <w:t>NLP技术从病程记录、出院摘要中提取关键信息（如疗效评估、复发日期、并发症）。支持</w:t>
            </w:r>
            <w:r>
              <w:rPr>
                <w:rFonts w:hint="eastAsia"/>
                <w:sz w:val="22"/>
              </w:rPr>
              <w:t>处理缺失值、异常值。标准化数据</w:t>
            </w:r>
            <w:r>
              <w:rPr>
                <w:sz w:val="22"/>
              </w:rPr>
              <w:t>、数据匿名化。</w:t>
            </w:r>
          </w:p>
          <w:p w14:paraId="49ACE84B">
            <w:pPr>
              <w:ind w:firstLine="220" w:firstLineChars="100"/>
              <w:rPr>
                <w:sz w:val="22"/>
              </w:rPr>
            </w:pPr>
            <w:r>
              <w:rPr>
                <w:rFonts w:hint="eastAsia"/>
                <w:sz w:val="22"/>
              </w:rPr>
              <w:t>（</w:t>
            </w:r>
            <w:r>
              <w:rPr>
                <w:sz w:val="22"/>
              </w:rPr>
              <w:t>4</w:t>
            </w:r>
            <w:r>
              <w:rPr>
                <w:rFonts w:hint="eastAsia"/>
                <w:sz w:val="22"/>
              </w:rPr>
              <w:t>）</w:t>
            </w:r>
            <w:r>
              <w:rPr>
                <w:sz w:val="22"/>
              </w:rPr>
              <w:t>支持</w:t>
            </w:r>
            <w:r>
              <w:rPr>
                <w:rFonts w:hint="eastAsia"/>
                <w:sz w:val="22"/>
              </w:rPr>
              <w:t>随访过程记录</w:t>
            </w:r>
            <w:r>
              <w:rPr>
                <w:sz w:val="22"/>
              </w:rPr>
              <w:t>。治疗数据：记录每个患者的治疗方案、药物剂量、疗程、开始与结束日期、治疗延迟或减量原因。疗效评估数据：在预设的时间点（如每个疗程结束后）记录疗效（CR,PR,SD,PD），特别是MRD的水平和检测时间。不良事件（AE）数据：记录AE的类型、等级、发生时间、与治疗的关系及处理措施。支持治疗数据：记录输血、造血生长因子使用、抗感染治疗等情况。</w:t>
            </w:r>
          </w:p>
          <w:p w14:paraId="759AEA36">
            <w:pPr>
              <w:ind w:firstLine="440" w:firstLineChars="200"/>
              <w:rPr>
                <w:sz w:val="22"/>
              </w:rPr>
            </w:pPr>
            <w:r>
              <w:rPr>
                <w:rFonts w:hint="eastAsia"/>
                <w:sz w:val="22"/>
              </w:rPr>
              <w:t>（</w:t>
            </w:r>
            <w:r>
              <w:rPr>
                <w:sz w:val="22"/>
              </w:rPr>
              <w:t>5</w:t>
            </w:r>
            <w:r>
              <w:rPr>
                <w:rFonts w:hint="eastAsia"/>
                <w:sz w:val="22"/>
              </w:rPr>
              <w:t>）支持结局事件分析。</w:t>
            </w:r>
            <w:r>
              <w:rPr>
                <w:sz w:val="22"/>
              </w:rPr>
              <w:t>定义时间节点：</w:t>
            </w:r>
            <w:r>
              <w:rPr>
                <w:rFonts w:hint="eastAsia"/>
                <w:sz w:val="22"/>
              </w:rPr>
              <w:t>起点（治疗开始日期）</w:t>
            </w:r>
            <w:r>
              <w:rPr>
                <w:sz w:val="22"/>
              </w:rPr>
              <w:t>、</w:t>
            </w:r>
            <w:r>
              <w:rPr>
                <w:rFonts w:hint="eastAsia"/>
                <w:sz w:val="22"/>
              </w:rPr>
              <w:t>终点（末次随访日期）截尾数据：对于未发生事件的患者，以其最后一次已知存活或未复发的日期作为截尾。</w:t>
            </w:r>
          </w:p>
          <w:p w14:paraId="6DE5D41C">
            <w:pPr>
              <w:ind w:firstLine="220" w:firstLineChars="100"/>
              <w:rPr>
                <w:sz w:val="22"/>
              </w:rPr>
            </w:pPr>
            <w:r>
              <w:rPr>
                <w:rFonts w:hint="eastAsia"/>
                <w:sz w:val="22"/>
              </w:rPr>
              <w:t>（</w:t>
            </w:r>
            <w:r>
              <w:rPr>
                <w:sz w:val="22"/>
              </w:rPr>
              <w:t>6</w:t>
            </w:r>
            <w:r>
              <w:rPr>
                <w:rFonts w:hint="eastAsia"/>
                <w:sz w:val="22"/>
              </w:rPr>
              <w:t>）</w:t>
            </w:r>
            <w:r>
              <w:rPr>
                <w:rFonts w:hint="eastAsia"/>
                <w:color w:val="000000" w:themeColor="text1"/>
                <w:szCs w:val="21"/>
                <w14:textFill>
                  <w14:solidFill>
                    <w14:schemeClr w14:val="tx1"/>
                  </w14:solidFill>
                </w14:textFill>
              </w:rPr>
              <w:t>▲</w:t>
            </w:r>
            <w:r>
              <w:rPr>
                <w:sz w:val="22"/>
              </w:rPr>
              <w:t>统计建模支持：</w:t>
            </w:r>
            <w:r>
              <w:rPr>
                <w:rFonts w:hint="eastAsia"/>
                <w:sz w:val="22"/>
              </w:rPr>
              <w:t>生存分析：使用</w:t>
            </w:r>
            <w:r>
              <w:rPr>
                <w:sz w:val="22"/>
              </w:rPr>
              <w:t>Kaplan-Meier法绘制生存曲线，并用Log-rank检验比较组间差异。</w:t>
            </w:r>
            <w:r>
              <w:rPr>
                <w:rFonts w:hint="eastAsia"/>
                <w:sz w:val="22"/>
              </w:rPr>
              <w:t>风险因素分析：使用</w:t>
            </w:r>
            <w:r>
              <w:rPr>
                <w:sz w:val="22"/>
              </w:rPr>
              <w:t>Cox比例风险回归模型，在调整混杂因素后，分析某个因素（如治疗方案、MRD状态）对生存结局的独立影响，结果以风险比（HR）表示。</w:t>
            </w:r>
            <w:r>
              <w:rPr>
                <w:rFonts w:hint="eastAsia"/>
                <w:sz w:val="22"/>
              </w:rPr>
              <w:t>短期疗效分析：对于</w:t>
            </w:r>
            <w:r>
              <w:rPr>
                <w:sz w:val="22"/>
              </w:rPr>
              <w:t>CR率、MRD转阴率等，使用卡方检验比较组间差异。</w:t>
            </w:r>
            <w:r>
              <w:rPr>
                <w:rFonts w:hint="eastAsia"/>
                <w:sz w:val="22"/>
              </w:rPr>
              <w:t>输出结果：</w:t>
            </w:r>
            <w:r>
              <w:rPr>
                <w:sz w:val="22"/>
              </w:rPr>
              <w:t>Kaplan-Meier生存曲线图、Cox回归结果表，以及短期疗效的对比结果。</w:t>
            </w:r>
            <w:r>
              <w:rPr>
                <w:rFonts w:hint="eastAsia"/>
                <w:sz w:val="22"/>
              </w:rPr>
              <w:t>支持</w:t>
            </w:r>
            <w:r>
              <w:rPr>
                <w:sz w:val="22"/>
              </w:rPr>
              <w:t>t检验、秩和检验、卡方检验或Fisher精确检验，支持</w:t>
            </w:r>
            <w:r>
              <w:rPr>
                <w:rFonts w:hint="eastAsia"/>
                <w:sz w:val="22"/>
              </w:rPr>
              <w:t>导出（</w:t>
            </w:r>
            <w:r>
              <w:rPr>
                <w:sz w:val="22"/>
              </w:rPr>
              <w:t>R,Python,SPSS）能使用的文件。</w:t>
            </w:r>
            <w:r>
              <w:rPr>
                <w:rFonts w:hint="eastAsia"/>
                <w:sz w:val="22"/>
              </w:rPr>
              <w:t>支持输出结果：基线特征表</w:t>
            </w:r>
            <w:r>
              <w:rPr>
                <w:sz w:val="22"/>
              </w:rPr>
              <w:t>，清晰呈现全人群及不同组别的基线情况。</w:t>
            </w:r>
            <w:r>
              <w:rPr>
                <w:rFonts w:hint="eastAsia"/>
                <w:sz w:val="22"/>
              </w:rPr>
              <w:t>支持结果解读与报告</w:t>
            </w:r>
            <w:r>
              <w:rPr>
                <w:sz w:val="22"/>
              </w:rPr>
              <w:t>(产出与结论)、综合解读：将统计结果转化为临床结论。撰写报告：形成学术论文、研究、诊疗报告。</w:t>
            </w:r>
          </w:p>
        </w:tc>
      </w:tr>
      <w:tr w14:paraId="45C79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6" w:type="dxa"/>
            <w:vMerge w:val="continue"/>
          </w:tcPr>
          <w:p w14:paraId="5C18553A">
            <w:pPr>
              <w:jc w:val="center"/>
            </w:pPr>
          </w:p>
        </w:tc>
        <w:tc>
          <w:tcPr>
            <w:tcW w:w="1264" w:type="dxa"/>
            <w:vMerge w:val="continue"/>
          </w:tcPr>
          <w:p w14:paraId="6F249D07">
            <w:pPr>
              <w:jc w:val="center"/>
              <w:rPr>
                <w:rFonts w:cs="宋体"/>
                <w:szCs w:val="21"/>
              </w:rPr>
            </w:pPr>
          </w:p>
        </w:tc>
        <w:tc>
          <w:tcPr>
            <w:tcW w:w="1417" w:type="dxa"/>
          </w:tcPr>
          <w:p w14:paraId="6A6F1632">
            <w:pPr>
              <w:jc w:val="center"/>
              <w:rPr>
                <w:rFonts w:cs="宋体"/>
                <w:szCs w:val="21"/>
              </w:rPr>
            </w:pPr>
            <w:r>
              <w:rPr>
                <w:rFonts w:cs="宋体"/>
                <w:szCs w:val="21"/>
              </w:rPr>
              <w:t>2．专病统计首页</w:t>
            </w:r>
            <w:r>
              <w:rPr>
                <w:rFonts w:hint="eastAsia"/>
                <w:color w:val="000000" w:themeColor="text1"/>
                <w:szCs w:val="21"/>
                <w14:textFill>
                  <w14:solidFill>
                    <w14:schemeClr w14:val="tx1"/>
                  </w14:solidFill>
                </w14:textFill>
              </w:rPr>
              <w:t>▲</w:t>
            </w:r>
          </w:p>
        </w:tc>
        <w:tc>
          <w:tcPr>
            <w:tcW w:w="5663" w:type="dxa"/>
          </w:tcPr>
          <w:p w14:paraId="3EA84846">
            <w:pPr>
              <w:ind w:firstLine="440" w:firstLineChars="200"/>
              <w:rPr>
                <w:sz w:val="22"/>
              </w:rPr>
            </w:pPr>
            <w:r>
              <w:rPr>
                <w:sz w:val="22"/>
              </w:rPr>
              <w:t>1、</w:t>
            </w:r>
            <w:r>
              <w:rPr>
                <w:rFonts w:hint="eastAsia"/>
                <w:sz w:val="22"/>
              </w:rPr>
              <w:t>支持支持查看整个专病库的数据概览，并且每个用户可以根据自己的喜好自定义页面与布局。</w:t>
            </w:r>
          </w:p>
          <w:p w14:paraId="07B42247">
            <w:pPr>
              <w:ind w:firstLine="440" w:firstLineChars="200"/>
              <w:rPr>
                <w:sz w:val="22"/>
              </w:rPr>
            </w:pPr>
            <w:r>
              <w:rPr>
                <w:sz w:val="22"/>
              </w:rPr>
              <w:t>2、</w:t>
            </w:r>
            <w:r>
              <w:rPr>
                <w:rFonts w:hint="eastAsia"/>
                <w:sz w:val="22"/>
              </w:rPr>
              <w:t>支持</w:t>
            </w:r>
            <w:r>
              <w:rPr>
                <w:sz w:val="22"/>
              </w:rPr>
              <w:t>专病库简报，查看专病库内整体患者概要信息，包括全库患者数量，数据的时间跨度，住院总人数，门诊总人数，性别分布，年龄分布，患者来源，就诊趋势。</w:t>
            </w:r>
          </w:p>
          <w:p w14:paraId="4FC0FD08">
            <w:pPr>
              <w:ind w:firstLine="440" w:firstLineChars="200"/>
              <w:rPr>
                <w:sz w:val="22"/>
              </w:rPr>
            </w:pPr>
            <w:r>
              <w:rPr>
                <w:sz w:val="22"/>
              </w:rPr>
              <w:t>3、支持查看用药排名，手术排名，诊断排名，检查检验排名，合并症统计，治疗方式统计等。</w:t>
            </w:r>
          </w:p>
          <w:p w14:paraId="4056F08A">
            <w:pPr>
              <w:ind w:firstLine="440" w:firstLineChars="200"/>
              <w:rPr>
                <w:sz w:val="22"/>
              </w:rPr>
            </w:pPr>
            <w:r>
              <w:rPr>
                <w:sz w:val="22"/>
              </w:rPr>
              <w:t>4、支持统计以多种形式展现，如：连续型指标采用条形图、柱状图、折线图等图表类型，分类型指标采用柱状图、饼图等图表类型。</w:t>
            </w:r>
          </w:p>
          <w:p w14:paraId="321CA191">
            <w:pPr>
              <w:ind w:firstLine="440" w:firstLineChars="200"/>
              <w:rPr>
                <w:sz w:val="22"/>
              </w:rPr>
            </w:pPr>
            <w:r>
              <w:rPr>
                <w:rFonts w:hint="eastAsia"/>
                <w:sz w:val="22"/>
              </w:rPr>
              <w:t>（</w:t>
            </w:r>
            <w:r>
              <w:rPr>
                <w:sz w:val="22"/>
              </w:rPr>
              <w:t>5）支持专病特有统计的定制化开发，如：巴塞罗那分期、TNM分期。</w:t>
            </w:r>
          </w:p>
        </w:tc>
      </w:tr>
      <w:tr w14:paraId="4BD31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6" w:type="dxa"/>
            <w:vMerge w:val="continue"/>
          </w:tcPr>
          <w:p w14:paraId="187520F0">
            <w:pPr>
              <w:jc w:val="center"/>
            </w:pPr>
          </w:p>
        </w:tc>
        <w:tc>
          <w:tcPr>
            <w:tcW w:w="1264" w:type="dxa"/>
            <w:vMerge w:val="continue"/>
          </w:tcPr>
          <w:p w14:paraId="7B456EC3">
            <w:pPr>
              <w:jc w:val="center"/>
              <w:rPr>
                <w:rFonts w:cs="宋体"/>
                <w:szCs w:val="21"/>
              </w:rPr>
            </w:pPr>
          </w:p>
        </w:tc>
        <w:tc>
          <w:tcPr>
            <w:tcW w:w="1417" w:type="dxa"/>
          </w:tcPr>
          <w:p w14:paraId="01060610">
            <w:pPr>
              <w:jc w:val="center"/>
              <w:rPr>
                <w:rFonts w:cs="宋体"/>
                <w:szCs w:val="21"/>
              </w:rPr>
            </w:pPr>
            <w:r>
              <w:rPr>
                <w:rFonts w:cs="宋体"/>
                <w:szCs w:val="21"/>
              </w:rPr>
              <w:t>3．智能搜索</w:t>
            </w:r>
          </w:p>
        </w:tc>
        <w:tc>
          <w:tcPr>
            <w:tcW w:w="5663" w:type="dxa"/>
          </w:tcPr>
          <w:p w14:paraId="16C708D0">
            <w:pPr>
              <w:ind w:firstLine="220" w:firstLineChars="100"/>
              <w:rPr>
                <w:sz w:val="22"/>
              </w:rPr>
            </w:pPr>
            <w:r>
              <w:rPr>
                <w:rFonts w:hint="eastAsia"/>
                <w:sz w:val="22"/>
              </w:rPr>
              <w:t>1</w:t>
            </w:r>
            <w:r>
              <w:rPr>
                <w:sz w:val="22"/>
              </w:rPr>
              <w:t>、</w:t>
            </w:r>
            <w:r>
              <w:rPr>
                <w:rFonts w:hint="eastAsia"/>
                <w:sz w:val="22"/>
              </w:rPr>
              <w:t>支持多维度条件的检索功能；支持智能病历筛选，对检索结果进行二次的病历维度检索。</w:t>
            </w:r>
          </w:p>
          <w:p w14:paraId="60DD1ADC">
            <w:pPr>
              <w:ind w:firstLine="220" w:firstLineChars="100"/>
              <w:rPr>
                <w:sz w:val="22"/>
              </w:rPr>
            </w:pPr>
            <w:r>
              <w:rPr>
                <w:sz w:val="22"/>
              </w:rPr>
              <w:t xml:space="preserve">2、 </w:t>
            </w:r>
            <w:r>
              <w:rPr>
                <w:rFonts w:hint="eastAsia"/>
                <w:color w:val="000000" w:themeColor="text1"/>
                <w:szCs w:val="21"/>
                <w14:textFill>
                  <w14:solidFill>
                    <w14:schemeClr w14:val="tx1"/>
                  </w14:solidFill>
                </w14:textFill>
              </w:rPr>
              <w:t>▲</w:t>
            </w:r>
            <w:r>
              <w:rPr>
                <w:sz w:val="22"/>
              </w:rPr>
              <w:t>高级搜索</w:t>
            </w:r>
            <w:r>
              <w:rPr>
                <w:rFonts w:hint="eastAsia"/>
                <w:sz w:val="22"/>
              </w:rPr>
              <w:t>功能</w:t>
            </w:r>
          </w:p>
          <w:p w14:paraId="780EB103">
            <w:pPr>
              <w:rPr>
                <w:sz w:val="22"/>
              </w:rPr>
            </w:pPr>
            <w:r>
              <w:rPr>
                <w:rFonts w:hint="eastAsia"/>
                <w:sz w:val="22"/>
              </w:rPr>
              <w:t>（</w:t>
            </w:r>
            <w:r>
              <w:rPr>
                <w:sz w:val="22"/>
              </w:rPr>
              <w:t>1）为具体指标设置搜索条件，精确搜索患者。</w:t>
            </w:r>
          </w:p>
          <w:p w14:paraId="445B684A">
            <w:pPr>
              <w:rPr>
                <w:sz w:val="22"/>
              </w:rPr>
            </w:pPr>
            <w:r>
              <w:rPr>
                <w:rFonts w:hint="eastAsia"/>
                <w:sz w:val="22"/>
              </w:rPr>
              <w:t>（</w:t>
            </w:r>
            <w:r>
              <w:rPr>
                <w:sz w:val="22"/>
              </w:rPr>
              <w:t>2）支持纳入、排除搜索，且支持两种搜索同时作用。</w:t>
            </w:r>
          </w:p>
          <w:p w14:paraId="28A97180">
            <w:pPr>
              <w:rPr>
                <w:sz w:val="22"/>
              </w:rPr>
            </w:pPr>
            <w:r>
              <w:rPr>
                <w:rFonts w:hint="eastAsia"/>
                <w:sz w:val="22"/>
              </w:rPr>
              <w:t>（</w:t>
            </w:r>
            <w:r>
              <w:rPr>
                <w:sz w:val="22"/>
              </w:rPr>
              <w:t>3）搜索历史自动留存，并且可复用。</w:t>
            </w:r>
          </w:p>
          <w:p w14:paraId="5C53BACB">
            <w:pPr>
              <w:rPr>
                <w:sz w:val="22"/>
              </w:rPr>
            </w:pPr>
            <w:r>
              <w:rPr>
                <w:rFonts w:hint="eastAsia"/>
                <w:sz w:val="22"/>
              </w:rPr>
              <w:t>（</w:t>
            </w:r>
            <w:r>
              <w:rPr>
                <w:sz w:val="22"/>
              </w:rPr>
              <w:t>4）搜索条件收藏，并且可复用。</w:t>
            </w:r>
          </w:p>
          <w:p w14:paraId="030A790B">
            <w:pPr>
              <w:rPr>
                <w:sz w:val="22"/>
              </w:rPr>
            </w:pPr>
            <w:r>
              <w:rPr>
                <w:rFonts w:hint="eastAsia"/>
                <w:sz w:val="22"/>
              </w:rPr>
              <w:t>（</w:t>
            </w:r>
            <w:r>
              <w:rPr>
                <w:sz w:val="22"/>
              </w:rPr>
              <w:t>5）多个搜索条件之间的“并且”“或者”关系灵活切换。</w:t>
            </w:r>
          </w:p>
          <w:p w14:paraId="458519AE">
            <w:pPr>
              <w:rPr>
                <w:sz w:val="22"/>
              </w:rPr>
            </w:pPr>
            <w:r>
              <w:rPr>
                <w:rFonts w:hint="eastAsia"/>
                <w:sz w:val="22"/>
              </w:rPr>
              <w:t>（</w:t>
            </w:r>
            <w:r>
              <w:rPr>
                <w:sz w:val="22"/>
              </w:rPr>
              <w:t>6）支持同患者、同就诊两种维度查询。</w:t>
            </w:r>
          </w:p>
          <w:p w14:paraId="2B678A24">
            <w:pPr>
              <w:rPr>
                <w:sz w:val="22"/>
              </w:rPr>
            </w:pPr>
            <w:r>
              <w:rPr>
                <w:rFonts w:hint="eastAsia"/>
                <w:sz w:val="22"/>
              </w:rPr>
              <w:t>（</w:t>
            </w:r>
            <w:r>
              <w:rPr>
                <w:sz w:val="22"/>
              </w:rPr>
              <w:t>7）支持为搜索条件添加组，并且每个组之间的“并且”“或者”关系灵活切换。</w:t>
            </w:r>
          </w:p>
          <w:p w14:paraId="27D0243F">
            <w:pPr>
              <w:rPr>
                <w:sz w:val="22"/>
              </w:rPr>
            </w:pPr>
            <w:r>
              <w:rPr>
                <w:rFonts w:hint="eastAsia"/>
                <w:sz w:val="22"/>
              </w:rPr>
              <w:t>（</w:t>
            </w:r>
            <w:r>
              <w:rPr>
                <w:sz w:val="22"/>
              </w:rPr>
              <w:t>8）不同类型数据不同搜索规则，数值型指标采用“大于”“小于”“等于”等规则，文本型指标采用“等于”“包含”“不包含”等规则。</w:t>
            </w:r>
          </w:p>
          <w:p w14:paraId="65C9604A">
            <w:pPr>
              <w:rPr>
                <w:sz w:val="22"/>
              </w:rPr>
            </w:pPr>
            <w:r>
              <w:rPr>
                <w:rFonts w:hint="eastAsia"/>
                <w:sz w:val="22"/>
              </w:rPr>
              <w:t>（</w:t>
            </w:r>
            <w:r>
              <w:rPr>
                <w:sz w:val="22"/>
              </w:rPr>
              <w:t>9）支持在搜索条件上添加“首次”、“末次”的限定条件。</w:t>
            </w:r>
          </w:p>
          <w:p w14:paraId="0F8923C1">
            <w:pPr>
              <w:rPr>
                <w:sz w:val="22"/>
              </w:rPr>
            </w:pPr>
            <w:r>
              <w:rPr>
                <w:rFonts w:hint="eastAsia"/>
                <w:sz w:val="22"/>
              </w:rPr>
              <w:t>（</w:t>
            </w:r>
            <w:r>
              <w:rPr>
                <w:sz w:val="22"/>
              </w:rPr>
              <w:t>10）计算全部条件节点综合搜索出的总患者数量。</w:t>
            </w:r>
          </w:p>
          <w:p w14:paraId="66205D18">
            <w:pPr>
              <w:rPr>
                <w:sz w:val="22"/>
              </w:rPr>
            </w:pPr>
            <w:r>
              <w:rPr>
                <w:rFonts w:hint="eastAsia"/>
                <w:sz w:val="22"/>
              </w:rPr>
              <w:t>（</w:t>
            </w:r>
            <w:r>
              <w:rPr>
                <w:sz w:val="22"/>
              </w:rPr>
              <w:t>11）计算每个组搜索出的患者数量。</w:t>
            </w:r>
          </w:p>
          <w:p w14:paraId="757F4337">
            <w:pPr>
              <w:rPr>
                <w:sz w:val="22"/>
              </w:rPr>
            </w:pPr>
            <w:r>
              <w:rPr>
                <w:rFonts w:hint="eastAsia"/>
                <w:sz w:val="22"/>
              </w:rPr>
              <w:t>（</w:t>
            </w:r>
            <w:r>
              <w:rPr>
                <w:sz w:val="22"/>
              </w:rPr>
              <w:t>12）计算每个条件节点上搜索出的患者数量。</w:t>
            </w:r>
          </w:p>
          <w:p w14:paraId="118D2F9B">
            <w:pPr>
              <w:ind w:firstLine="220" w:firstLineChars="100"/>
              <w:rPr>
                <w:sz w:val="22"/>
              </w:rPr>
            </w:pPr>
            <w:r>
              <w:rPr>
                <w:sz w:val="22"/>
              </w:rPr>
              <w:t>3 、</w:t>
            </w:r>
            <w:r>
              <w:rPr>
                <w:rFonts w:hint="eastAsia"/>
                <w:color w:val="000000" w:themeColor="text1"/>
                <w:szCs w:val="21"/>
                <w14:textFill>
                  <w14:solidFill>
                    <w14:schemeClr w14:val="tx1"/>
                  </w14:solidFill>
                </w14:textFill>
              </w:rPr>
              <w:t>▲</w:t>
            </w:r>
            <w:r>
              <w:rPr>
                <w:sz w:val="22"/>
              </w:rPr>
              <w:t>事件搜索</w:t>
            </w:r>
            <w:r>
              <w:rPr>
                <w:rFonts w:hint="eastAsia"/>
                <w:sz w:val="22"/>
              </w:rPr>
              <w:t>功能</w:t>
            </w:r>
          </w:p>
          <w:p w14:paraId="1620D290">
            <w:pPr>
              <w:rPr>
                <w:sz w:val="22"/>
              </w:rPr>
            </w:pPr>
            <w:r>
              <w:rPr>
                <w:rFonts w:hint="eastAsia"/>
                <w:sz w:val="22"/>
              </w:rPr>
              <w:t>（</w:t>
            </w:r>
            <w:r>
              <w:rPr>
                <w:sz w:val="22"/>
              </w:rPr>
              <w:t>1）支持多条件组合，精确定义T0事件。</w:t>
            </w:r>
          </w:p>
          <w:p w14:paraId="2F5DE8C4">
            <w:pPr>
              <w:rPr>
                <w:sz w:val="22"/>
              </w:rPr>
            </w:pPr>
            <w:r>
              <w:rPr>
                <w:rFonts w:hint="eastAsia"/>
                <w:sz w:val="22"/>
              </w:rPr>
              <w:t>（</w:t>
            </w:r>
            <w:r>
              <w:rPr>
                <w:sz w:val="22"/>
              </w:rPr>
              <w:t>2）支持基于T0事件，在其前后添加多个限定条件。</w:t>
            </w:r>
          </w:p>
          <w:p w14:paraId="1576E086">
            <w:pPr>
              <w:rPr>
                <w:sz w:val="22"/>
              </w:rPr>
            </w:pPr>
            <w:r>
              <w:rPr>
                <w:rFonts w:hint="eastAsia"/>
                <w:sz w:val="22"/>
              </w:rPr>
              <w:t>（</w:t>
            </w:r>
            <w:r>
              <w:rPr>
                <w:sz w:val="22"/>
              </w:rPr>
              <w:t>3）灵活配置事件前后多个条件之间的关系（例如：满足任意条件，满足全部条件）。</w:t>
            </w:r>
          </w:p>
          <w:p w14:paraId="36844C30">
            <w:pPr>
              <w:rPr>
                <w:sz w:val="22"/>
              </w:rPr>
            </w:pPr>
            <w:r>
              <w:rPr>
                <w:rFonts w:hint="eastAsia"/>
                <w:sz w:val="22"/>
              </w:rPr>
              <w:t>（</w:t>
            </w:r>
            <w:r>
              <w:rPr>
                <w:sz w:val="22"/>
              </w:rPr>
              <w:t>4）支持多条件搜索，添加新事件搜索时可选择空白搜索或复制上一个事件搜索。</w:t>
            </w:r>
          </w:p>
          <w:p w14:paraId="5F2FA996">
            <w:pPr>
              <w:rPr>
                <w:sz w:val="22"/>
              </w:rPr>
            </w:pPr>
            <w:r>
              <w:rPr>
                <w:rFonts w:hint="eastAsia"/>
                <w:sz w:val="22"/>
              </w:rPr>
              <w:t>（</w:t>
            </w:r>
            <w:r>
              <w:rPr>
                <w:sz w:val="22"/>
              </w:rPr>
              <w:t>5）支持在添加其他事件时，有示意图展示与T0事件的关系。</w:t>
            </w:r>
          </w:p>
          <w:p w14:paraId="1313C6BD">
            <w:pPr>
              <w:ind w:firstLine="220" w:firstLineChars="100"/>
              <w:rPr>
                <w:sz w:val="22"/>
              </w:rPr>
            </w:pPr>
            <w:r>
              <w:rPr>
                <w:sz w:val="22"/>
              </w:rPr>
              <w:t>4、快速搜索</w:t>
            </w:r>
            <w:r>
              <w:rPr>
                <w:rFonts w:hint="eastAsia"/>
                <w:sz w:val="22"/>
              </w:rPr>
              <w:t>功能</w:t>
            </w:r>
          </w:p>
          <w:p w14:paraId="573C3AA6">
            <w:pPr>
              <w:rPr>
                <w:sz w:val="22"/>
              </w:rPr>
            </w:pPr>
            <w:r>
              <w:rPr>
                <w:rFonts w:hint="eastAsia"/>
                <w:sz w:val="22"/>
              </w:rPr>
              <w:t>支持通过用药名称、检验名称、手术名称进行快速搜索找到目标患者。</w:t>
            </w:r>
          </w:p>
          <w:p w14:paraId="0B99ACA2">
            <w:pPr>
              <w:ind w:firstLine="220" w:firstLineChars="100"/>
              <w:rPr>
                <w:sz w:val="22"/>
              </w:rPr>
            </w:pPr>
            <w:r>
              <w:rPr>
                <w:sz w:val="22"/>
              </w:rPr>
              <w:t>5</w:t>
            </w:r>
            <w:r>
              <w:rPr>
                <w:rFonts w:hint="eastAsia"/>
                <w:sz w:val="22"/>
              </w:rPr>
              <w:t>、</w:t>
            </w:r>
            <w:r>
              <w:rPr>
                <w:rFonts w:hint="eastAsia"/>
                <w:color w:val="000000" w:themeColor="text1"/>
                <w:szCs w:val="21"/>
                <w14:textFill>
                  <w14:solidFill>
                    <w14:schemeClr w14:val="tx1"/>
                  </w14:solidFill>
                </w14:textFill>
              </w:rPr>
              <w:t>▲</w:t>
            </w:r>
            <w:r>
              <w:rPr>
                <w:sz w:val="22"/>
              </w:rPr>
              <w:t>搜索结果查看</w:t>
            </w:r>
          </w:p>
          <w:p w14:paraId="5D26FEF2">
            <w:pPr>
              <w:rPr>
                <w:sz w:val="22"/>
              </w:rPr>
            </w:pPr>
            <w:r>
              <w:rPr>
                <w:rFonts w:hint="eastAsia"/>
                <w:sz w:val="22"/>
              </w:rPr>
              <w:t>（</w:t>
            </w:r>
            <w:r>
              <w:rPr>
                <w:sz w:val="22"/>
              </w:rPr>
              <w:t>1）搜索结果数据概览，支持手术人次、住院人次、检验总人次、死亡人数、年龄/性别分布、就诊排名。</w:t>
            </w:r>
          </w:p>
          <w:p w14:paraId="18C9C1C2">
            <w:pPr>
              <w:rPr>
                <w:sz w:val="22"/>
              </w:rPr>
            </w:pPr>
            <w:r>
              <w:rPr>
                <w:rFonts w:hint="eastAsia"/>
                <w:sz w:val="22"/>
              </w:rPr>
              <w:t>（</w:t>
            </w:r>
            <w:r>
              <w:rPr>
                <w:sz w:val="22"/>
              </w:rPr>
              <w:t>2）支持查看患者360全景视图。</w:t>
            </w:r>
          </w:p>
          <w:p w14:paraId="1949E68D">
            <w:pPr>
              <w:rPr>
                <w:sz w:val="22"/>
              </w:rPr>
            </w:pPr>
            <w:r>
              <w:rPr>
                <w:rFonts w:hint="eastAsia"/>
                <w:sz w:val="22"/>
              </w:rPr>
              <w:t>（</w:t>
            </w:r>
            <w:r>
              <w:rPr>
                <w:sz w:val="22"/>
              </w:rPr>
              <w:t>3）支持搜索出来的患者加入队列。</w:t>
            </w:r>
          </w:p>
          <w:p w14:paraId="0BA44B97">
            <w:pPr>
              <w:rPr>
                <w:sz w:val="22"/>
              </w:rPr>
            </w:pPr>
            <w:r>
              <w:rPr>
                <w:rFonts w:hint="eastAsia"/>
                <w:sz w:val="22"/>
              </w:rPr>
              <w:t>（</w:t>
            </w:r>
            <w:r>
              <w:rPr>
                <w:sz w:val="22"/>
              </w:rPr>
              <w:t>4）支持搜索出来的患者加入科研项目。</w:t>
            </w:r>
          </w:p>
        </w:tc>
      </w:tr>
      <w:tr w14:paraId="58095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6" w:type="dxa"/>
            <w:vMerge w:val="continue"/>
          </w:tcPr>
          <w:p w14:paraId="7C705184">
            <w:pPr>
              <w:jc w:val="center"/>
            </w:pPr>
          </w:p>
        </w:tc>
        <w:tc>
          <w:tcPr>
            <w:tcW w:w="1264" w:type="dxa"/>
            <w:vMerge w:val="continue"/>
          </w:tcPr>
          <w:p w14:paraId="3B05DC9C">
            <w:pPr>
              <w:jc w:val="center"/>
              <w:rPr>
                <w:rFonts w:cs="宋体"/>
                <w:szCs w:val="21"/>
              </w:rPr>
            </w:pPr>
          </w:p>
        </w:tc>
        <w:tc>
          <w:tcPr>
            <w:tcW w:w="1417" w:type="dxa"/>
          </w:tcPr>
          <w:p w14:paraId="0875CDC0">
            <w:pPr>
              <w:jc w:val="center"/>
              <w:rPr>
                <w:rFonts w:cs="宋体"/>
                <w:szCs w:val="21"/>
              </w:rPr>
            </w:pPr>
            <w:r>
              <w:rPr>
                <w:rFonts w:cs="宋体"/>
                <w:szCs w:val="21"/>
              </w:rPr>
              <w:t>4．</w:t>
            </w:r>
            <w:r>
              <w:rPr>
                <w:rFonts w:hint="eastAsia"/>
                <w:color w:val="000000" w:themeColor="text1"/>
                <w:szCs w:val="21"/>
                <w14:textFill>
                  <w14:solidFill>
                    <w14:schemeClr w14:val="tx1"/>
                  </w14:solidFill>
                </w14:textFill>
              </w:rPr>
              <w:t>▲</w:t>
            </w:r>
            <w:r>
              <w:rPr>
                <w:rFonts w:cs="宋体"/>
                <w:szCs w:val="21"/>
              </w:rPr>
              <w:t>患者360全景视图</w:t>
            </w:r>
          </w:p>
        </w:tc>
        <w:tc>
          <w:tcPr>
            <w:tcW w:w="5663" w:type="dxa"/>
          </w:tcPr>
          <w:p w14:paraId="3F4437B2">
            <w:pPr>
              <w:rPr>
                <w:sz w:val="22"/>
              </w:rPr>
            </w:pPr>
            <w:r>
              <w:rPr>
                <w:sz w:val="22"/>
              </w:rPr>
              <w:t>1、支持在人体图中展示患者诊断、手术的部位。</w:t>
            </w:r>
          </w:p>
          <w:p w14:paraId="0E6AE216">
            <w:pPr>
              <w:rPr>
                <w:sz w:val="22"/>
              </w:rPr>
            </w:pPr>
            <w:r>
              <w:rPr>
                <w:sz w:val="22"/>
              </w:rPr>
              <w:t>2、患者诊疗事件按照时间可视化展示。</w:t>
            </w:r>
          </w:p>
          <w:p w14:paraId="15D12EFA">
            <w:pPr>
              <w:rPr>
                <w:sz w:val="22"/>
              </w:rPr>
            </w:pPr>
            <w:r>
              <w:rPr>
                <w:sz w:val="22"/>
              </w:rPr>
              <w:t>3、支持查看每个诊疗事件的详情。</w:t>
            </w:r>
          </w:p>
          <w:p w14:paraId="6A707951">
            <w:pPr>
              <w:rPr>
                <w:sz w:val="22"/>
              </w:rPr>
            </w:pPr>
            <w:r>
              <w:rPr>
                <w:sz w:val="22"/>
              </w:rPr>
              <w:t>4、支持查看每个诊疗事件的溯源文本。</w:t>
            </w:r>
          </w:p>
        </w:tc>
      </w:tr>
      <w:tr w14:paraId="5E65E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6" w:type="dxa"/>
            <w:vMerge w:val="continue"/>
          </w:tcPr>
          <w:p w14:paraId="3464A8C7">
            <w:pPr>
              <w:jc w:val="center"/>
            </w:pPr>
          </w:p>
        </w:tc>
        <w:tc>
          <w:tcPr>
            <w:tcW w:w="1264" w:type="dxa"/>
            <w:vMerge w:val="continue"/>
          </w:tcPr>
          <w:p w14:paraId="5E5B2EF4">
            <w:pPr>
              <w:jc w:val="center"/>
              <w:rPr>
                <w:rFonts w:cs="宋体"/>
                <w:szCs w:val="21"/>
              </w:rPr>
            </w:pPr>
          </w:p>
        </w:tc>
        <w:tc>
          <w:tcPr>
            <w:tcW w:w="1417" w:type="dxa"/>
          </w:tcPr>
          <w:p w14:paraId="04FEFC63">
            <w:pPr>
              <w:jc w:val="center"/>
              <w:rPr>
                <w:rFonts w:cs="宋体"/>
                <w:szCs w:val="21"/>
              </w:rPr>
            </w:pPr>
            <w:r>
              <w:rPr>
                <w:rFonts w:cs="宋体"/>
                <w:szCs w:val="21"/>
              </w:rPr>
              <w:t>5．</w:t>
            </w:r>
            <w:r>
              <w:rPr>
                <w:rFonts w:hint="eastAsia"/>
                <w:color w:val="000000" w:themeColor="text1"/>
                <w:szCs w:val="21"/>
                <w14:textFill>
                  <w14:solidFill>
                    <w14:schemeClr w14:val="tx1"/>
                  </w14:solidFill>
                </w14:textFill>
              </w:rPr>
              <w:t>▲</w:t>
            </w:r>
            <w:r>
              <w:rPr>
                <w:rFonts w:cs="宋体"/>
                <w:szCs w:val="21"/>
              </w:rPr>
              <w:t>队列人群</w:t>
            </w:r>
          </w:p>
        </w:tc>
        <w:tc>
          <w:tcPr>
            <w:tcW w:w="5663" w:type="dxa"/>
          </w:tcPr>
          <w:p w14:paraId="1B42FFB3">
            <w:pPr>
              <w:rPr>
                <w:sz w:val="22"/>
              </w:rPr>
            </w:pPr>
            <w:r>
              <w:rPr>
                <w:sz w:val="22"/>
              </w:rPr>
              <w:t>1、支持用韦恩图分析患者人群。</w:t>
            </w:r>
          </w:p>
          <w:p w14:paraId="59825182">
            <w:pPr>
              <w:rPr>
                <w:sz w:val="22"/>
              </w:rPr>
            </w:pPr>
            <w:r>
              <w:rPr>
                <w:sz w:val="22"/>
              </w:rPr>
              <w:t>2、支持队列中的患者加入到科研项目。</w:t>
            </w:r>
          </w:p>
          <w:p w14:paraId="097BD9AC">
            <w:pPr>
              <w:rPr>
                <w:sz w:val="22"/>
              </w:rPr>
            </w:pPr>
            <w:r>
              <w:rPr>
                <w:sz w:val="22"/>
              </w:rPr>
              <w:t>3、符合筛选条件的患者自动更新到队列。</w:t>
            </w:r>
          </w:p>
          <w:p w14:paraId="3BE04A79">
            <w:pPr>
              <w:rPr>
                <w:sz w:val="22"/>
              </w:rPr>
            </w:pPr>
            <w:r>
              <w:rPr>
                <w:sz w:val="22"/>
              </w:rPr>
              <w:t>4、支持在队列中进行二次筛选，可对筛选出的患者另存为队列。</w:t>
            </w:r>
          </w:p>
          <w:p w14:paraId="2877351C">
            <w:pPr>
              <w:rPr>
                <w:sz w:val="22"/>
              </w:rPr>
            </w:pPr>
            <w:r>
              <w:rPr>
                <w:sz w:val="22"/>
              </w:rPr>
              <w:t>5、队列内患者的可视化管理，如疾病、检验、检查、手术、用药信息等。</w:t>
            </w:r>
          </w:p>
          <w:p w14:paraId="39972D89">
            <w:pPr>
              <w:rPr>
                <w:sz w:val="22"/>
              </w:rPr>
            </w:pPr>
            <w:r>
              <w:rPr>
                <w:sz w:val="22"/>
              </w:rPr>
              <w:t>6、支持数据导出，需信息处管理员审批。</w:t>
            </w:r>
          </w:p>
        </w:tc>
      </w:tr>
      <w:tr w14:paraId="67D06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6" w:type="dxa"/>
            <w:vMerge w:val="continue"/>
          </w:tcPr>
          <w:p w14:paraId="627DF984">
            <w:pPr>
              <w:jc w:val="center"/>
            </w:pPr>
          </w:p>
        </w:tc>
        <w:tc>
          <w:tcPr>
            <w:tcW w:w="1264" w:type="dxa"/>
            <w:vMerge w:val="continue"/>
          </w:tcPr>
          <w:p w14:paraId="724F56D3">
            <w:pPr>
              <w:jc w:val="center"/>
              <w:rPr>
                <w:rFonts w:cs="宋体"/>
                <w:szCs w:val="21"/>
              </w:rPr>
            </w:pPr>
          </w:p>
        </w:tc>
        <w:tc>
          <w:tcPr>
            <w:tcW w:w="1417" w:type="dxa"/>
          </w:tcPr>
          <w:p w14:paraId="59F65321">
            <w:pPr>
              <w:jc w:val="center"/>
              <w:rPr>
                <w:rFonts w:cs="宋体"/>
                <w:szCs w:val="21"/>
              </w:rPr>
            </w:pPr>
            <w:r>
              <w:rPr>
                <w:rFonts w:cs="宋体"/>
                <w:szCs w:val="21"/>
              </w:rPr>
              <w:t>6．数据导出</w:t>
            </w:r>
          </w:p>
        </w:tc>
        <w:tc>
          <w:tcPr>
            <w:tcW w:w="5663" w:type="dxa"/>
          </w:tcPr>
          <w:p w14:paraId="7DA4F4E0">
            <w:pPr>
              <w:rPr>
                <w:sz w:val="22"/>
              </w:rPr>
            </w:pPr>
            <w:r>
              <w:rPr>
                <w:sz w:val="22"/>
              </w:rPr>
              <w:t>1、导出格式支持SPSS、Excel、CSV。</w:t>
            </w:r>
          </w:p>
          <w:p w14:paraId="3FFBD70D">
            <w:pPr>
              <w:rPr>
                <w:sz w:val="22"/>
              </w:rPr>
            </w:pPr>
            <w:r>
              <w:rPr>
                <w:sz w:val="22"/>
              </w:rPr>
              <w:t>2、支持为待导出的指标限定时间阶段，导出特定一次的值。</w:t>
            </w:r>
          </w:p>
          <w:p w14:paraId="054D4A57">
            <w:pPr>
              <w:rPr>
                <w:sz w:val="22"/>
              </w:rPr>
            </w:pPr>
            <w:r>
              <w:rPr>
                <w:sz w:val="22"/>
              </w:rPr>
              <w:t>3、支持阶段内多种指标导出规则：首次、末次、最大值、最小值、平均值、求和、所有值等。</w:t>
            </w:r>
          </w:p>
          <w:p w14:paraId="33D616FB">
            <w:pPr>
              <w:rPr>
                <w:sz w:val="22"/>
              </w:rPr>
            </w:pPr>
            <w:r>
              <w:rPr>
                <w:sz w:val="22"/>
              </w:rPr>
              <w:t>4、支持在检验、用药的变量后面增加天数。</w:t>
            </w:r>
          </w:p>
          <w:p w14:paraId="4C82A636">
            <w:pPr>
              <w:rPr>
                <w:sz w:val="22"/>
              </w:rPr>
            </w:pPr>
            <w:r>
              <w:rPr>
                <w:sz w:val="22"/>
              </w:rPr>
              <w:t>5、保留所有用户的数据导出记录，便于管理。</w:t>
            </w:r>
          </w:p>
          <w:p w14:paraId="170C364E">
            <w:pPr>
              <w:rPr>
                <w:sz w:val="22"/>
              </w:rPr>
            </w:pPr>
            <w:r>
              <w:rPr>
                <w:sz w:val="22"/>
              </w:rPr>
              <w:t>6、数据导出需需要信息处管理员审批，除管理员外不可导出。</w:t>
            </w:r>
          </w:p>
        </w:tc>
      </w:tr>
      <w:tr w14:paraId="41A58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6" w:type="dxa"/>
            <w:vMerge w:val="continue"/>
          </w:tcPr>
          <w:p w14:paraId="551366C7">
            <w:pPr>
              <w:jc w:val="center"/>
            </w:pPr>
          </w:p>
        </w:tc>
        <w:tc>
          <w:tcPr>
            <w:tcW w:w="1264" w:type="dxa"/>
            <w:vMerge w:val="continue"/>
          </w:tcPr>
          <w:p w14:paraId="170BC6E8">
            <w:pPr>
              <w:jc w:val="center"/>
              <w:rPr>
                <w:rFonts w:cs="宋体"/>
                <w:szCs w:val="21"/>
              </w:rPr>
            </w:pPr>
          </w:p>
        </w:tc>
        <w:tc>
          <w:tcPr>
            <w:tcW w:w="1417" w:type="dxa"/>
          </w:tcPr>
          <w:p w14:paraId="0222E15B">
            <w:pPr>
              <w:jc w:val="center"/>
              <w:rPr>
                <w:rFonts w:cs="宋体"/>
                <w:szCs w:val="21"/>
              </w:rPr>
            </w:pPr>
          </w:p>
          <w:p w14:paraId="07076621">
            <w:pPr>
              <w:jc w:val="center"/>
              <w:rPr>
                <w:rFonts w:cs="宋体"/>
                <w:szCs w:val="21"/>
              </w:rPr>
            </w:pPr>
          </w:p>
          <w:p w14:paraId="6E920559">
            <w:pPr>
              <w:jc w:val="center"/>
              <w:rPr>
                <w:rFonts w:cs="宋体"/>
                <w:szCs w:val="21"/>
              </w:rPr>
            </w:pPr>
          </w:p>
          <w:p w14:paraId="66812E4B">
            <w:pPr>
              <w:jc w:val="center"/>
              <w:rPr>
                <w:rFonts w:cs="宋体"/>
                <w:szCs w:val="21"/>
              </w:rPr>
            </w:pPr>
          </w:p>
          <w:p w14:paraId="554BB556">
            <w:pPr>
              <w:jc w:val="center"/>
              <w:rPr>
                <w:rFonts w:cs="宋体"/>
                <w:szCs w:val="21"/>
              </w:rPr>
            </w:pPr>
          </w:p>
          <w:p w14:paraId="38D08DEA">
            <w:pPr>
              <w:jc w:val="center"/>
              <w:rPr>
                <w:rFonts w:cs="宋体"/>
                <w:szCs w:val="21"/>
              </w:rPr>
            </w:pPr>
            <w:r>
              <w:rPr>
                <w:rFonts w:cs="宋体"/>
                <w:szCs w:val="21"/>
              </w:rPr>
              <w:t>7．</w:t>
            </w:r>
            <w:r>
              <w:rPr>
                <w:rFonts w:hint="eastAsia"/>
                <w:color w:val="000000" w:themeColor="text1"/>
                <w:szCs w:val="21"/>
                <w14:textFill>
                  <w14:solidFill>
                    <w14:schemeClr w14:val="tx1"/>
                  </w14:solidFill>
                </w14:textFill>
              </w:rPr>
              <w:t>▲</w:t>
            </w:r>
            <w:r>
              <w:rPr>
                <w:rFonts w:cs="宋体"/>
                <w:szCs w:val="21"/>
              </w:rPr>
              <w:t>项目管理</w:t>
            </w:r>
          </w:p>
        </w:tc>
        <w:tc>
          <w:tcPr>
            <w:tcW w:w="5663" w:type="dxa"/>
          </w:tcPr>
          <w:p w14:paraId="2DAF55A2">
            <w:pPr>
              <w:ind w:firstLine="220" w:firstLineChars="100"/>
              <w:rPr>
                <w:sz w:val="22"/>
              </w:rPr>
            </w:pPr>
            <w:r>
              <w:rPr>
                <w:rFonts w:hint="eastAsia"/>
                <w:sz w:val="22"/>
              </w:rPr>
              <w:t>1、支持</w:t>
            </w:r>
            <w:r>
              <w:rPr>
                <w:sz w:val="22"/>
              </w:rPr>
              <w:t>创建科研项目</w:t>
            </w:r>
          </w:p>
          <w:p w14:paraId="4C95A9D9">
            <w:pPr>
              <w:rPr>
                <w:sz w:val="22"/>
              </w:rPr>
            </w:pPr>
            <w:r>
              <w:rPr>
                <w:rFonts w:hint="eastAsia"/>
                <w:sz w:val="22"/>
              </w:rPr>
              <w:t>支持研究者根据课题需要创建回顾性科研项目和前瞻性科研项目，管理自己参与的科研项目，同时支持项目参与成员管理。</w:t>
            </w:r>
          </w:p>
          <w:p w14:paraId="09B1AE55">
            <w:pPr>
              <w:ind w:firstLine="220" w:firstLineChars="100"/>
              <w:rPr>
                <w:sz w:val="22"/>
              </w:rPr>
            </w:pPr>
            <w:r>
              <w:rPr>
                <w:sz w:val="22"/>
              </w:rPr>
              <w:t>2</w:t>
            </w:r>
            <w:r>
              <w:rPr>
                <w:rFonts w:hint="eastAsia"/>
                <w:sz w:val="22"/>
              </w:rPr>
              <w:t>、支持创建</w:t>
            </w:r>
            <w:r>
              <w:rPr>
                <w:sz w:val="22"/>
              </w:rPr>
              <w:t>研究对象</w:t>
            </w:r>
          </w:p>
          <w:p w14:paraId="1B22AA7F">
            <w:pPr>
              <w:rPr>
                <w:sz w:val="22"/>
              </w:rPr>
            </w:pPr>
            <w:r>
              <w:rPr>
                <w:rFonts w:hint="eastAsia"/>
                <w:sz w:val="22"/>
              </w:rPr>
              <w:t>支持数据检索出来的患者直接添加到项目中作为研究对象，支持已有队列的患者添加到项目中作为研究对象；研究对象支持剔除和增量加入。</w:t>
            </w:r>
          </w:p>
          <w:p w14:paraId="28FCDB52">
            <w:pPr>
              <w:ind w:firstLine="220" w:firstLineChars="100"/>
              <w:rPr>
                <w:sz w:val="22"/>
              </w:rPr>
            </w:pPr>
            <w:r>
              <w:rPr>
                <w:sz w:val="22"/>
              </w:rPr>
              <w:t>3</w:t>
            </w:r>
            <w:r>
              <w:rPr>
                <w:rFonts w:hint="eastAsia"/>
                <w:sz w:val="22"/>
              </w:rPr>
              <w:t>、支持</w:t>
            </w:r>
            <w:r>
              <w:rPr>
                <w:sz w:val="22"/>
              </w:rPr>
              <w:t>研究指标选取</w:t>
            </w:r>
          </w:p>
          <w:p w14:paraId="67156DE1">
            <w:pPr>
              <w:rPr>
                <w:sz w:val="22"/>
              </w:rPr>
            </w:pPr>
            <w:r>
              <w:rPr>
                <w:rFonts w:hint="eastAsia"/>
                <w:sz w:val="22"/>
              </w:rPr>
              <w:t>（</w:t>
            </w:r>
            <w:r>
              <w:rPr>
                <w:sz w:val="22"/>
              </w:rPr>
              <w:t>1）支持根据课题需要，提取不同观测指标，且可以设置观测指标的基线时间，支持首次末次（例如：首次TACE术结束时间之后30天内）。</w:t>
            </w:r>
          </w:p>
          <w:p w14:paraId="1CD23FCF">
            <w:pPr>
              <w:rPr>
                <w:sz w:val="22"/>
              </w:rPr>
            </w:pPr>
            <w:r>
              <w:rPr>
                <w:rFonts w:hint="eastAsia"/>
                <w:sz w:val="22"/>
              </w:rPr>
              <w:t>（</w:t>
            </w:r>
            <w:r>
              <w:rPr>
                <w:sz w:val="22"/>
              </w:rPr>
              <w:t>2）支持观测指标的数据预览。</w:t>
            </w:r>
          </w:p>
          <w:p w14:paraId="54C7FC34">
            <w:pPr>
              <w:rPr>
                <w:sz w:val="22"/>
              </w:rPr>
            </w:pPr>
            <w:r>
              <w:rPr>
                <w:rFonts w:hint="eastAsia"/>
                <w:sz w:val="22"/>
              </w:rPr>
              <w:t>（</w:t>
            </w:r>
            <w:r>
              <w:rPr>
                <w:sz w:val="22"/>
              </w:rPr>
              <w:t>3）支持观测指标的数据质量检查，可选择全部指标进行检查。</w:t>
            </w:r>
          </w:p>
          <w:p w14:paraId="25EF7196">
            <w:pPr>
              <w:rPr>
                <w:sz w:val="22"/>
              </w:rPr>
            </w:pPr>
            <w:r>
              <w:rPr>
                <w:rFonts w:hint="eastAsia"/>
                <w:sz w:val="22"/>
              </w:rPr>
              <w:t>（</w:t>
            </w:r>
            <w:r>
              <w:rPr>
                <w:sz w:val="22"/>
              </w:rPr>
              <w:t>4）观测指标支持实时自动保存。</w:t>
            </w:r>
          </w:p>
          <w:p w14:paraId="33E305BA">
            <w:pPr>
              <w:rPr>
                <w:sz w:val="22"/>
              </w:rPr>
            </w:pPr>
            <w:r>
              <w:rPr>
                <w:rFonts w:hint="eastAsia"/>
                <w:sz w:val="22"/>
              </w:rPr>
              <w:t>（</w:t>
            </w:r>
            <w:r>
              <w:rPr>
                <w:sz w:val="22"/>
              </w:rPr>
              <w:t>5）支持对研究对象某些观测指标的缺失值进行均数/中位数/随机数/删除替换。</w:t>
            </w:r>
          </w:p>
        </w:tc>
      </w:tr>
      <w:tr w14:paraId="54F4A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6" w:type="dxa"/>
            <w:vMerge w:val="continue"/>
          </w:tcPr>
          <w:p w14:paraId="785903D3">
            <w:pPr>
              <w:jc w:val="center"/>
            </w:pPr>
          </w:p>
        </w:tc>
        <w:tc>
          <w:tcPr>
            <w:tcW w:w="1264" w:type="dxa"/>
            <w:vMerge w:val="continue"/>
          </w:tcPr>
          <w:p w14:paraId="3240A5DB">
            <w:pPr>
              <w:jc w:val="center"/>
              <w:rPr>
                <w:rFonts w:cs="宋体"/>
                <w:szCs w:val="21"/>
              </w:rPr>
            </w:pPr>
          </w:p>
        </w:tc>
        <w:tc>
          <w:tcPr>
            <w:tcW w:w="1417" w:type="dxa"/>
          </w:tcPr>
          <w:p w14:paraId="54DE5196">
            <w:pPr>
              <w:jc w:val="center"/>
              <w:rPr>
                <w:rFonts w:cs="宋体"/>
                <w:szCs w:val="21"/>
              </w:rPr>
            </w:pPr>
            <w:r>
              <w:rPr>
                <w:rFonts w:cs="宋体"/>
                <w:szCs w:val="21"/>
              </w:rPr>
              <w:t>8．</w:t>
            </w:r>
            <w:r>
              <w:rPr>
                <w:rFonts w:hint="eastAsia"/>
                <w:color w:val="000000" w:themeColor="text1"/>
                <w:szCs w:val="21"/>
                <w14:textFill>
                  <w14:solidFill>
                    <w14:schemeClr w14:val="tx1"/>
                  </w14:solidFill>
                </w14:textFill>
              </w:rPr>
              <w:t>▲</w:t>
            </w:r>
            <w:r>
              <w:rPr>
                <w:rFonts w:cs="宋体"/>
                <w:szCs w:val="21"/>
              </w:rPr>
              <w:t>CRF表单</w:t>
            </w:r>
          </w:p>
        </w:tc>
        <w:tc>
          <w:tcPr>
            <w:tcW w:w="5663" w:type="dxa"/>
          </w:tcPr>
          <w:p w14:paraId="6A769F9D">
            <w:pPr>
              <w:rPr>
                <w:sz w:val="22"/>
              </w:rPr>
            </w:pPr>
            <w:r>
              <w:rPr>
                <w:rFonts w:hint="eastAsia"/>
                <w:sz w:val="22"/>
              </w:rPr>
              <w:t>支持灵活的自定义</w:t>
            </w:r>
            <w:r>
              <w:rPr>
                <w:sz w:val="22"/>
              </w:rPr>
              <w:t>CRF表单配置，包括：</w:t>
            </w:r>
          </w:p>
          <w:p w14:paraId="41B63809">
            <w:pPr>
              <w:rPr>
                <w:sz w:val="22"/>
              </w:rPr>
            </w:pPr>
            <w:r>
              <w:rPr>
                <w:sz w:val="22"/>
              </w:rPr>
              <w:t>1、支持点选方式建题。</w:t>
            </w:r>
          </w:p>
          <w:p w14:paraId="6F8F3699">
            <w:pPr>
              <w:rPr>
                <w:sz w:val="22"/>
              </w:rPr>
            </w:pPr>
            <w:r>
              <w:rPr>
                <w:sz w:val="22"/>
              </w:rPr>
              <w:t>2、自定义建题，题型支持：单选题、填空题，多选题、日期题、附件题、多行文本题、矩阵选择题、矩阵填空题、评分题等。</w:t>
            </w:r>
          </w:p>
          <w:p w14:paraId="4EB6B646">
            <w:pPr>
              <w:rPr>
                <w:sz w:val="22"/>
              </w:rPr>
            </w:pPr>
            <w:r>
              <w:rPr>
                <w:sz w:val="22"/>
              </w:rPr>
              <w:t>3、支持CRF内多题目间显示与隐藏的逻辑关系以及自动计算量表等。如：当题目1选择A答案时，题目2才显示，否则题目2隐藏。</w:t>
            </w:r>
          </w:p>
          <w:p w14:paraId="0FE391D5">
            <w:pPr>
              <w:rPr>
                <w:sz w:val="22"/>
              </w:rPr>
            </w:pPr>
            <w:r>
              <w:rPr>
                <w:sz w:val="22"/>
              </w:rPr>
              <w:t>4、支持题目自由排序。</w:t>
            </w:r>
          </w:p>
          <w:p w14:paraId="15BB5FF9">
            <w:pPr>
              <w:rPr>
                <w:sz w:val="22"/>
              </w:rPr>
            </w:pPr>
            <w:r>
              <w:rPr>
                <w:sz w:val="22"/>
              </w:rPr>
              <w:t>5、支持量表。</w:t>
            </w:r>
          </w:p>
          <w:p w14:paraId="01CF48B4">
            <w:pPr>
              <w:rPr>
                <w:sz w:val="22"/>
              </w:rPr>
            </w:pPr>
            <w:r>
              <w:rPr>
                <w:rFonts w:hint="eastAsia"/>
                <w:sz w:val="22"/>
              </w:rPr>
              <w:t>6</w:t>
            </w:r>
            <w:r>
              <w:rPr>
                <w:sz w:val="22"/>
              </w:rPr>
              <w:t>、表单数据支持自动抓取数据源展示</w:t>
            </w:r>
          </w:p>
        </w:tc>
      </w:tr>
      <w:tr w14:paraId="676A5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6" w:type="dxa"/>
            <w:vMerge w:val="continue"/>
          </w:tcPr>
          <w:p w14:paraId="78168F90">
            <w:pPr>
              <w:jc w:val="center"/>
            </w:pPr>
          </w:p>
        </w:tc>
        <w:tc>
          <w:tcPr>
            <w:tcW w:w="1264" w:type="dxa"/>
            <w:vMerge w:val="continue"/>
          </w:tcPr>
          <w:p w14:paraId="49F45C5B">
            <w:pPr>
              <w:jc w:val="center"/>
              <w:rPr>
                <w:rFonts w:cs="宋体"/>
                <w:szCs w:val="21"/>
              </w:rPr>
            </w:pPr>
          </w:p>
        </w:tc>
        <w:tc>
          <w:tcPr>
            <w:tcW w:w="1417" w:type="dxa"/>
          </w:tcPr>
          <w:p w14:paraId="47CDE360">
            <w:pPr>
              <w:jc w:val="center"/>
              <w:rPr>
                <w:rFonts w:cs="宋体"/>
                <w:szCs w:val="21"/>
              </w:rPr>
            </w:pPr>
          </w:p>
          <w:p w14:paraId="38898B2F">
            <w:pPr>
              <w:jc w:val="center"/>
              <w:rPr>
                <w:rFonts w:cs="宋体"/>
                <w:szCs w:val="21"/>
              </w:rPr>
            </w:pPr>
          </w:p>
          <w:p w14:paraId="57B8B64B">
            <w:pPr>
              <w:jc w:val="center"/>
              <w:rPr>
                <w:rFonts w:cs="宋体"/>
                <w:szCs w:val="21"/>
              </w:rPr>
            </w:pPr>
          </w:p>
          <w:p w14:paraId="4EC7477F">
            <w:pPr>
              <w:jc w:val="center"/>
              <w:rPr>
                <w:rFonts w:cs="宋体"/>
                <w:szCs w:val="21"/>
              </w:rPr>
            </w:pPr>
          </w:p>
          <w:p w14:paraId="18BFB20A">
            <w:pPr>
              <w:jc w:val="center"/>
              <w:rPr>
                <w:rFonts w:cs="宋体"/>
                <w:szCs w:val="21"/>
              </w:rPr>
            </w:pPr>
          </w:p>
          <w:p w14:paraId="2DF0FEA5">
            <w:pPr>
              <w:jc w:val="center"/>
              <w:rPr>
                <w:rFonts w:cs="宋体"/>
                <w:szCs w:val="21"/>
              </w:rPr>
            </w:pPr>
          </w:p>
          <w:p w14:paraId="74B4765D">
            <w:pPr>
              <w:jc w:val="center"/>
              <w:rPr>
                <w:rFonts w:cs="宋体"/>
                <w:szCs w:val="21"/>
              </w:rPr>
            </w:pPr>
          </w:p>
          <w:p w14:paraId="33C2A0A8">
            <w:pPr>
              <w:jc w:val="center"/>
              <w:rPr>
                <w:rFonts w:cs="宋体"/>
                <w:szCs w:val="21"/>
              </w:rPr>
            </w:pPr>
          </w:p>
          <w:p w14:paraId="239BEB92">
            <w:pPr>
              <w:jc w:val="center"/>
              <w:rPr>
                <w:rFonts w:cs="宋体"/>
                <w:szCs w:val="21"/>
              </w:rPr>
            </w:pPr>
          </w:p>
          <w:p w14:paraId="74B8B3C7">
            <w:pPr>
              <w:jc w:val="center"/>
              <w:rPr>
                <w:rFonts w:cs="宋体"/>
                <w:szCs w:val="21"/>
              </w:rPr>
            </w:pPr>
            <w:r>
              <w:rPr>
                <w:rFonts w:cs="宋体"/>
                <w:szCs w:val="21"/>
              </w:rPr>
              <w:t>9．</w:t>
            </w:r>
            <w:r>
              <w:rPr>
                <w:rFonts w:hint="eastAsia"/>
                <w:color w:val="000000" w:themeColor="text1"/>
                <w:szCs w:val="21"/>
                <w14:textFill>
                  <w14:solidFill>
                    <w14:schemeClr w14:val="tx1"/>
                  </w14:solidFill>
                </w14:textFill>
              </w:rPr>
              <w:t>▲</w:t>
            </w:r>
            <w:r>
              <w:rPr>
                <w:rFonts w:cs="宋体"/>
                <w:szCs w:val="21"/>
              </w:rPr>
              <w:t>随访管理</w:t>
            </w:r>
          </w:p>
        </w:tc>
        <w:tc>
          <w:tcPr>
            <w:tcW w:w="5663" w:type="dxa"/>
          </w:tcPr>
          <w:p w14:paraId="752F4322">
            <w:pPr>
              <w:rPr>
                <w:sz w:val="22"/>
              </w:rPr>
            </w:pPr>
            <w:r>
              <w:rPr>
                <w:sz w:val="22"/>
              </w:rPr>
              <w:t>1、</w:t>
            </w:r>
            <w:r>
              <w:rPr>
                <w:rFonts w:hint="eastAsia"/>
                <w:sz w:val="22"/>
              </w:rPr>
              <w:t>随访项目管理，</w:t>
            </w:r>
            <w:r>
              <w:rPr>
                <w:sz w:val="22"/>
              </w:rPr>
              <w:t>支持院内多个随访项目同时开展，支持自定义随访计划，系统根据随访计划自动生成随访任务。</w:t>
            </w:r>
            <w:r>
              <w:rPr>
                <w:rFonts w:hint="eastAsia"/>
                <w:sz w:val="22"/>
              </w:rPr>
              <w:t>支持多种随访方式、频次设置；支持设定自动终止随访规则，自动终止随访；支持设定不良事件触发规则，自动提醒不良事件；根据随访规则自动生成随访任务，随访任务自动提醒；支持同时开启多个随访阶；支持随访发布后继续增加随访任务。</w:t>
            </w:r>
          </w:p>
          <w:p w14:paraId="4347BF5A">
            <w:pPr>
              <w:rPr>
                <w:sz w:val="22"/>
              </w:rPr>
            </w:pPr>
            <w:r>
              <w:rPr>
                <w:rFonts w:hint="eastAsia"/>
                <w:sz w:val="22"/>
              </w:rPr>
              <w:t>2、随访方式</w:t>
            </w:r>
            <w:r>
              <w:rPr>
                <w:sz w:val="22"/>
              </w:rPr>
              <w:t>，可支持用医院自己的公众号、小程序进行患者随访，以及医生管理患者随访。支持自动/手动发送随访通知，患者点击通知链接可直接填写随访表单。</w:t>
            </w:r>
          </w:p>
          <w:p w14:paraId="48B33166">
            <w:pPr>
              <w:rPr>
                <w:sz w:val="22"/>
              </w:rPr>
            </w:pPr>
            <w:r>
              <w:rPr>
                <w:rFonts w:hint="eastAsia"/>
                <w:sz w:val="22"/>
              </w:rPr>
              <w:t>3、随访方案</w:t>
            </w:r>
            <w:r>
              <w:rPr>
                <w:sz w:val="22"/>
              </w:rPr>
              <w:t>，支持不同类型的随访方案配置，如：信息采集、居家自测、来院复查、科普宣教、随访表单。</w:t>
            </w:r>
          </w:p>
          <w:p w14:paraId="4DAE20BC">
            <w:pPr>
              <w:rPr>
                <w:sz w:val="22"/>
              </w:rPr>
            </w:pPr>
            <w:r>
              <w:rPr>
                <w:rFonts w:hint="eastAsia"/>
                <w:sz w:val="22"/>
              </w:rPr>
              <w:t>4、随访</w:t>
            </w:r>
            <w:r>
              <w:rPr>
                <w:sz w:val="22"/>
              </w:rPr>
              <w:t>CRF表单配置，支持上述数据集内容及项目需求灵活的自定义随访量表配置</w:t>
            </w:r>
          </w:p>
          <w:p w14:paraId="3E26DFA1">
            <w:pPr>
              <w:rPr>
                <w:sz w:val="22"/>
              </w:rPr>
            </w:pPr>
            <w:r>
              <w:rPr>
                <w:rFonts w:hint="eastAsia"/>
                <w:sz w:val="22"/>
              </w:rPr>
              <w:t>手动新增、删除任务</w:t>
            </w:r>
            <w:r>
              <w:rPr>
                <w:sz w:val="22"/>
              </w:rPr>
              <w:tab/>
            </w:r>
            <w:r>
              <w:rPr>
                <w:sz w:val="22"/>
              </w:rPr>
              <w:t>随着患者病情的转好和变坏，医生可以手动增加或删除随访任务。</w:t>
            </w:r>
          </w:p>
          <w:p w14:paraId="69E47B62">
            <w:pPr>
              <w:rPr>
                <w:sz w:val="22"/>
              </w:rPr>
            </w:pPr>
            <w:r>
              <w:rPr>
                <w:rFonts w:hint="eastAsia"/>
                <w:sz w:val="22"/>
              </w:rPr>
              <w:t>5、随访数据录入</w:t>
            </w:r>
            <w:r>
              <w:rPr>
                <w:sz w:val="22"/>
              </w:rPr>
              <w:t>&amp;补录，支持患者通过微信小程序录入随访表单，支持医生通过微信小程序、管理后台帮助患者录入随访表单。</w:t>
            </w:r>
          </w:p>
        </w:tc>
      </w:tr>
      <w:tr w14:paraId="7F987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6" w:type="dxa"/>
            <w:vMerge w:val="continue"/>
          </w:tcPr>
          <w:p w14:paraId="3AFF8719">
            <w:pPr>
              <w:jc w:val="center"/>
            </w:pPr>
          </w:p>
        </w:tc>
        <w:tc>
          <w:tcPr>
            <w:tcW w:w="1264" w:type="dxa"/>
            <w:vMerge w:val="continue"/>
          </w:tcPr>
          <w:p w14:paraId="2F00F94F">
            <w:pPr>
              <w:jc w:val="center"/>
              <w:rPr>
                <w:rFonts w:cs="宋体"/>
                <w:szCs w:val="21"/>
              </w:rPr>
            </w:pPr>
          </w:p>
        </w:tc>
        <w:tc>
          <w:tcPr>
            <w:tcW w:w="1417" w:type="dxa"/>
          </w:tcPr>
          <w:p w14:paraId="5DDCF8CC">
            <w:pPr>
              <w:jc w:val="center"/>
              <w:rPr>
                <w:rFonts w:cs="宋体"/>
                <w:szCs w:val="21"/>
              </w:rPr>
            </w:pPr>
            <w:r>
              <w:rPr>
                <w:rFonts w:cs="宋体"/>
                <w:szCs w:val="21"/>
              </w:rPr>
              <w:t>10．数据路径</w:t>
            </w:r>
          </w:p>
        </w:tc>
        <w:tc>
          <w:tcPr>
            <w:tcW w:w="5663" w:type="dxa"/>
          </w:tcPr>
          <w:p w14:paraId="2700823C">
            <w:pPr>
              <w:rPr>
                <w:sz w:val="22"/>
              </w:rPr>
            </w:pPr>
            <w:r>
              <w:rPr>
                <w:sz w:val="22"/>
              </w:rPr>
              <w:t>1、</w:t>
            </w:r>
            <w:r>
              <w:rPr>
                <w:rFonts w:hint="eastAsia"/>
                <w:color w:val="000000" w:themeColor="text1"/>
                <w:szCs w:val="21"/>
                <w14:textFill>
                  <w14:solidFill>
                    <w14:schemeClr w14:val="tx1"/>
                  </w14:solidFill>
                </w14:textFill>
              </w:rPr>
              <w:t>▲</w:t>
            </w:r>
            <w:r>
              <w:rPr>
                <w:rFonts w:hint="eastAsia"/>
                <w:sz w:val="22"/>
              </w:rPr>
              <w:t>医院数据路径功能：</w:t>
            </w:r>
          </w:p>
          <w:p w14:paraId="38558194">
            <w:pPr>
              <w:ind w:firstLine="220" w:firstLineChars="100"/>
              <w:rPr>
                <w:sz w:val="22"/>
              </w:rPr>
            </w:pPr>
            <w:r>
              <w:rPr>
                <w:rFonts w:hint="eastAsia"/>
                <w:sz w:val="22"/>
              </w:rPr>
              <w:t>支持基于专病数据进行数据路径分析，用户可以按照时间顺序了解这个疾病是如何进行用药、检查或者手术等操作，通过不同方式的操作分为不同的分支，可对比每一个节点对应的病人数量是多少，费用是多少，可通过路径长短、费用和人数多少评估最终的治疗效果。</w:t>
            </w:r>
          </w:p>
          <w:p w14:paraId="5C4B9A70">
            <w:pPr>
              <w:rPr>
                <w:sz w:val="22"/>
              </w:rPr>
            </w:pPr>
            <w:r>
              <w:rPr>
                <w:rFonts w:hint="eastAsia"/>
                <w:sz w:val="22"/>
              </w:rPr>
              <w:t>2、</w:t>
            </w:r>
            <w:r>
              <w:rPr>
                <w:sz w:val="22"/>
              </w:rPr>
              <w:t>卫健委数据路径</w:t>
            </w:r>
          </w:p>
          <w:p w14:paraId="05C4B4BF">
            <w:pPr>
              <w:ind w:firstLine="440" w:firstLineChars="200"/>
              <w:rPr>
                <w:sz w:val="22"/>
              </w:rPr>
            </w:pPr>
            <w:r>
              <w:rPr>
                <w:sz w:val="22"/>
              </w:rPr>
              <w:t>支持</w:t>
            </w:r>
            <w:r>
              <w:rPr>
                <w:rFonts w:hint="eastAsia"/>
                <w:sz w:val="22"/>
              </w:rPr>
              <w:t>展示卫健委印发的各个病种数据路径。</w:t>
            </w:r>
          </w:p>
          <w:p w14:paraId="7533B3E6">
            <w:pPr>
              <w:rPr>
                <w:sz w:val="22"/>
              </w:rPr>
            </w:pPr>
            <w:r>
              <w:rPr>
                <w:rFonts w:hint="eastAsia"/>
                <w:sz w:val="22"/>
              </w:rPr>
              <w:t>3、</w:t>
            </w:r>
            <w:r>
              <w:rPr>
                <w:sz w:val="22"/>
              </w:rPr>
              <w:t>自定义数据路径</w:t>
            </w:r>
          </w:p>
          <w:p w14:paraId="3C8B2C5F">
            <w:pPr>
              <w:ind w:firstLine="440" w:firstLineChars="200"/>
              <w:rPr>
                <w:sz w:val="22"/>
              </w:rPr>
            </w:pPr>
            <w:r>
              <w:rPr>
                <w:sz w:val="22"/>
              </w:rPr>
              <w:t>支持</w:t>
            </w:r>
            <w:r>
              <w:rPr>
                <w:rFonts w:hint="eastAsia"/>
                <w:sz w:val="22"/>
              </w:rPr>
              <w:t>可在诊断、用药、手术、检验中查询想要分析的关键字，系统会根据医院数据自动生成路径。</w:t>
            </w:r>
          </w:p>
          <w:p w14:paraId="5349C325">
            <w:pPr>
              <w:rPr>
                <w:sz w:val="22"/>
              </w:rPr>
            </w:pPr>
            <w:r>
              <w:rPr>
                <w:rFonts w:hint="eastAsia"/>
                <w:sz w:val="22"/>
              </w:rPr>
              <w:t>4、</w:t>
            </w:r>
            <w:r>
              <w:rPr>
                <w:sz w:val="22"/>
              </w:rPr>
              <w:t>数据路径比较</w:t>
            </w:r>
          </w:p>
          <w:p w14:paraId="00E074BA">
            <w:pPr>
              <w:ind w:firstLine="440" w:firstLineChars="200"/>
              <w:rPr>
                <w:sz w:val="22"/>
              </w:rPr>
            </w:pPr>
            <w:r>
              <w:rPr>
                <w:rFonts w:hint="eastAsia"/>
                <w:sz w:val="22"/>
              </w:rPr>
              <w:t>支持在医院数据数据路径和自定义数据路径中选择两个进行比较。</w:t>
            </w:r>
          </w:p>
        </w:tc>
      </w:tr>
      <w:tr w14:paraId="5F0FE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6" w:type="dxa"/>
            <w:vMerge w:val="continue"/>
          </w:tcPr>
          <w:p w14:paraId="025E718F">
            <w:pPr>
              <w:jc w:val="center"/>
            </w:pPr>
          </w:p>
        </w:tc>
        <w:tc>
          <w:tcPr>
            <w:tcW w:w="1264" w:type="dxa"/>
            <w:vMerge w:val="continue"/>
          </w:tcPr>
          <w:p w14:paraId="396767B3">
            <w:pPr>
              <w:jc w:val="center"/>
              <w:rPr>
                <w:rFonts w:cs="宋体"/>
                <w:szCs w:val="21"/>
              </w:rPr>
            </w:pPr>
          </w:p>
        </w:tc>
        <w:tc>
          <w:tcPr>
            <w:tcW w:w="1417" w:type="dxa"/>
          </w:tcPr>
          <w:p w14:paraId="76978EDB">
            <w:pPr>
              <w:jc w:val="center"/>
              <w:rPr>
                <w:rFonts w:cs="宋体"/>
                <w:szCs w:val="21"/>
              </w:rPr>
            </w:pPr>
            <w:r>
              <w:rPr>
                <w:rFonts w:hint="eastAsia" w:cs="宋体"/>
                <w:szCs w:val="21"/>
              </w:rPr>
              <w:t>1</w:t>
            </w:r>
            <w:r>
              <w:rPr>
                <w:rFonts w:cs="宋体"/>
                <w:szCs w:val="21"/>
              </w:rPr>
              <w:t>1.</w:t>
            </w:r>
            <w:r>
              <w:rPr>
                <w:rFonts w:hint="eastAsia" w:cs="宋体"/>
                <w:szCs w:val="21"/>
              </w:rPr>
              <w:t>学科管理模块</w:t>
            </w:r>
            <w:r>
              <w:rPr>
                <w:rFonts w:hint="eastAsia"/>
                <w:color w:val="000000" w:themeColor="text1"/>
                <w:szCs w:val="21"/>
                <w14:textFill>
                  <w14:solidFill>
                    <w14:schemeClr w14:val="tx1"/>
                  </w14:solidFill>
                </w14:textFill>
              </w:rPr>
              <w:t>▲</w:t>
            </w:r>
          </w:p>
        </w:tc>
        <w:tc>
          <w:tcPr>
            <w:tcW w:w="5663" w:type="dxa"/>
          </w:tcPr>
          <w:p w14:paraId="43EBFDC8">
            <w:pPr>
              <w:rPr>
                <w:sz w:val="22"/>
              </w:rPr>
            </w:pPr>
            <w:r>
              <w:rPr>
                <w:sz w:val="22"/>
              </w:rPr>
              <w:t>1、支持诊疗规范性（如MICM检查完成率）、治疗先进性（如移植率）、资源效率（如平均住院日）、费用控制（如药占比）等</w:t>
            </w:r>
          </w:p>
          <w:p w14:paraId="337783F5">
            <w:pPr>
              <w:rPr>
                <w:rFonts w:cs="宋体"/>
                <w:color w:val="000000" w:themeColor="text1"/>
                <w:szCs w:val="18"/>
                <w14:textFill>
                  <w14:solidFill>
                    <w14:schemeClr w14:val="tx1"/>
                  </w14:solidFill>
                </w14:textFill>
              </w:rPr>
            </w:pPr>
            <w:r>
              <w:rPr>
                <w:rFonts w:hint="eastAsia" w:cs="宋体"/>
                <w:color w:val="000000" w:themeColor="text1"/>
                <w:szCs w:val="18"/>
                <w14:textFill>
                  <w14:solidFill>
                    <w14:schemeClr w14:val="tx1"/>
                  </w14:solidFill>
                </w14:textFill>
              </w:rPr>
              <w:t>2、按照诊断、治疗、随访不同阶段分别定义质控点和指标；</w:t>
            </w:r>
          </w:p>
          <w:p w14:paraId="2641410E">
            <w:pPr>
              <w:rPr>
                <w:rFonts w:cs="宋体"/>
                <w:color w:val="000000" w:themeColor="text1"/>
                <w:szCs w:val="18"/>
                <w14:textFill>
                  <w14:solidFill>
                    <w14:schemeClr w14:val="tx1"/>
                  </w14:solidFill>
                </w14:textFill>
              </w:rPr>
            </w:pPr>
            <w:r>
              <w:rPr>
                <w:rFonts w:hint="eastAsia" w:cs="宋体"/>
                <w:color w:val="000000" w:themeColor="text1"/>
                <w:szCs w:val="18"/>
                <w14:textFill>
                  <w14:solidFill>
                    <w14:schemeClr w14:val="tx1"/>
                  </w14:solidFill>
                </w14:textFill>
              </w:rPr>
              <w:t>3、支持按病种、医生组、时间段多维下钻分析指标波动原因；</w:t>
            </w:r>
          </w:p>
          <w:p w14:paraId="1330E00F">
            <w:pPr>
              <w:rPr>
                <w:sz w:val="22"/>
              </w:rPr>
            </w:pPr>
            <w:r>
              <w:rPr>
                <w:sz w:val="22"/>
              </w:rPr>
              <w:t>4、支持科室科研项目、经费、科研成果等管理；</w:t>
            </w:r>
          </w:p>
        </w:tc>
      </w:tr>
      <w:tr w14:paraId="109F9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6" w:type="dxa"/>
            <w:vMerge w:val="continue"/>
          </w:tcPr>
          <w:p w14:paraId="03CF261F">
            <w:pPr>
              <w:jc w:val="center"/>
            </w:pPr>
          </w:p>
        </w:tc>
        <w:tc>
          <w:tcPr>
            <w:tcW w:w="1264" w:type="dxa"/>
            <w:vMerge w:val="continue"/>
          </w:tcPr>
          <w:p w14:paraId="7B6ADBC6">
            <w:pPr>
              <w:jc w:val="center"/>
              <w:rPr>
                <w:rFonts w:cs="宋体"/>
                <w:szCs w:val="21"/>
              </w:rPr>
            </w:pPr>
          </w:p>
        </w:tc>
        <w:tc>
          <w:tcPr>
            <w:tcW w:w="1417" w:type="dxa"/>
          </w:tcPr>
          <w:p w14:paraId="3E7BAA34">
            <w:pPr>
              <w:jc w:val="center"/>
              <w:rPr>
                <w:rFonts w:cs="宋体"/>
                <w:szCs w:val="21"/>
              </w:rPr>
            </w:pPr>
          </w:p>
          <w:p w14:paraId="468003E9">
            <w:pPr>
              <w:jc w:val="center"/>
              <w:rPr>
                <w:rFonts w:cs="宋体"/>
                <w:szCs w:val="21"/>
              </w:rPr>
            </w:pPr>
            <w:r>
              <w:rPr>
                <w:rFonts w:hint="eastAsia" w:cs="宋体"/>
                <w:szCs w:val="21"/>
              </w:rPr>
              <w:t>1</w:t>
            </w:r>
            <w:r>
              <w:rPr>
                <w:rFonts w:cs="宋体"/>
                <w:szCs w:val="21"/>
              </w:rPr>
              <w:t>2.</w:t>
            </w:r>
            <w:r>
              <w:rPr>
                <w:rFonts w:hint="eastAsia"/>
              </w:rPr>
              <w:t xml:space="preserve"> </w:t>
            </w:r>
            <w:r>
              <w:rPr>
                <w:rFonts w:hint="eastAsia" w:cs="宋体"/>
                <w:szCs w:val="21"/>
              </w:rPr>
              <w:t>人工智能应用</w:t>
            </w:r>
          </w:p>
        </w:tc>
        <w:tc>
          <w:tcPr>
            <w:tcW w:w="5663" w:type="dxa"/>
          </w:tcPr>
          <w:p w14:paraId="75A8A020">
            <w:pPr>
              <w:rPr>
                <w:sz w:val="22"/>
              </w:rPr>
            </w:pPr>
            <w:r>
              <w:rPr>
                <w:sz w:val="22"/>
              </w:rPr>
              <w:t>1、</w:t>
            </w:r>
            <w:r>
              <w:rPr>
                <w:rFonts w:hint="eastAsia"/>
                <w:color w:val="000000" w:themeColor="text1"/>
                <w:szCs w:val="21"/>
                <w14:textFill>
                  <w14:solidFill>
                    <w14:schemeClr w14:val="tx1"/>
                  </w14:solidFill>
                </w14:textFill>
              </w:rPr>
              <w:t>▲</w:t>
            </w:r>
            <w:r>
              <w:rPr>
                <w:sz w:val="22"/>
              </w:rPr>
              <w:t>以血液系统疾病专病数据库为基础，结合人工智能AI助力推进血液病临床辅助诊断及辅助治疗决策的应用科研合作落地一项，</w:t>
            </w:r>
            <w:r>
              <w:rPr>
                <w:rFonts w:hint="eastAsia"/>
                <w:sz w:val="22"/>
              </w:rPr>
              <w:t>白血病</w:t>
            </w:r>
            <w:r>
              <w:rPr>
                <w:sz w:val="22"/>
              </w:rPr>
              <w:t>或其他。</w:t>
            </w:r>
          </w:p>
          <w:p w14:paraId="1E470593">
            <w:pPr>
              <w:rPr>
                <w:sz w:val="22"/>
              </w:rPr>
            </w:pPr>
            <w:r>
              <w:rPr>
                <w:sz w:val="22"/>
              </w:rPr>
              <w:t>2、</w:t>
            </w:r>
            <w:r>
              <w:rPr>
                <w:rFonts w:hint="eastAsia"/>
                <w:color w:val="000000" w:themeColor="text1"/>
                <w:szCs w:val="21"/>
                <w14:textFill>
                  <w14:solidFill>
                    <w14:schemeClr w14:val="tx1"/>
                  </w14:solidFill>
                </w14:textFill>
              </w:rPr>
              <w:t>▲</w:t>
            </w:r>
            <w:r>
              <w:rPr>
                <w:sz w:val="22"/>
              </w:rPr>
              <w:t>智能文献检索、文献解析与管理及前沿趋势预测</w:t>
            </w:r>
          </w:p>
          <w:p w14:paraId="4D2A53C0">
            <w:pPr>
              <w:rPr>
                <w:sz w:val="22"/>
              </w:rPr>
            </w:pPr>
            <w:r>
              <w:rPr>
                <w:rFonts w:hint="eastAsia"/>
                <w:sz w:val="22"/>
              </w:rPr>
              <w:t>通过语义分析精准匹配高影响力论文，自动提取关键数据并生成结构化摘要，支持团队协作与智能写作，帮助研究者高效探索学术空白与创新方向。</w:t>
            </w:r>
          </w:p>
        </w:tc>
      </w:tr>
      <w:tr w14:paraId="1E806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6" w:type="dxa"/>
            <w:vMerge w:val="continue"/>
          </w:tcPr>
          <w:p w14:paraId="01DCCB77">
            <w:pPr>
              <w:jc w:val="center"/>
            </w:pPr>
          </w:p>
        </w:tc>
        <w:tc>
          <w:tcPr>
            <w:tcW w:w="1264" w:type="dxa"/>
            <w:vMerge w:val="continue"/>
          </w:tcPr>
          <w:p w14:paraId="7B5520B7">
            <w:pPr>
              <w:jc w:val="center"/>
              <w:rPr>
                <w:rFonts w:cs="宋体"/>
                <w:szCs w:val="21"/>
              </w:rPr>
            </w:pPr>
          </w:p>
        </w:tc>
        <w:tc>
          <w:tcPr>
            <w:tcW w:w="1417" w:type="dxa"/>
          </w:tcPr>
          <w:p w14:paraId="531A2B5C">
            <w:pPr>
              <w:jc w:val="center"/>
              <w:rPr>
                <w:rFonts w:cs="宋体"/>
                <w:szCs w:val="21"/>
              </w:rPr>
            </w:pPr>
            <w:r>
              <w:rPr>
                <w:rFonts w:cs="宋体"/>
                <w:szCs w:val="21"/>
              </w:rPr>
              <w:t>11．账户管理</w:t>
            </w:r>
          </w:p>
        </w:tc>
        <w:tc>
          <w:tcPr>
            <w:tcW w:w="5663" w:type="dxa"/>
          </w:tcPr>
          <w:p w14:paraId="56B6E1C7">
            <w:pPr>
              <w:rPr>
                <w:sz w:val="22"/>
              </w:rPr>
            </w:pPr>
            <w:r>
              <w:rPr>
                <w:sz w:val="22"/>
              </w:rPr>
              <w:t>1、创建用户</w:t>
            </w:r>
          </w:p>
          <w:p w14:paraId="323621C2">
            <w:pPr>
              <w:rPr>
                <w:sz w:val="22"/>
              </w:rPr>
            </w:pPr>
            <w:r>
              <w:rPr>
                <w:rFonts w:hint="eastAsia"/>
                <w:sz w:val="22"/>
              </w:rPr>
              <w:t>支持根据用户名、科室、手机号等信息创建用户。</w:t>
            </w:r>
          </w:p>
          <w:p w14:paraId="2CEC7941">
            <w:pPr>
              <w:rPr>
                <w:sz w:val="22"/>
              </w:rPr>
            </w:pPr>
            <w:r>
              <w:rPr>
                <w:sz w:val="22"/>
              </w:rPr>
              <w:t>2、修改用户</w:t>
            </w:r>
          </w:p>
          <w:p w14:paraId="2D4B1A93">
            <w:pPr>
              <w:rPr>
                <w:sz w:val="22"/>
              </w:rPr>
            </w:pPr>
            <w:r>
              <w:rPr>
                <w:rFonts w:hint="eastAsia"/>
                <w:sz w:val="22"/>
              </w:rPr>
              <w:t>支持修改用户的基本信息。</w:t>
            </w:r>
          </w:p>
          <w:p w14:paraId="76A12791">
            <w:pPr>
              <w:rPr>
                <w:sz w:val="22"/>
              </w:rPr>
            </w:pPr>
            <w:r>
              <w:rPr>
                <w:sz w:val="22"/>
              </w:rPr>
              <w:t>3、角色管理</w:t>
            </w:r>
          </w:p>
          <w:p w14:paraId="12226364">
            <w:pPr>
              <w:rPr>
                <w:sz w:val="22"/>
              </w:rPr>
            </w:pPr>
            <w:r>
              <w:rPr>
                <w:rFonts w:hint="eastAsia"/>
                <w:sz w:val="22"/>
              </w:rPr>
              <w:t>支持高级用户、普通用户、录入员、监察员、核查员、数据管理员等不同角色不同权限控制、实现功能数据权限分离。</w:t>
            </w:r>
          </w:p>
          <w:p w14:paraId="737D1BB2">
            <w:pPr>
              <w:rPr>
                <w:sz w:val="22"/>
              </w:rPr>
            </w:pPr>
            <w:r>
              <w:rPr>
                <w:sz w:val="22"/>
              </w:rPr>
              <w:t>4、权限管理</w:t>
            </w:r>
          </w:p>
          <w:p w14:paraId="6BD68C7B">
            <w:pPr>
              <w:rPr>
                <w:sz w:val="22"/>
              </w:rPr>
            </w:pPr>
            <w:r>
              <w:rPr>
                <w:rFonts w:hint="eastAsia"/>
                <w:sz w:val="22"/>
              </w:rPr>
              <w:t>支持管理员赋予用户角色，授予功能使用权限；不同用户开启不同数据授权；支持专病库拥有者自行为用户授权。</w:t>
            </w:r>
          </w:p>
          <w:p w14:paraId="790A6DF9">
            <w:pPr>
              <w:rPr>
                <w:sz w:val="22"/>
              </w:rPr>
            </w:pPr>
            <w:r>
              <w:rPr>
                <w:sz w:val="22"/>
              </w:rPr>
              <w:t>5、数据安全</w:t>
            </w:r>
          </w:p>
          <w:p w14:paraId="08BEDAF5">
            <w:pPr>
              <w:rPr>
                <w:sz w:val="22"/>
              </w:rPr>
            </w:pPr>
            <w:r>
              <w:rPr>
                <w:rFonts w:hint="eastAsia"/>
                <w:sz w:val="22"/>
              </w:rPr>
              <w:t>支持多人同时使用。</w:t>
            </w:r>
          </w:p>
          <w:p w14:paraId="3C699583">
            <w:pPr>
              <w:rPr>
                <w:sz w:val="22"/>
              </w:rPr>
            </w:pPr>
            <w:r>
              <w:rPr>
                <w:rFonts w:hint="eastAsia"/>
                <w:sz w:val="22"/>
              </w:rPr>
              <w:t>隐私保护：实现敏感隐私数据的可靠保护，同时依然保持其他数据的格式和属性。</w:t>
            </w:r>
          </w:p>
          <w:p w14:paraId="1DF92904">
            <w:pPr>
              <w:rPr>
                <w:sz w:val="22"/>
              </w:rPr>
            </w:pPr>
            <w:r>
              <w:rPr>
                <w:rFonts w:hint="eastAsia"/>
                <w:sz w:val="22"/>
              </w:rPr>
              <w:t>数据加密：保护患者敏感信息。</w:t>
            </w:r>
          </w:p>
        </w:tc>
      </w:tr>
      <w:tr w14:paraId="26B0B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6" w:type="dxa"/>
            <w:vMerge w:val="continue"/>
          </w:tcPr>
          <w:p w14:paraId="15779FB1">
            <w:pPr>
              <w:jc w:val="center"/>
            </w:pPr>
          </w:p>
        </w:tc>
        <w:tc>
          <w:tcPr>
            <w:tcW w:w="1264" w:type="dxa"/>
            <w:vMerge w:val="continue"/>
          </w:tcPr>
          <w:p w14:paraId="04E8BCE3">
            <w:pPr>
              <w:jc w:val="center"/>
              <w:rPr>
                <w:rFonts w:cs="宋体"/>
                <w:szCs w:val="21"/>
              </w:rPr>
            </w:pPr>
          </w:p>
        </w:tc>
        <w:tc>
          <w:tcPr>
            <w:tcW w:w="1417" w:type="dxa"/>
          </w:tcPr>
          <w:p w14:paraId="22E53124">
            <w:pPr>
              <w:jc w:val="center"/>
              <w:rPr>
                <w:rFonts w:cs="宋体"/>
                <w:szCs w:val="21"/>
              </w:rPr>
            </w:pPr>
            <w:r>
              <w:rPr>
                <w:rFonts w:cs="宋体"/>
                <w:szCs w:val="21"/>
              </w:rPr>
              <w:t>12．系统管理</w:t>
            </w:r>
          </w:p>
        </w:tc>
        <w:tc>
          <w:tcPr>
            <w:tcW w:w="5663" w:type="dxa"/>
          </w:tcPr>
          <w:p w14:paraId="4DDECEDD">
            <w:pPr>
              <w:rPr>
                <w:sz w:val="22"/>
              </w:rPr>
            </w:pPr>
            <w:r>
              <w:rPr>
                <w:rFonts w:hint="eastAsia"/>
                <w:sz w:val="22"/>
              </w:rPr>
              <w:t>1、</w:t>
            </w:r>
            <w:r>
              <w:rPr>
                <w:sz w:val="22"/>
              </w:rPr>
              <w:t>我的收藏</w:t>
            </w:r>
          </w:p>
          <w:p w14:paraId="3E07E02B">
            <w:pPr>
              <w:rPr>
                <w:sz w:val="22"/>
              </w:rPr>
            </w:pPr>
            <w:r>
              <w:rPr>
                <w:rFonts w:hint="eastAsia"/>
                <w:sz w:val="22"/>
              </w:rPr>
              <w:t>（</w:t>
            </w:r>
            <w:r>
              <w:rPr>
                <w:sz w:val="22"/>
              </w:rPr>
              <w:t>1）患者收藏</w:t>
            </w:r>
          </w:p>
          <w:p w14:paraId="09B231D0">
            <w:pPr>
              <w:rPr>
                <w:sz w:val="22"/>
              </w:rPr>
            </w:pPr>
            <w:r>
              <w:rPr>
                <w:rFonts w:hint="eastAsia"/>
                <w:sz w:val="22"/>
              </w:rPr>
              <w:t>特定患者标签管理，将患者按照标签进行自动分组，可增加分组或编辑已有分组来管理收藏的患者，支持收藏的患者进行数据导出。</w:t>
            </w:r>
          </w:p>
          <w:p w14:paraId="4B6F8861">
            <w:pPr>
              <w:rPr>
                <w:sz w:val="22"/>
              </w:rPr>
            </w:pPr>
            <w:r>
              <w:rPr>
                <w:rFonts w:hint="eastAsia"/>
                <w:sz w:val="22"/>
              </w:rPr>
              <w:t>（</w:t>
            </w:r>
            <w:r>
              <w:rPr>
                <w:sz w:val="22"/>
              </w:rPr>
              <w:t>2）搜索表达式收藏</w:t>
            </w:r>
          </w:p>
          <w:p w14:paraId="132318F4">
            <w:pPr>
              <w:rPr>
                <w:sz w:val="22"/>
              </w:rPr>
            </w:pPr>
            <w:r>
              <w:rPr>
                <w:rFonts w:hint="eastAsia"/>
                <w:sz w:val="22"/>
              </w:rPr>
              <w:t>常用的搜索表达式支持收藏，收藏的搜索表达式可快速加入搜索框进行搜索。</w:t>
            </w:r>
          </w:p>
          <w:p w14:paraId="0999229D">
            <w:pPr>
              <w:rPr>
                <w:sz w:val="22"/>
              </w:rPr>
            </w:pPr>
            <w:r>
              <w:rPr>
                <w:rFonts w:hint="eastAsia"/>
                <w:sz w:val="22"/>
              </w:rPr>
              <w:t>2、</w:t>
            </w:r>
            <w:r>
              <w:rPr>
                <w:sz w:val="22"/>
              </w:rPr>
              <w:t>专病概况维护：</w:t>
            </w:r>
            <w:r>
              <w:rPr>
                <w:rFonts w:hint="eastAsia"/>
                <w:sz w:val="22"/>
              </w:rPr>
              <w:t>支持专病日常维护专病特有的流行病学概况，并同步更新展示在专病首页中。</w:t>
            </w:r>
            <w:r>
              <w:rPr>
                <w:sz w:val="22"/>
              </w:rPr>
              <w:t>专病入库条件&amp;就诊时间维护：</w:t>
            </w:r>
            <w:r>
              <w:rPr>
                <w:rFonts w:hint="eastAsia"/>
                <w:sz w:val="22"/>
              </w:rPr>
              <w:t>支持专病日常维护专病特有的入库条件和患者就诊时间范围，并同步更新展示在专病首页中，以便专病使用者知晓。</w:t>
            </w:r>
          </w:p>
        </w:tc>
      </w:tr>
    </w:tbl>
    <w:p w14:paraId="48E4A50A">
      <w:pPr>
        <w:rPr>
          <w:lang w:val="zh-CN"/>
        </w:rPr>
      </w:pPr>
    </w:p>
    <w:p w14:paraId="1538EFCB">
      <w:pPr>
        <w:pStyle w:val="2"/>
        <w:rPr>
          <w:sz w:val="21"/>
          <w:szCs w:val="21"/>
        </w:rPr>
      </w:pPr>
      <w:bookmarkStart w:id="1" w:name="_6.1.2、容器服务器"/>
      <w:bookmarkEnd w:id="1"/>
      <w:bookmarkStart w:id="2" w:name="_6.1.1、大数据服务器"/>
      <w:bookmarkEnd w:id="2"/>
      <w:r>
        <w:rPr>
          <w:rFonts w:hint="eastAsia"/>
        </w:rPr>
        <w:t>项目工期</w:t>
      </w:r>
    </w:p>
    <w:p w14:paraId="3DEB0C80">
      <w:pPr>
        <w:pStyle w:val="51"/>
        <w:numPr>
          <w:ilvl w:val="0"/>
          <w:numId w:val="5"/>
        </w:numPr>
      </w:pPr>
      <w:r>
        <w:rPr>
          <w:rFonts w:hint="eastAsia"/>
        </w:rPr>
        <w:t>自合同签订日起，须在</w:t>
      </w:r>
      <w:r>
        <w:t>15</w:t>
      </w:r>
      <w:r>
        <w:rPr>
          <w:rFonts w:hint="eastAsia"/>
        </w:rPr>
        <w:t>_个工作日内对《用户需求说明书》进行补充、确认或提出意见。</w:t>
      </w:r>
    </w:p>
    <w:p w14:paraId="2ECDFDA7">
      <w:pPr>
        <w:pStyle w:val="51"/>
        <w:numPr>
          <w:ilvl w:val="0"/>
          <w:numId w:val="5"/>
        </w:numPr>
      </w:pPr>
      <w:r>
        <w:rPr>
          <w:rFonts w:hint="eastAsia"/>
        </w:rPr>
        <w:t>对《用户需求说明书》提出意见后，院方组织进行用户需求调研，根据调研情况提供业务调研记录、现况分析、功能设计及说明，双方共同整理并在</w:t>
      </w:r>
      <w:r>
        <w:rPr>
          <w:rFonts w:hint="eastAsia"/>
          <w:u w:val="single"/>
        </w:rPr>
        <w:t xml:space="preserve"> </w:t>
      </w:r>
      <w:r>
        <w:rPr>
          <w:u w:val="single"/>
        </w:rPr>
        <w:t>15</w:t>
      </w:r>
      <w:r>
        <w:rPr>
          <w:rFonts w:hint="eastAsia"/>
          <w:u w:val="single"/>
        </w:rPr>
        <w:t xml:space="preserve"> </w:t>
      </w:r>
      <w:r>
        <w:rPr>
          <w:rFonts w:hint="eastAsia"/>
        </w:rPr>
        <w:t>个工作日内确认《需求规格说明书》。</w:t>
      </w:r>
    </w:p>
    <w:p w14:paraId="2B4FBD85">
      <w:pPr>
        <w:pStyle w:val="51"/>
        <w:numPr>
          <w:ilvl w:val="0"/>
          <w:numId w:val="5"/>
        </w:numPr>
      </w:pPr>
      <w:r>
        <w:rPr>
          <w:rFonts w:hint="eastAsia"/>
        </w:rPr>
        <w:t>须在《需求规格说明书》确认后的</w:t>
      </w:r>
      <w:r>
        <w:rPr>
          <w:u w:val="single"/>
          <w:lang w:val="en-US"/>
        </w:rPr>
        <w:t>180</w:t>
      </w:r>
      <w:r>
        <w:rPr>
          <w:rFonts w:hint="eastAsia"/>
        </w:rPr>
        <w:t>工作日内完成实施保证系统正常工作。</w:t>
      </w:r>
    </w:p>
    <w:p w14:paraId="6C9B68EB">
      <w:pPr>
        <w:pStyle w:val="51"/>
        <w:numPr>
          <w:ilvl w:val="0"/>
          <w:numId w:val="5"/>
        </w:numPr>
      </w:pPr>
      <w:r>
        <w:rPr>
          <w:rFonts w:hint="eastAsia"/>
        </w:rPr>
        <w:t>完成软件实施，并根据院方提出的新需求完成修改后，系统运行</w:t>
      </w:r>
      <w:r>
        <w:rPr>
          <w:u w:val="single"/>
        </w:rPr>
        <w:t>1</w:t>
      </w:r>
      <w:r>
        <w:rPr>
          <w:rFonts w:hint="eastAsia"/>
        </w:rPr>
        <w:t>月以上无软件故障出现，则向院方申请验收。</w:t>
      </w:r>
    </w:p>
    <w:p w14:paraId="0EEB35F5">
      <w:pPr>
        <w:pStyle w:val="2"/>
        <w:rPr>
          <w:color w:val="FF0000"/>
        </w:rPr>
      </w:pPr>
      <w:r>
        <w:rPr>
          <w:rFonts w:hint="eastAsia"/>
        </w:rPr>
        <w:t>集成技术及实施</w:t>
      </w:r>
      <w:r>
        <w:t>服务要求</w:t>
      </w:r>
    </w:p>
    <w:p w14:paraId="7755CB74">
      <w:r>
        <w:rPr>
          <w:rFonts w:hint="eastAsia"/>
        </w:rPr>
        <w:t>项目实为现场实施，工作时间与院方工作时间一致，并且提供7*24小时响应服务。</w:t>
      </w:r>
    </w:p>
    <w:p w14:paraId="275938C9">
      <w:r>
        <w:rPr>
          <w:rFonts w:hint="eastAsia"/>
        </w:rPr>
        <w:t>项目承建商需依据国家最新等级保护标准完成系统功能建设；上线前软件需通过院方信息部门组织的安全测评、漏洞扫描、渗透测试等安全检查，项目承建商根据检测结果对安全漏洞进行整改。</w:t>
      </w:r>
    </w:p>
    <w:p w14:paraId="02FEA2FF">
      <w:r>
        <w:rPr>
          <w:rFonts w:hint="eastAsia"/>
        </w:rPr>
        <w:t>项目承建商需根据院方的详细需求，提交项目系统的安装、调试及培训实施方案，方案得到院方确认后实施，保证系统按时、正常地投入运行。</w:t>
      </w:r>
    </w:p>
    <w:p w14:paraId="4495DB61">
      <w:r>
        <w:rPr>
          <w:rFonts w:hint="eastAsia"/>
        </w:rPr>
        <w:t>项目承建商应为院方进行培训，包括使用培训和维护培训。承建商应提出详细的培训计划，提供培训教材。技术培训的内容必须覆盖产品的安装、日常操作和管理维护。</w:t>
      </w:r>
    </w:p>
    <w:p w14:paraId="4FE8692F">
      <w:r>
        <w:rPr>
          <w:rFonts w:hint="eastAsia"/>
        </w:rPr>
        <w:t>验收由承建商给出具体的验收计划、测试的内容和方法，经院方审核通过后，方可进行验收测试。</w:t>
      </w:r>
    </w:p>
    <w:p w14:paraId="0B09E42C"/>
    <w:p w14:paraId="01CA2E43">
      <w:pPr>
        <w:pStyle w:val="2"/>
        <w:rPr>
          <w:color w:val="FF0000"/>
        </w:rPr>
      </w:pPr>
      <w:r>
        <w:rPr>
          <w:rFonts w:hint="eastAsia"/>
        </w:rPr>
        <w:t>后续维护服务</w:t>
      </w:r>
    </w:p>
    <w:p w14:paraId="64EAFBC8">
      <w:pPr>
        <w:tabs>
          <w:tab w:val="left" w:pos="780"/>
        </w:tabs>
        <w:spacing w:before="156" w:beforeLines="50"/>
        <w:ind w:firstLine="420" w:firstLineChars="200"/>
        <w:outlineLvl w:val="0"/>
        <w:rPr>
          <w:szCs w:val="21"/>
        </w:rPr>
      </w:pPr>
      <w:r>
        <w:rPr>
          <w:szCs w:val="21"/>
        </w:rPr>
        <w:t>本项目软件维护期从软件验收合格之日算起，期限为</w:t>
      </w:r>
      <w:r>
        <w:rPr>
          <w:szCs w:val="21"/>
          <w:u w:val="single"/>
        </w:rPr>
        <w:t>36</w:t>
      </w:r>
      <w:r>
        <w:rPr>
          <w:szCs w:val="21"/>
        </w:rPr>
        <w:t>个月。在维护期内，承建商提供技术支持和指导，以及功能的局部改进完善、故障情况下的现场问题解决。</w:t>
      </w:r>
    </w:p>
    <w:p w14:paraId="183181A9">
      <w:pPr>
        <w:tabs>
          <w:tab w:val="left" w:pos="780"/>
        </w:tabs>
        <w:spacing w:before="156" w:beforeLines="50"/>
        <w:ind w:firstLine="420" w:firstLineChars="200"/>
        <w:outlineLvl w:val="0"/>
        <w:rPr>
          <w:szCs w:val="21"/>
        </w:rPr>
      </w:pPr>
      <w:r>
        <w:rPr>
          <w:szCs w:val="21"/>
        </w:rPr>
        <w:t>维保期内承建商为院方提供专职技术人员进行维护服务，工作时间与院方工作时间一致，并且提供7*24小时响应服务。</w:t>
      </w:r>
    </w:p>
    <w:p w14:paraId="06E8D95F">
      <w:pPr>
        <w:tabs>
          <w:tab w:val="left" w:pos="780"/>
        </w:tabs>
        <w:spacing w:before="156" w:beforeLines="50"/>
        <w:ind w:firstLine="420" w:firstLineChars="200"/>
        <w:outlineLvl w:val="0"/>
        <w:rPr>
          <w:szCs w:val="21"/>
        </w:rPr>
      </w:pPr>
      <w:r>
        <w:rPr>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305EDF54">
      <w:pPr>
        <w:tabs>
          <w:tab w:val="left" w:pos="780"/>
        </w:tabs>
        <w:spacing w:before="156" w:beforeLines="50"/>
        <w:ind w:firstLine="420" w:firstLineChars="200"/>
        <w:outlineLvl w:val="0"/>
        <w:rPr>
          <w:szCs w:val="21"/>
        </w:rPr>
      </w:pPr>
      <w:r>
        <w:rPr>
          <w:szCs w:val="21"/>
        </w:rPr>
        <w:t>超过维护期的，双方另行协商签订维护合同，其中软件部分年维护费不超过合同软件部分金额的</w:t>
      </w:r>
      <w:r>
        <w:rPr>
          <w:rFonts w:hint="eastAsia"/>
          <w:szCs w:val="21"/>
        </w:rPr>
        <w:t>5</w:t>
      </w:r>
      <w:r>
        <w:rPr>
          <w:szCs w:val="21"/>
        </w:rPr>
        <w:t>%。</w:t>
      </w:r>
    </w:p>
    <w:p w14:paraId="1A9C648B">
      <w:pPr>
        <w:pStyle w:val="2"/>
        <w:rPr>
          <w:color w:val="FF0000"/>
        </w:rPr>
      </w:pPr>
      <w:r>
        <w:rPr>
          <w:rFonts w:hint="eastAsia"/>
        </w:rPr>
        <w:t>合同款支付方式</w:t>
      </w:r>
    </w:p>
    <w:p w14:paraId="0A604B5D">
      <w:pPr>
        <w:ind w:firstLine="420" w:firstLineChars="200"/>
        <w:rPr>
          <w:szCs w:val="21"/>
        </w:rPr>
      </w:pPr>
      <w:r>
        <w:rPr>
          <w:szCs w:val="21"/>
        </w:rPr>
        <w:t>(一)合同签订后，在收到承建商提供合同总金额的</w:t>
      </w:r>
      <w:r>
        <w:rPr>
          <w:rFonts w:hint="eastAsia"/>
          <w:szCs w:val="21"/>
        </w:rPr>
        <w:t>7</w:t>
      </w:r>
      <w:r>
        <w:rPr>
          <w:szCs w:val="21"/>
        </w:rPr>
        <w:t>0%的预付款保函，以及开具相应金额正式发票后，支付合同总金额的100%。</w:t>
      </w:r>
    </w:p>
    <w:p w14:paraId="74FF3E7B">
      <w:pPr>
        <w:ind w:firstLine="420" w:firstLineChars="200"/>
        <w:rPr>
          <w:szCs w:val="21"/>
        </w:rPr>
      </w:pPr>
      <w:r>
        <w:rPr>
          <w:szCs w:val="21"/>
        </w:rPr>
        <w:t>(二)软件验收通过后，承建商提供《售后服务履约承诺函》后，院方退还承建商提供的预付款保函。</w:t>
      </w:r>
    </w:p>
    <w:p w14:paraId="6AE0F069">
      <w:pPr>
        <w:ind w:firstLine="420" w:firstLineChars="200"/>
        <w:rPr>
          <w:szCs w:val="21"/>
        </w:rPr>
      </w:pPr>
      <w:r>
        <w:rPr>
          <w:szCs w:val="21"/>
        </w:rPr>
        <w:t>(</w:t>
      </w:r>
      <w:r>
        <w:rPr>
          <w:rFonts w:hint="eastAsia"/>
          <w:szCs w:val="21"/>
        </w:rPr>
        <w:t>三</w:t>
      </w:r>
      <w:r>
        <w:rPr>
          <w:szCs w:val="21"/>
        </w:rPr>
        <w:t>)银行预付款保函期限届满前40天，仍未达到院方退还条件的，乙方有责任第一时间办理银行保函延期手续，保证银行保函的有效期限，直至符合院方的退还条件。</w:t>
      </w:r>
    </w:p>
    <w:p w14:paraId="3CFC7C9E"/>
    <w:sectPr>
      <w:pgSz w:w="11906" w:h="16838"/>
      <w:pgMar w:top="1021" w:right="1418" w:bottom="1021" w:left="1418" w:header="851" w:footer="992" w:gutter="0"/>
      <w:pgNumType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32700"/>
    <w:multiLevelType w:val="multilevel"/>
    <w:tmpl w:val="03532700"/>
    <w:lvl w:ilvl="0" w:tentative="0">
      <w:start w:val="1"/>
      <w:numFmt w:val="decimal"/>
      <w:pStyle w:val="51"/>
      <w:lvlText w:val="（%1）"/>
      <w:lvlJc w:val="left"/>
      <w:pPr>
        <w:ind w:left="927" w:hanging="360"/>
      </w:pPr>
      <w:rPr>
        <w:rFonts w:hint="eastAsia" w:ascii="宋体" w:hAnsi="宋体" w:eastAsia="宋体"/>
        <w:b w:val="0"/>
      </w:rPr>
    </w:lvl>
    <w:lvl w:ilvl="1" w:tentative="0">
      <w:start w:val="1"/>
      <w:numFmt w:val="lowerLetter"/>
      <w:lvlText w:val="%2)"/>
      <w:lvlJc w:val="left"/>
      <w:pPr>
        <w:ind w:left="-10" w:hanging="420"/>
      </w:pPr>
    </w:lvl>
    <w:lvl w:ilvl="2" w:tentative="0">
      <w:start w:val="1"/>
      <w:numFmt w:val="lowerRoman"/>
      <w:lvlText w:val="%3."/>
      <w:lvlJc w:val="right"/>
      <w:pPr>
        <w:ind w:left="410" w:hanging="420"/>
      </w:pPr>
    </w:lvl>
    <w:lvl w:ilvl="3" w:tentative="0">
      <w:start w:val="1"/>
      <w:numFmt w:val="decimal"/>
      <w:lvlText w:val="%4."/>
      <w:lvlJc w:val="left"/>
      <w:pPr>
        <w:ind w:left="830" w:hanging="420"/>
      </w:pPr>
    </w:lvl>
    <w:lvl w:ilvl="4" w:tentative="0">
      <w:start w:val="1"/>
      <w:numFmt w:val="lowerLetter"/>
      <w:lvlText w:val="%5)"/>
      <w:lvlJc w:val="left"/>
      <w:pPr>
        <w:ind w:left="1250" w:hanging="420"/>
      </w:pPr>
    </w:lvl>
    <w:lvl w:ilvl="5" w:tentative="0">
      <w:start w:val="1"/>
      <w:numFmt w:val="lowerRoman"/>
      <w:lvlText w:val="%6."/>
      <w:lvlJc w:val="right"/>
      <w:pPr>
        <w:ind w:left="1670" w:hanging="420"/>
      </w:pPr>
    </w:lvl>
    <w:lvl w:ilvl="6" w:tentative="0">
      <w:start w:val="1"/>
      <w:numFmt w:val="decimal"/>
      <w:lvlText w:val="%7."/>
      <w:lvlJc w:val="left"/>
      <w:pPr>
        <w:ind w:left="2090" w:hanging="420"/>
      </w:pPr>
    </w:lvl>
    <w:lvl w:ilvl="7" w:tentative="0">
      <w:start w:val="1"/>
      <w:numFmt w:val="lowerLetter"/>
      <w:lvlText w:val="%8)"/>
      <w:lvlJc w:val="left"/>
      <w:pPr>
        <w:ind w:left="2510" w:hanging="420"/>
      </w:pPr>
    </w:lvl>
    <w:lvl w:ilvl="8" w:tentative="0">
      <w:start w:val="1"/>
      <w:numFmt w:val="lowerRoman"/>
      <w:lvlText w:val="%9."/>
      <w:lvlJc w:val="right"/>
      <w:pPr>
        <w:ind w:left="2930" w:hanging="420"/>
      </w:pPr>
    </w:lvl>
  </w:abstractNum>
  <w:abstractNum w:abstractNumId="1">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9015205"/>
    <w:multiLevelType w:val="multilevel"/>
    <w:tmpl w:val="29015205"/>
    <w:lvl w:ilvl="0" w:tentative="0">
      <w:start w:val="1"/>
      <w:numFmt w:val="decimal"/>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3">
    <w:nsid w:val="3EBB3C91"/>
    <w:multiLevelType w:val="multilevel"/>
    <w:tmpl w:val="3EBB3C91"/>
    <w:lvl w:ilvl="0" w:tentative="0">
      <w:start w:val="1"/>
      <w:numFmt w:val="decimal"/>
      <w:pStyle w:val="60"/>
      <w:lvlText w:val="%1. "/>
      <w:lvlJc w:val="left"/>
      <w:pPr>
        <w:ind w:left="420" w:hanging="420"/>
      </w:pPr>
      <w:rPr>
        <w:rFonts w:hint="default" w:ascii="Times New Roman" w:hAnsi="Times New Roman" w:eastAsia="宋体"/>
        <w:b/>
        <w:i w:val="0"/>
      </w:rPr>
    </w:lvl>
    <w:lvl w:ilvl="1" w:tentative="0">
      <w:start w:val="1"/>
      <w:numFmt w:val="decimal"/>
      <w:pStyle w:val="53"/>
      <w:isLgl/>
      <w:suff w:val="space"/>
      <w:lvlText w:val="%1.%2 "/>
      <w:lvlJc w:val="left"/>
      <w:pPr>
        <w:ind w:left="3913" w:hanging="794"/>
      </w:pPr>
      <w:rPr>
        <w:rFonts w:hint="eastAsia"/>
      </w:rPr>
    </w:lvl>
    <w:lvl w:ilvl="2" w:tentative="0">
      <w:start w:val="1"/>
      <w:numFmt w:val="decimal"/>
      <w:pStyle w:val="59"/>
      <w:isLgl/>
      <w:suff w:val="space"/>
      <w:lvlText w:val="%1.%2.%3 "/>
      <w:lvlJc w:val="left"/>
      <w:pPr>
        <w:ind w:left="907" w:hanging="907"/>
      </w:pPr>
      <w:rPr>
        <w:rFonts w:hint="eastAsia"/>
      </w:rPr>
    </w:lvl>
    <w:lvl w:ilvl="3" w:tentative="0">
      <w:start w:val="1"/>
      <w:numFmt w:val="decimal"/>
      <w:pStyle w:val="58"/>
      <w:isLgl/>
      <w:suff w:val="space"/>
      <w:lvlText w:val="%1.%2.%3.%4 "/>
      <w:lvlJc w:val="left"/>
      <w:pPr>
        <w:ind w:left="1021" w:hanging="1021"/>
      </w:pPr>
      <w:rPr>
        <w:rFonts w:hint="eastAsia"/>
      </w:rPr>
    </w:lvl>
    <w:lvl w:ilvl="4" w:tentative="0">
      <w:start w:val="1"/>
      <w:numFmt w:val="decimal"/>
      <w:pStyle w:val="63"/>
      <w:isLgl/>
      <w:suff w:val="space"/>
      <w:lvlText w:val="%1.%2.%3.%4.%5 "/>
      <w:lvlJc w:val="left"/>
      <w:pPr>
        <w:ind w:left="1134" w:hanging="1134"/>
      </w:pPr>
      <w:rPr>
        <w:rFonts w:hint="eastAsia"/>
      </w:rPr>
    </w:lvl>
    <w:lvl w:ilvl="5" w:tentative="0">
      <w:start w:val="1"/>
      <w:numFmt w:val="decimal"/>
      <w:pStyle w:val="57"/>
      <w:isLgl/>
      <w:suff w:val="space"/>
      <w:lvlText w:val="%1.%2.%3.%4.%5.%6 "/>
      <w:lvlJc w:val="left"/>
      <w:pPr>
        <w:ind w:left="1247" w:hanging="1247"/>
      </w:pPr>
      <w:rPr>
        <w:rFonts w:hint="eastAsia"/>
      </w:rPr>
    </w:lvl>
    <w:lvl w:ilvl="6" w:tentative="0">
      <w:start w:val="1"/>
      <w:numFmt w:val="decimal"/>
      <w:lvlRestart w:val="1"/>
      <w:pStyle w:val="52"/>
      <w:isLgl/>
      <w:suff w:val="space"/>
      <w:lvlText w:val="图 %1.%7 "/>
      <w:lvlJc w:val="left"/>
      <w:pPr>
        <w:ind w:left="0" w:firstLine="0"/>
      </w:pPr>
      <w:rPr>
        <w:rFonts w:hint="eastAsia"/>
      </w:rPr>
    </w:lvl>
    <w:lvl w:ilvl="7" w:tentative="0">
      <w:start w:val="1"/>
      <w:numFmt w:val="decimal"/>
      <w:lvlRestart w:val="1"/>
      <w:pStyle w:val="62"/>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424A4138"/>
    <w:multiLevelType w:val="multilevel"/>
    <w:tmpl w:val="424A4138"/>
    <w:lvl w:ilvl="0" w:tentative="0">
      <w:start w:val="1"/>
      <w:numFmt w:val="chineseCountingThousand"/>
      <w:pStyle w:val="2"/>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303343"/>
    <w:rsid w:val="000051D2"/>
    <w:rsid w:val="000079DD"/>
    <w:rsid w:val="00012DCC"/>
    <w:rsid w:val="00015A20"/>
    <w:rsid w:val="00016B63"/>
    <w:rsid w:val="00036CDE"/>
    <w:rsid w:val="00042DAC"/>
    <w:rsid w:val="0004334E"/>
    <w:rsid w:val="00046B39"/>
    <w:rsid w:val="0004751D"/>
    <w:rsid w:val="00054706"/>
    <w:rsid w:val="00057318"/>
    <w:rsid w:val="00066DE7"/>
    <w:rsid w:val="00074EDD"/>
    <w:rsid w:val="000757C1"/>
    <w:rsid w:val="00086AE0"/>
    <w:rsid w:val="0009064D"/>
    <w:rsid w:val="00090767"/>
    <w:rsid w:val="00090A18"/>
    <w:rsid w:val="000A634A"/>
    <w:rsid w:val="000B41B7"/>
    <w:rsid w:val="000C474A"/>
    <w:rsid w:val="000D5317"/>
    <w:rsid w:val="000E130D"/>
    <w:rsid w:val="000E276C"/>
    <w:rsid w:val="000F39D2"/>
    <w:rsid w:val="00106D68"/>
    <w:rsid w:val="001106CE"/>
    <w:rsid w:val="001107F8"/>
    <w:rsid w:val="001116F6"/>
    <w:rsid w:val="001161EB"/>
    <w:rsid w:val="00121E40"/>
    <w:rsid w:val="00122442"/>
    <w:rsid w:val="0012322D"/>
    <w:rsid w:val="0012351B"/>
    <w:rsid w:val="00123CDF"/>
    <w:rsid w:val="00123FCC"/>
    <w:rsid w:val="00126D47"/>
    <w:rsid w:val="00135BF9"/>
    <w:rsid w:val="001365DD"/>
    <w:rsid w:val="00136606"/>
    <w:rsid w:val="00140E0C"/>
    <w:rsid w:val="001410B7"/>
    <w:rsid w:val="0014437A"/>
    <w:rsid w:val="00152801"/>
    <w:rsid w:val="00153AB3"/>
    <w:rsid w:val="001548BA"/>
    <w:rsid w:val="00156B1F"/>
    <w:rsid w:val="00157F4E"/>
    <w:rsid w:val="00157F5A"/>
    <w:rsid w:val="00162D29"/>
    <w:rsid w:val="00164878"/>
    <w:rsid w:val="00165091"/>
    <w:rsid w:val="00171903"/>
    <w:rsid w:val="0018200C"/>
    <w:rsid w:val="001833B6"/>
    <w:rsid w:val="00190CD2"/>
    <w:rsid w:val="00194BFE"/>
    <w:rsid w:val="00195E5E"/>
    <w:rsid w:val="001A22A1"/>
    <w:rsid w:val="001A7069"/>
    <w:rsid w:val="001B4850"/>
    <w:rsid w:val="001B7966"/>
    <w:rsid w:val="001B7D79"/>
    <w:rsid w:val="001C23B3"/>
    <w:rsid w:val="001C7BC6"/>
    <w:rsid w:val="001D4A68"/>
    <w:rsid w:val="001D7749"/>
    <w:rsid w:val="001E3B38"/>
    <w:rsid w:val="001E6718"/>
    <w:rsid w:val="001F48E8"/>
    <w:rsid w:val="00200054"/>
    <w:rsid w:val="002000DE"/>
    <w:rsid w:val="00202EFF"/>
    <w:rsid w:val="00203D4C"/>
    <w:rsid w:val="0020509F"/>
    <w:rsid w:val="00207A96"/>
    <w:rsid w:val="00207CA7"/>
    <w:rsid w:val="0021063E"/>
    <w:rsid w:val="00214A6F"/>
    <w:rsid w:val="00221F1F"/>
    <w:rsid w:val="00222CBA"/>
    <w:rsid w:val="00223E47"/>
    <w:rsid w:val="00241D77"/>
    <w:rsid w:val="002509F5"/>
    <w:rsid w:val="002535AA"/>
    <w:rsid w:val="00261CBC"/>
    <w:rsid w:val="00265DE7"/>
    <w:rsid w:val="00270260"/>
    <w:rsid w:val="002722CA"/>
    <w:rsid w:val="00276392"/>
    <w:rsid w:val="002834D3"/>
    <w:rsid w:val="002853BF"/>
    <w:rsid w:val="00292060"/>
    <w:rsid w:val="00292528"/>
    <w:rsid w:val="002A01D6"/>
    <w:rsid w:val="002A4778"/>
    <w:rsid w:val="002C3FD0"/>
    <w:rsid w:val="002C53D1"/>
    <w:rsid w:val="002D6BE1"/>
    <w:rsid w:val="002F107C"/>
    <w:rsid w:val="002F31F1"/>
    <w:rsid w:val="002F7848"/>
    <w:rsid w:val="003024F8"/>
    <w:rsid w:val="00303343"/>
    <w:rsid w:val="00303CAB"/>
    <w:rsid w:val="003042A2"/>
    <w:rsid w:val="00304636"/>
    <w:rsid w:val="00311322"/>
    <w:rsid w:val="00314487"/>
    <w:rsid w:val="00314A5A"/>
    <w:rsid w:val="003208AC"/>
    <w:rsid w:val="00322973"/>
    <w:rsid w:val="003325F0"/>
    <w:rsid w:val="00333C32"/>
    <w:rsid w:val="00341038"/>
    <w:rsid w:val="00352E7C"/>
    <w:rsid w:val="00353276"/>
    <w:rsid w:val="00360458"/>
    <w:rsid w:val="00366980"/>
    <w:rsid w:val="003709E4"/>
    <w:rsid w:val="00370A5D"/>
    <w:rsid w:val="003802E2"/>
    <w:rsid w:val="00385E95"/>
    <w:rsid w:val="00385FED"/>
    <w:rsid w:val="00397B7E"/>
    <w:rsid w:val="003A35BF"/>
    <w:rsid w:val="003A7269"/>
    <w:rsid w:val="003C0FB7"/>
    <w:rsid w:val="003C6125"/>
    <w:rsid w:val="003C6D81"/>
    <w:rsid w:val="003D0F80"/>
    <w:rsid w:val="003D2595"/>
    <w:rsid w:val="003E652A"/>
    <w:rsid w:val="003E7083"/>
    <w:rsid w:val="003F3286"/>
    <w:rsid w:val="003F629F"/>
    <w:rsid w:val="00403938"/>
    <w:rsid w:val="00410B1A"/>
    <w:rsid w:val="00413DA3"/>
    <w:rsid w:val="00414171"/>
    <w:rsid w:val="0041787F"/>
    <w:rsid w:val="00423450"/>
    <w:rsid w:val="0042702D"/>
    <w:rsid w:val="00435C81"/>
    <w:rsid w:val="0044060A"/>
    <w:rsid w:val="00440F72"/>
    <w:rsid w:val="00447D72"/>
    <w:rsid w:val="004565AA"/>
    <w:rsid w:val="00456A2C"/>
    <w:rsid w:val="00456BBD"/>
    <w:rsid w:val="004630DC"/>
    <w:rsid w:val="00474AE0"/>
    <w:rsid w:val="0047796F"/>
    <w:rsid w:val="00477EA1"/>
    <w:rsid w:val="00481D06"/>
    <w:rsid w:val="00482931"/>
    <w:rsid w:val="00491A50"/>
    <w:rsid w:val="004937B8"/>
    <w:rsid w:val="00495574"/>
    <w:rsid w:val="004A0D14"/>
    <w:rsid w:val="004A44FF"/>
    <w:rsid w:val="004A6ECE"/>
    <w:rsid w:val="004B4FDA"/>
    <w:rsid w:val="004C2C5B"/>
    <w:rsid w:val="004E2D8F"/>
    <w:rsid w:val="004E5E61"/>
    <w:rsid w:val="004F1410"/>
    <w:rsid w:val="00500264"/>
    <w:rsid w:val="00505F7F"/>
    <w:rsid w:val="00506C2C"/>
    <w:rsid w:val="00510B1E"/>
    <w:rsid w:val="005120A9"/>
    <w:rsid w:val="00515406"/>
    <w:rsid w:val="00517D7C"/>
    <w:rsid w:val="00517EC1"/>
    <w:rsid w:val="00520646"/>
    <w:rsid w:val="0052176F"/>
    <w:rsid w:val="005220BB"/>
    <w:rsid w:val="00524582"/>
    <w:rsid w:val="0052458A"/>
    <w:rsid w:val="0052604B"/>
    <w:rsid w:val="0053088D"/>
    <w:rsid w:val="00534BF6"/>
    <w:rsid w:val="005358D0"/>
    <w:rsid w:val="00537CDE"/>
    <w:rsid w:val="005409FC"/>
    <w:rsid w:val="005563D3"/>
    <w:rsid w:val="00575F76"/>
    <w:rsid w:val="005766CE"/>
    <w:rsid w:val="00580F0E"/>
    <w:rsid w:val="00591388"/>
    <w:rsid w:val="0059358B"/>
    <w:rsid w:val="005944F9"/>
    <w:rsid w:val="00596428"/>
    <w:rsid w:val="00596CC5"/>
    <w:rsid w:val="005A4D1C"/>
    <w:rsid w:val="005B046D"/>
    <w:rsid w:val="005B2FDE"/>
    <w:rsid w:val="005B33AE"/>
    <w:rsid w:val="005B62C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37A3"/>
    <w:rsid w:val="006279C6"/>
    <w:rsid w:val="006354A5"/>
    <w:rsid w:val="00641051"/>
    <w:rsid w:val="00642A41"/>
    <w:rsid w:val="00644F1D"/>
    <w:rsid w:val="00646B59"/>
    <w:rsid w:val="0065760C"/>
    <w:rsid w:val="006604C2"/>
    <w:rsid w:val="006861F5"/>
    <w:rsid w:val="00691933"/>
    <w:rsid w:val="00697FBB"/>
    <w:rsid w:val="006A73C4"/>
    <w:rsid w:val="006B2085"/>
    <w:rsid w:val="006B21B8"/>
    <w:rsid w:val="006B4C32"/>
    <w:rsid w:val="006B7B58"/>
    <w:rsid w:val="006C36EB"/>
    <w:rsid w:val="006D4B15"/>
    <w:rsid w:val="006D59F7"/>
    <w:rsid w:val="006D74CE"/>
    <w:rsid w:val="006E5E07"/>
    <w:rsid w:val="006E7FB5"/>
    <w:rsid w:val="006F0434"/>
    <w:rsid w:val="00701D12"/>
    <w:rsid w:val="0070239F"/>
    <w:rsid w:val="007035BA"/>
    <w:rsid w:val="007122DD"/>
    <w:rsid w:val="0072309C"/>
    <w:rsid w:val="0072695B"/>
    <w:rsid w:val="0074224C"/>
    <w:rsid w:val="007452A8"/>
    <w:rsid w:val="00745DB7"/>
    <w:rsid w:val="00750A70"/>
    <w:rsid w:val="00752912"/>
    <w:rsid w:val="007556BE"/>
    <w:rsid w:val="007621CC"/>
    <w:rsid w:val="0076668A"/>
    <w:rsid w:val="00784C08"/>
    <w:rsid w:val="00785EDF"/>
    <w:rsid w:val="00786A29"/>
    <w:rsid w:val="00795F59"/>
    <w:rsid w:val="007C0A5B"/>
    <w:rsid w:val="007C1D51"/>
    <w:rsid w:val="007C70F8"/>
    <w:rsid w:val="007D22AB"/>
    <w:rsid w:val="007D6D52"/>
    <w:rsid w:val="007E14A2"/>
    <w:rsid w:val="007E71E6"/>
    <w:rsid w:val="007F5726"/>
    <w:rsid w:val="007F5938"/>
    <w:rsid w:val="007F6CE5"/>
    <w:rsid w:val="00806378"/>
    <w:rsid w:val="008159CC"/>
    <w:rsid w:val="008168FB"/>
    <w:rsid w:val="00822BA6"/>
    <w:rsid w:val="00823861"/>
    <w:rsid w:val="0083632B"/>
    <w:rsid w:val="008419E9"/>
    <w:rsid w:val="0085388B"/>
    <w:rsid w:val="00853906"/>
    <w:rsid w:val="008548FB"/>
    <w:rsid w:val="008623FD"/>
    <w:rsid w:val="00866774"/>
    <w:rsid w:val="00867873"/>
    <w:rsid w:val="00873B97"/>
    <w:rsid w:val="008A5268"/>
    <w:rsid w:val="008A62AC"/>
    <w:rsid w:val="008B2206"/>
    <w:rsid w:val="008C255D"/>
    <w:rsid w:val="008D0997"/>
    <w:rsid w:val="008D3291"/>
    <w:rsid w:val="008D59AA"/>
    <w:rsid w:val="008E145D"/>
    <w:rsid w:val="008E2B56"/>
    <w:rsid w:val="008E69C8"/>
    <w:rsid w:val="008F1590"/>
    <w:rsid w:val="00900232"/>
    <w:rsid w:val="00900BAA"/>
    <w:rsid w:val="00903734"/>
    <w:rsid w:val="00903878"/>
    <w:rsid w:val="00903CF6"/>
    <w:rsid w:val="009052C7"/>
    <w:rsid w:val="00905FFA"/>
    <w:rsid w:val="00917352"/>
    <w:rsid w:val="0092017A"/>
    <w:rsid w:val="00922032"/>
    <w:rsid w:val="00924E0E"/>
    <w:rsid w:val="00925C23"/>
    <w:rsid w:val="00927E08"/>
    <w:rsid w:val="009303FA"/>
    <w:rsid w:val="00941F0C"/>
    <w:rsid w:val="00943004"/>
    <w:rsid w:val="00966A88"/>
    <w:rsid w:val="00972802"/>
    <w:rsid w:val="00973A47"/>
    <w:rsid w:val="0097420B"/>
    <w:rsid w:val="00981ED8"/>
    <w:rsid w:val="009822C7"/>
    <w:rsid w:val="00982AA3"/>
    <w:rsid w:val="009863EF"/>
    <w:rsid w:val="00986A41"/>
    <w:rsid w:val="0098719A"/>
    <w:rsid w:val="00991FF2"/>
    <w:rsid w:val="0099315B"/>
    <w:rsid w:val="00995DD9"/>
    <w:rsid w:val="009B1A30"/>
    <w:rsid w:val="009B4476"/>
    <w:rsid w:val="009C1F02"/>
    <w:rsid w:val="009C2089"/>
    <w:rsid w:val="009C3783"/>
    <w:rsid w:val="009C4E7E"/>
    <w:rsid w:val="009D270F"/>
    <w:rsid w:val="009D6951"/>
    <w:rsid w:val="009D7DD1"/>
    <w:rsid w:val="009E0351"/>
    <w:rsid w:val="009E214B"/>
    <w:rsid w:val="009E53AF"/>
    <w:rsid w:val="009F0270"/>
    <w:rsid w:val="009F2588"/>
    <w:rsid w:val="009F4BE4"/>
    <w:rsid w:val="009F61FA"/>
    <w:rsid w:val="00A01C54"/>
    <w:rsid w:val="00A05796"/>
    <w:rsid w:val="00A13CB0"/>
    <w:rsid w:val="00A14FD8"/>
    <w:rsid w:val="00A22CA1"/>
    <w:rsid w:val="00A3389B"/>
    <w:rsid w:val="00A37C22"/>
    <w:rsid w:val="00A4595D"/>
    <w:rsid w:val="00A51146"/>
    <w:rsid w:val="00A5787E"/>
    <w:rsid w:val="00A61D3A"/>
    <w:rsid w:val="00A66833"/>
    <w:rsid w:val="00A673EF"/>
    <w:rsid w:val="00A7087D"/>
    <w:rsid w:val="00A70DCF"/>
    <w:rsid w:val="00A72437"/>
    <w:rsid w:val="00A73FDF"/>
    <w:rsid w:val="00A824B9"/>
    <w:rsid w:val="00A870DD"/>
    <w:rsid w:val="00A92AA5"/>
    <w:rsid w:val="00A93727"/>
    <w:rsid w:val="00A96157"/>
    <w:rsid w:val="00A969AF"/>
    <w:rsid w:val="00A9729E"/>
    <w:rsid w:val="00AA1F69"/>
    <w:rsid w:val="00AB348F"/>
    <w:rsid w:val="00AB7035"/>
    <w:rsid w:val="00AB7D36"/>
    <w:rsid w:val="00AC1390"/>
    <w:rsid w:val="00AC4663"/>
    <w:rsid w:val="00AD48C5"/>
    <w:rsid w:val="00AE1DD2"/>
    <w:rsid w:val="00AE4106"/>
    <w:rsid w:val="00B02325"/>
    <w:rsid w:val="00B12138"/>
    <w:rsid w:val="00B17749"/>
    <w:rsid w:val="00B17AE9"/>
    <w:rsid w:val="00B17C05"/>
    <w:rsid w:val="00B20334"/>
    <w:rsid w:val="00B20819"/>
    <w:rsid w:val="00B225B9"/>
    <w:rsid w:val="00B24AB1"/>
    <w:rsid w:val="00B27004"/>
    <w:rsid w:val="00B3622D"/>
    <w:rsid w:val="00B36BD9"/>
    <w:rsid w:val="00B41A4C"/>
    <w:rsid w:val="00B43095"/>
    <w:rsid w:val="00B446CA"/>
    <w:rsid w:val="00B5093C"/>
    <w:rsid w:val="00B54356"/>
    <w:rsid w:val="00B55FE5"/>
    <w:rsid w:val="00B62917"/>
    <w:rsid w:val="00B74609"/>
    <w:rsid w:val="00B752B2"/>
    <w:rsid w:val="00B80E39"/>
    <w:rsid w:val="00B824A5"/>
    <w:rsid w:val="00B83989"/>
    <w:rsid w:val="00B8557D"/>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44AE4"/>
    <w:rsid w:val="00C452AC"/>
    <w:rsid w:val="00C50E12"/>
    <w:rsid w:val="00C54491"/>
    <w:rsid w:val="00C6367D"/>
    <w:rsid w:val="00C71B43"/>
    <w:rsid w:val="00C74D8F"/>
    <w:rsid w:val="00C751A9"/>
    <w:rsid w:val="00C766DD"/>
    <w:rsid w:val="00C76BDF"/>
    <w:rsid w:val="00C775CE"/>
    <w:rsid w:val="00C77C52"/>
    <w:rsid w:val="00C8030E"/>
    <w:rsid w:val="00C806A5"/>
    <w:rsid w:val="00C85540"/>
    <w:rsid w:val="00C91697"/>
    <w:rsid w:val="00C92EAA"/>
    <w:rsid w:val="00CA0ACA"/>
    <w:rsid w:val="00CA148F"/>
    <w:rsid w:val="00CA29F9"/>
    <w:rsid w:val="00CB6B73"/>
    <w:rsid w:val="00CC218D"/>
    <w:rsid w:val="00CC56F9"/>
    <w:rsid w:val="00CC6334"/>
    <w:rsid w:val="00CC677A"/>
    <w:rsid w:val="00CC6927"/>
    <w:rsid w:val="00CD008E"/>
    <w:rsid w:val="00CD01EA"/>
    <w:rsid w:val="00CD49B4"/>
    <w:rsid w:val="00CD6D97"/>
    <w:rsid w:val="00CD6EDC"/>
    <w:rsid w:val="00CE2D1F"/>
    <w:rsid w:val="00CE4C74"/>
    <w:rsid w:val="00CE6840"/>
    <w:rsid w:val="00CF1561"/>
    <w:rsid w:val="00CF1A40"/>
    <w:rsid w:val="00CF36EF"/>
    <w:rsid w:val="00CF3809"/>
    <w:rsid w:val="00CF4AE2"/>
    <w:rsid w:val="00D05E87"/>
    <w:rsid w:val="00D1110F"/>
    <w:rsid w:val="00D15B10"/>
    <w:rsid w:val="00D23E20"/>
    <w:rsid w:val="00D25BDD"/>
    <w:rsid w:val="00D30FA6"/>
    <w:rsid w:val="00D32842"/>
    <w:rsid w:val="00D37801"/>
    <w:rsid w:val="00D407EB"/>
    <w:rsid w:val="00D454AB"/>
    <w:rsid w:val="00D478C4"/>
    <w:rsid w:val="00D536AB"/>
    <w:rsid w:val="00D54E0C"/>
    <w:rsid w:val="00D5537A"/>
    <w:rsid w:val="00D71136"/>
    <w:rsid w:val="00D77EFA"/>
    <w:rsid w:val="00D77F36"/>
    <w:rsid w:val="00D9057D"/>
    <w:rsid w:val="00DA026E"/>
    <w:rsid w:val="00DA2B12"/>
    <w:rsid w:val="00DA576E"/>
    <w:rsid w:val="00DB0A86"/>
    <w:rsid w:val="00DB57B7"/>
    <w:rsid w:val="00DC33CF"/>
    <w:rsid w:val="00DC3415"/>
    <w:rsid w:val="00DD3DE6"/>
    <w:rsid w:val="00DE35E9"/>
    <w:rsid w:val="00DE4534"/>
    <w:rsid w:val="00DF3D3A"/>
    <w:rsid w:val="00DF4228"/>
    <w:rsid w:val="00DF6BD0"/>
    <w:rsid w:val="00E00962"/>
    <w:rsid w:val="00E05179"/>
    <w:rsid w:val="00E06670"/>
    <w:rsid w:val="00E17266"/>
    <w:rsid w:val="00E25C78"/>
    <w:rsid w:val="00E33B13"/>
    <w:rsid w:val="00E34101"/>
    <w:rsid w:val="00E4159D"/>
    <w:rsid w:val="00E47752"/>
    <w:rsid w:val="00E53030"/>
    <w:rsid w:val="00E56652"/>
    <w:rsid w:val="00E615CE"/>
    <w:rsid w:val="00E61C74"/>
    <w:rsid w:val="00E62C9E"/>
    <w:rsid w:val="00E63369"/>
    <w:rsid w:val="00E63569"/>
    <w:rsid w:val="00E80756"/>
    <w:rsid w:val="00E81F96"/>
    <w:rsid w:val="00E8302B"/>
    <w:rsid w:val="00E83C11"/>
    <w:rsid w:val="00E83E34"/>
    <w:rsid w:val="00E83F8D"/>
    <w:rsid w:val="00E84771"/>
    <w:rsid w:val="00E847A3"/>
    <w:rsid w:val="00E84F8C"/>
    <w:rsid w:val="00E85360"/>
    <w:rsid w:val="00E85641"/>
    <w:rsid w:val="00E85DA4"/>
    <w:rsid w:val="00E86B42"/>
    <w:rsid w:val="00E95892"/>
    <w:rsid w:val="00E97354"/>
    <w:rsid w:val="00EA6408"/>
    <w:rsid w:val="00EB263D"/>
    <w:rsid w:val="00EC0483"/>
    <w:rsid w:val="00EC33A4"/>
    <w:rsid w:val="00ED0897"/>
    <w:rsid w:val="00ED73FF"/>
    <w:rsid w:val="00ED7F01"/>
    <w:rsid w:val="00EE4612"/>
    <w:rsid w:val="00EE4B71"/>
    <w:rsid w:val="00EE51DE"/>
    <w:rsid w:val="00EE609F"/>
    <w:rsid w:val="00EF5E01"/>
    <w:rsid w:val="00EF6EC0"/>
    <w:rsid w:val="00EF701F"/>
    <w:rsid w:val="00F02058"/>
    <w:rsid w:val="00F0343C"/>
    <w:rsid w:val="00F04CE5"/>
    <w:rsid w:val="00F13514"/>
    <w:rsid w:val="00F1360F"/>
    <w:rsid w:val="00F16AA8"/>
    <w:rsid w:val="00F21791"/>
    <w:rsid w:val="00F22060"/>
    <w:rsid w:val="00F25EB5"/>
    <w:rsid w:val="00F3062E"/>
    <w:rsid w:val="00F3226A"/>
    <w:rsid w:val="00F33DB0"/>
    <w:rsid w:val="00F45DB8"/>
    <w:rsid w:val="00F5295F"/>
    <w:rsid w:val="00F54D29"/>
    <w:rsid w:val="00F62BCD"/>
    <w:rsid w:val="00F70891"/>
    <w:rsid w:val="00F73058"/>
    <w:rsid w:val="00F74B77"/>
    <w:rsid w:val="00F764FE"/>
    <w:rsid w:val="00F80625"/>
    <w:rsid w:val="00F827B6"/>
    <w:rsid w:val="00F92BE5"/>
    <w:rsid w:val="00FA0574"/>
    <w:rsid w:val="00FB105B"/>
    <w:rsid w:val="00FB1AF7"/>
    <w:rsid w:val="00FB68D3"/>
    <w:rsid w:val="00FC49C8"/>
    <w:rsid w:val="00FC4B75"/>
    <w:rsid w:val="00FE7554"/>
    <w:rsid w:val="00FF17FE"/>
    <w:rsid w:val="02177F17"/>
    <w:rsid w:val="03EA2651"/>
    <w:rsid w:val="04B221D6"/>
    <w:rsid w:val="053E4A03"/>
    <w:rsid w:val="07071D1E"/>
    <w:rsid w:val="07666493"/>
    <w:rsid w:val="0A595E3B"/>
    <w:rsid w:val="0BFF2A12"/>
    <w:rsid w:val="0C342F5D"/>
    <w:rsid w:val="0C6C30D3"/>
    <w:rsid w:val="0F646C84"/>
    <w:rsid w:val="11DA6E1C"/>
    <w:rsid w:val="14054920"/>
    <w:rsid w:val="163815F2"/>
    <w:rsid w:val="1C0A3439"/>
    <w:rsid w:val="205B0656"/>
    <w:rsid w:val="227D2BB6"/>
    <w:rsid w:val="23250B58"/>
    <w:rsid w:val="25401C79"/>
    <w:rsid w:val="25E22D30"/>
    <w:rsid w:val="2713791E"/>
    <w:rsid w:val="27361281"/>
    <w:rsid w:val="282E04AF"/>
    <w:rsid w:val="2CB15D71"/>
    <w:rsid w:val="32894C60"/>
    <w:rsid w:val="32FF294C"/>
    <w:rsid w:val="332F691D"/>
    <w:rsid w:val="3B2A71FC"/>
    <w:rsid w:val="3F0264C5"/>
    <w:rsid w:val="42200080"/>
    <w:rsid w:val="43566DE0"/>
    <w:rsid w:val="43832EC9"/>
    <w:rsid w:val="43DE6DD5"/>
    <w:rsid w:val="455B692F"/>
    <w:rsid w:val="473016F6"/>
    <w:rsid w:val="488C513A"/>
    <w:rsid w:val="495B51C5"/>
    <w:rsid w:val="49C17EFB"/>
    <w:rsid w:val="4A5D78FB"/>
    <w:rsid w:val="4C286E40"/>
    <w:rsid w:val="4CCF6990"/>
    <w:rsid w:val="4E3C3076"/>
    <w:rsid w:val="50BA76C6"/>
    <w:rsid w:val="522E2CD6"/>
    <w:rsid w:val="579C4BC3"/>
    <w:rsid w:val="58A65CBC"/>
    <w:rsid w:val="597B0EF6"/>
    <w:rsid w:val="5B1930C3"/>
    <w:rsid w:val="5CFE60C6"/>
    <w:rsid w:val="5D995DEF"/>
    <w:rsid w:val="5DE84721"/>
    <w:rsid w:val="5E0F1C0D"/>
    <w:rsid w:val="5E8C1054"/>
    <w:rsid w:val="61CE7F21"/>
    <w:rsid w:val="67010561"/>
    <w:rsid w:val="675859D1"/>
    <w:rsid w:val="6BA77061"/>
    <w:rsid w:val="715E6E42"/>
    <w:rsid w:val="71973F9C"/>
    <w:rsid w:val="75143E7A"/>
    <w:rsid w:val="753A35BC"/>
    <w:rsid w:val="780F71B0"/>
    <w:rsid w:val="7B6D7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imes New Roman"/>
      <w:kern w:val="2"/>
      <w:sz w:val="21"/>
      <w:szCs w:val="24"/>
      <w:lang w:val="en-US" w:eastAsia="zh-CN" w:bidi="ar-SA"/>
    </w:rPr>
  </w:style>
  <w:style w:type="paragraph" w:styleId="2">
    <w:name w:val="heading 1"/>
    <w:basedOn w:val="1"/>
    <w:next w:val="1"/>
    <w:link w:val="27"/>
    <w:autoRedefine/>
    <w:qFormat/>
    <w:uiPriority w:val="0"/>
    <w:pPr>
      <w:keepNext/>
      <w:keepLines/>
      <w:numPr>
        <w:ilvl w:val="0"/>
        <w:numId w:val="1"/>
      </w:numPr>
      <w:spacing w:before="340" w:after="330" w:line="578" w:lineRule="auto"/>
      <w:outlineLvl w:val="0"/>
    </w:pPr>
    <w:rPr>
      <w:b/>
      <w:bCs/>
      <w:kern w:val="44"/>
      <w:sz w:val="36"/>
      <w:szCs w:val="36"/>
      <w:lang w:val="zh-CN"/>
    </w:rPr>
  </w:style>
  <w:style w:type="paragraph" w:styleId="3">
    <w:name w:val="heading 2"/>
    <w:basedOn w:val="1"/>
    <w:next w:val="1"/>
    <w:link w:val="28"/>
    <w:autoRedefine/>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29"/>
    <w:autoRedefine/>
    <w:qFormat/>
    <w:uiPriority w:val="0"/>
    <w:pPr>
      <w:keepNext/>
      <w:keepLines/>
      <w:spacing w:before="260" w:after="260" w:line="416" w:lineRule="auto"/>
      <w:outlineLvl w:val="2"/>
    </w:pPr>
    <w:rPr>
      <w:b/>
      <w:bCs/>
      <w:sz w:val="30"/>
      <w:szCs w:val="30"/>
      <w:lang w:val="zh-CN"/>
    </w:rPr>
  </w:style>
  <w:style w:type="paragraph" w:styleId="5">
    <w:name w:val="heading 4"/>
    <w:basedOn w:val="1"/>
    <w:next w:val="1"/>
    <w:link w:val="30"/>
    <w:autoRedefine/>
    <w:qFormat/>
    <w:uiPriority w:val="0"/>
    <w:pPr>
      <w:keepNext/>
      <w:keepLines/>
      <w:numPr>
        <w:ilvl w:val="3"/>
        <w:numId w:val="2"/>
      </w:numPr>
      <w:spacing w:before="280" w:after="290" w:line="376" w:lineRule="auto"/>
      <w:outlineLvl w:val="3"/>
    </w:pPr>
    <w:rPr>
      <w:b/>
      <w:bCs/>
      <w:sz w:val="28"/>
      <w:szCs w:val="28"/>
      <w:lang w:val="zh-CN"/>
    </w:rPr>
  </w:style>
  <w:style w:type="paragraph" w:styleId="6">
    <w:name w:val="heading 5"/>
    <w:basedOn w:val="1"/>
    <w:next w:val="1"/>
    <w:link w:val="31"/>
    <w:autoRedefine/>
    <w:qFormat/>
    <w:uiPriority w:val="0"/>
    <w:pPr>
      <w:keepNext/>
      <w:keepLines/>
      <w:numPr>
        <w:ilvl w:val="4"/>
        <w:numId w:val="2"/>
      </w:numPr>
      <w:spacing w:before="280" w:after="290" w:line="376" w:lineRule="auto"/>
      <w:outlineLvl w:val="4"/>
    </w:pPr>
    <w:rPr>
      <w:b/>
      <w:bCs/>
      <w:sz w:val="28"/>
      <w:szCs w:val="28"/>
      <w:lang w:val="zh-CN"/>
    </w:rPr>
  </w:style>
  <w:style w:type="paragraph" w:styleId="7">
    <w:name w:val="heading 6"/>
    <w:basedOn w:val="1"/>
    <w:next w:val="1"/>
    <w:link w:val="32"/>
    <w:autoRedefine/>
    <w:qFormat/>
    <w:uiPriority w:val="0"/>
    <w:pPr>
      <w:keepNext/>
      <w:keepLines/>
      <w:numPr>
        <w:ilvl w:val="5"/>
        <w:numId w:val="2"/>
      </w:numPr>
      <w:spacing w:before="240" w:after="64" w:line="320" w:lineRule="auto"/>
      <w:outlineLvl w:val="5"/>
    </w:pPr>
    <w:rPr>
      <w:rFonts w:ascii="等线 Light" w:hAnsi="等线 Light" w:eastAsia="等线 Light"/>
      <w:b/>
      <w:bCs/>
      <w:sz w:val="24"/>
      <w:lang w:val="zh-CN"/>
    </w:rPr>
  </w:style>
  <w:style w:type="paragraph" w:styleId="8">
    <w:name w:val="heading 7"/>
    <w:basedOn w:val="1"/>
    <w:next w:val="1"/>
    <w:link w:val="33"/>
    <w:autoRedefine/>
    <w:qFormat/>
    <w:uiPriority w:val="0"/>
    <w:pPr>
      <w:keepNext/>
      <w:keepLines/>
      <w:numPr>
        <w:ilvl w:val="6"/>
        <w:numId w:val="2"/>
      </w:numPr>
      <w:spacing w:before="240" w:after="64" w:line="320" w:lineRule="auto"/>
      <w:outlineLvl w:val="6"/>
    </w:pPr>
    <w:rPr>
      <w:b/>
      <w:bCs/>
      <w:sz w:val="24"/>
      <w:lang w:val="zh-CN"/>
    </w:rPr>
  </w:style>
  <w:style w:type="paragraph" w:styleId="9">
    <w:name w:val="heading 8"/>
    <w:basedOn w:val="1"/>
    <w:next w:val="1"/>
    <w:link w:val="34"/>
    <w:autoRedefine/>
    <w:qFormat/>
    <w:uiPriority w:val="0"/>
    <w:pPr>
      <w:keepNext/>
      <w:keepLines/>
      <w:numPr>
        <w:ilvl w:val="7"/>
        <w:numId w:val="2"/>
      </w:numPr>
      <w:spacing w:before="240" w:after="64" w:line="320" w:lineRule="auto"/>
      <w:outlineLvl w:val="7"/>
    </w:pPr>
    <w:rPr>
      <w:rFonts w:ascii="等线 Light" w:hAnsi="等线 Light" w:eastAsia="等线 Light"/>
      <w:sz w:val="24"/>
      <w:lang w:val="zh-CN"/>
    </w:rPr>
  </w:style>
  <w:style w:type="paragraph" w:styleId="10">
    <w:name w:val="heading 9"/>
    <w:basedOn w:val="1"/>
    <w:next w:val="1"/>
    <w:link w:val="35"/>
    <w:autoRedefine/>
    <w:qFormat/>
    <w:uiPriority w:val="0"/>
    <w:pPr>
      <w:keepNext/>
      <w:keepLines/>
      <w:numPr>
        <w:ilvl w:val="8"/>
        <w:numId w:val="2"/>
      </w:numPr>
      <w:spacing w:before="240" w:after="64" w:line="320" w:lineRule="auto"/>
      <w:outlineLvl w:val="8"/>
    </w:pPr>
    <w:rPr>
      <w:rFonts w:ascii="等线 Light" w:hAnsi="等线 Light" w:eastAsia="等线 Light"/>
      <w:szCs w:val="21"/>
      <w:lang w:val="zh-CN"/>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6"/>
    <w:autoRedefine/>
    <w:qFormat/>
    <w:uiPriority w:val="99"/>
    <w:pPr>
      <w:spacing w:before="120" w:beforeLines="50"/>
      <w:ind w:firstLine="512" w:firstLineChars="200"/>
    </w:pPr>
    <w:rPr>
      <w:spacing w:val="8"/>
      <w:sz w:val="24"/>
      <w:szCs w:val="20"/>
    </w:rPr>
  </w:style>
  <w:style w:type="paragraph" w:styleId="12">
    <w:name w:val="annotation text"/>
    <w:basedOn w:val="1"/>
    <w:link w:val="37"/>
    <w:autoRedefine/>
    <w:unhideWhenUsed/>
    <w:qFormat/>
    <w:uiPriority w:val="0"/>
    <w:rPr>
      <w:kern w:val="0"/>
      <w:sz w:val="20"/>
      <w:lang w:val="zh-CN"/>
    </w:rPr>
  </w:style>
  <w:style w:type="paragraph" w:styleId="13">
    <w:name w:val="Body Text"/>
    <w:basedOn w:val="1"/>
    <w:next w:val="1"/>
    <w:unhideWhenUsed/>
    <w:qFormat/>
    <w:uiPriority w:val="99"/>
    <w:pPr>
      <w:spacing w:before="100" w:beforeAutospacing="1" w:after="120"/>
    </w:pPr>
  </w:style>
  <w:style w:type="paragraph" w:styleId="14">
    <w:name w:val="Body Text Indent"/>
    <w:basedOn w:val="1"/>
    <w:link w:val="67"/>
    <w:uiPriority w:val="0"/>
    <w:pPr>
      <w:spacing w:after="120"/>
      <w:ind w:left="420" w:leftChars="200"/>
    </w:pPr>
  </w:style>
  <w:style w:type="paragraph" w:styleId="15">
    <w:name w:val="Plain Text"/>
    <w:basedOn w:val="1"/>
    <w:link w:val="38"/>
    <w:autoRedefine/>
    <w:qFormat/>
    <w:uiPriority w:val="0"/>
    <w:rPr>
      <w:rFonts w:ascii="Calibri" w:hAnsi="Courier New"/>
      <w:szCs w:val="20"/>
      <w:lang w:val="zh-CN"/>
    </w:rPr>
  </w:style>
  <w:style w:type="paragraph" w:styleId="16">
    <w:name w:val="Balloon Text"/>
    <w:basedOn w:val="1"/>
    <w:link w:val="39"/>
    <w:autoRedefine/>
    <w:qFormat/>
    <w:uiPriority w:val="0"/>
    <w:rPr>
      <w:sz w:val="18"/>
      <w:szCs w:val="18"/>
      <w:lang w:val="zh-CN"/>
    </w:rPr>
  </w:style>
  <w:style w:type="paragraph" w:styleId="17">
    <w:name w:val="footer"/>
    <w:basedOn w:val="1"/>
    <w:link w:val="40"/>
    <w:autoRedefine/>
    <w:qFormat/>
    <w:uiPriority w:val="99"/>
    <w:pPr>
      <w:tabs>
        <w:tab w:val="center" w:pos="4153"/>
        <w:tab w:val="right" w:pos="8306"/>
      </w:tabs>
      <w:snapToGrid w:val="0"/>
    </w:pPr>
    <w:rPr>
      <w:sz w:val="18"/>
      <w:szCs w:val="18"/>
      <w:lang w:val="zh-CN"/>
    </w:rPr>
  </w:style>
  <w:style w:type="paragraph" w:styleId="18">
    <w:name w:val="header"/>
    <w:basedOn w:val="1"/>
    <w:link w:val="41"/>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19">
    <w:name w:val="Subtitle"/>
    <w:basedOn w:val="1"/>
    <w:next w:val="1"/>
    <w:link w:val="66"/>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20">
    <w:name w:val="Normal (Web)"/>
    <w:basedOn w:val="1"/>
    <w:link w:val="70"/>
    <w:autoRedefine/>
    <w:unhideWhenUsed/>
    <w:qFormat/>
    <w:uiPriority w:val="99"/>
    <w:pPr>
      <w:widowControl/>
      <w:spacing w:before="100" w:beforeAutospacing="1" w:after="100" w:afterAutospacing="1"/>
    </w:pPr>
    <w:rPr>
      <w:rFonts w:cs="宋体"/>
      <w:kern w:val="0"/>
      <w:sz w:val="24"/>
    </w:rPr>
  </w:style>
  <w:style w:type="paragraph" w:styleId="21">
    <w:name w:val="Body Text First Indent 2"/>
    <w:basedOn w:val="14"/>
    <w:link w:val="68"/>
    <w:qFormat/>
    <w:uiPriority w:val="0"/>
    <w:pPr>
      <w:ind w:firstLine="420" w:firstLineChars="200"/>
    </w:pPr>
  </w:style>
  <w:style w:type="table" w:styleId="23">
    <w:name w:val="Table Grid"/>
    <w:basedOn w:val="2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Hyperlink"/>
    <w:autoRedefine/>
    <w:qFormat/>
    <w:uiPriority w:val="0"/>
    <w:rPr>
      <w:color w:val="0563C1"/>
      <w:u w:val="single"/>
    </w:rPr>
  </w:style>
  <w:style w:type="character" w:styleId="26">
    <w:name w:val="annotation reference"/>
    <w:autoRedefine/>
    <w:unhideWhenUsed/>
    <w:qFormat/>
    <w:uiPriority w:val="99"/>
    <w:rPr>
      <w:sz w:val="21"/>
      <w:szCs w:val="21"/>
    </w:rPr>
  </w:style>
  <w:style w:type="character" w:customStyle="1" w:styleId="27">
    <w:name w:val="标题 1 Char"/>
    <w:link w:val="2"/>
    <w:autoRedefine/>
    <w:qFormat/>
    <w:uiPriority w:val="0"/>
    <w:rPr>
      <w:rFonts w:ascii="宋体" w:hAnsi="宋体"/>
      <w:b/>
      <w:bCs/>
      <w:kern w:val="44"/>
      <w:sz w:val="36"/>
      <w:szCs w:val="36"/>
      <w:lang w:val="zh-CN"/>
    </w:rPr>
  </w:style>
  <w:style w:type="character" w:customStyle="1" w:styleId="28">
    <w:name w:val="标题 2 Char"/>
    <w:link w:val="3"/>
    <w:autoRedefine/>
    <w:qFormat/>
    <w:uiPriority w:val="0"/>
    <w:rPr>
      <w:rFonts w:ascii="等线 Light" w:hAnsi="等线 Light" w:eastAsia="等线 Light" w:cs="Times New Roman"/>
      <w:b/>
      <w:bCs/>
      <w:kern w:val="2"/>
      <w:sz w:val="32"/>
      <w:szCs w:val="32"/>
    </w:rPr>
  </w:style>
  <w:style w:type="character" w:customStyle="1" w:styleId="29">
    <w:name w:val="标题 3 Char"/>
    <w:link w:val="4"/>
    <w:autoRedefine/>
    <w:qFormat/>
    <w:uiPriority w:val="0"/>
    <w:rPr>
      <w:b/>
      <w:bCs/>
      <w:kern w:val="2"/>
      <w:sz w:val="30"/>
      <w:szCs w:val="30"/>
    </w:rPr>
  </w:style>
  <w:style w:type="character" w:customStyle="1" w:styleId="30">
    <w:name w:val="标题 4 Char"/>
    <w:link w:val="5"/>
    <w:autoRedefine/>
    <w:qFormat/>
    <w:uiPriority w:val="0"/>
    <w:rPr>
      <w:rFonts w:ascii="宋体" w:hAnsi="宋体"/>
      <w:b/>
      <w:bCs/>
      <w:kern w:val="2"/>
      <w:sz w:val="28"/>
      <w:szCs w:val="28"/>
    </w:rPr>
  </w:style>
  <w:style w:type="character" w:customStyle="1" w:styleId="31">
    <w:name w:val="标题 5 Char"/>
    <w:link w:val="6"/>
    <w:autoRedefine/>
    <w:qFormat/>
    <w:uiPriority w:val="0"/>
    <w:rPr>
      <w:b/>
      <w:bCs/>
      <w:kern w:val="2"/>
      <w:sz w:val="28"/>
      <w:szCs w:val="28"/>
    </w:rPr>
  </w:style>
  <w:style w:type="character" w:customStyle="1" w:styleId="32">
    <w:name w:val="标题 6 Char"/>
    <w:link w:val="7"/>
    <w:autoRedefine/>
    <w:semiHidden/>
    <w:qFormat/>
    <w:uiPriority w:val="0"/>
    <w:rPr>
      <w:rFonts w:ascii="等线 Light" w:hAnsi="等线 Light" w:eastAsia="等线 Light"/>
      <w:b/>
      <w:bCs/>
      <w:kern w:val="2"/>
      <w:sz w:val="24"/>
      <w:szCs w:val="24"/>
    </w:rPr>
  </w:style>
  <w:style w:type="character" w:customStyle="1" w:styleId="33">
    <w:name w:val="标题 7 Char"/>
    <w:link w:val="8"/>
    <w:autoRedefine/>
    <w:semiHidden/>
    <w:qFormat/>
    <w:uiPriority w:val="0"/>
    <w:rPr>
      <w:b/>
      <w:bCs/>
      <w:kern w:val="2"/>
      <w:sz w:val="24"/>
      <w:szCs w:val="24"/>
    </w:rPr>
  </w:style>
  <w:style w:type="character" w:customStyle="1" w:styleId="34">
    <w:name w:val="标题 8 Char"/>
    <w:link w:val="9"/>
    <w:autoRedefine/>
    <w:semiHidden/>
    <w:qFormat/>
    <w:uiPriority w:val="0"/>
    <w:rPr>
      <w:rFonts w:ascii="等线 Light" w:hAnsi="等线 Light" w:eastAsia="等线 Light"/>
      <w:kern w:val="2"/>
      <w:sz w:val="24"/>
      <w:szCs w:val="24"/>
    </w:rPr>
  </w:style>
  <w:style w:type="character" w:customStyle="1" w:styleId="35">
    <w:name w:val="标题 9 Char"/>
    <w:link w:val="10"/>
    <w:autoRedefine/>
    <w:semiHidden/>
    <w:qFormat/>
    <w:uiPriority w:val="0"/>
    <w:rPr>
      <w:rFonts w:ascii="等线 Light" w:hAnsi="等线 Light" w:eastAsia="等线 Light"/>
      <w:kern w:val="2"/>
      <w:sz w:val="21"/>
      <w:szCs w:val="21"/>
    </w:rPr>
  </w:style>
  <w:style w:type="character" w:customStyle="1" w:styleId="36">
    <w:name w:val="正文缩进 Char"/>
    <w:link w:val="11"/>
    <w:autoRedefine/>
    <w:qFormat/>
    <w:uiPriority w:val="99"/>
    <w:rPr>
      <w:spacing w:val="8"/>
      <w:kern w:val="2"/>
      <w:sz w:val="24"/>
      <w:lang w:val="en-US" w:eastAsia="zh-CN"/>
    </w:rPr>
  </w:style>
  <w:style w:type="character" w:customStyle="1" w:styleId="37">
    <w:name w:val="批注文字 Char"/>
    <w:link w:val="12"/>
    <w:autoRedefine/>
    <w:qFormat/>
    <w:uiPriority w:val="0"/>
    <w:rPr>
      <w:szCs w:val="24"/>
    </w:rPr>
  </w:style>
  <w:style w:type="character" w:customStyle="1" w:styleId="38">
    <w:name w:val="纯文本 Char"/>
    <w:link w:val="15"/>
    <w:autoRedefine/>
    <w:qFormat/>
    <w:uiPriority w:val="0"/>
    <w:rPr>
      <w:rFonts w:ascii="Calibri" w:hAnsi="Courier New"/>
      <w:kern w:val="2"/>
      <w:sz w:val="21"/>
    </w:rPr>
  </w:style>
  <w:style w:type="character" w:customStyle="1" w:styleId="39">
    <w:name w:val="批注框文本 Char"/>
    <w:link w:val="16"/>
    <w:autoRedefine/>
    <w:qFormat/>
    <w:uiPriority w:val="0"/>
    <w:rPr>
      <w:kern w:val="2"/>
      <w:sz w:val="18"/>
      <w:szCs w:val="18"/>
    </w:rPr>
  </w:style>
  <w:style w:type="character" w:customStyle="1" w:styleId="40">
    <w:name w:val="页脚 Char"/>
    <w:link w:val="17"/>
    <w:autoRedefine/>
    <w:qFormat/>
    <w:uiPriority w:val="0"/>
    <w:rPr>
      <w:kern w:val="2"/>
      <w:sz w:val="18"/>
      <w:szCs w:val="18"/>
    </w:rPr>
  </w:style>
  <w:style w:type="character" w:customStyle="1" w:styleId="41">
    <w:name w:val="页眉 Char"/>
    <w:link w:val="18"/>
    <w:autoRedefine/>
    <w:qFormat/>
    <w:uiPriority w:val="0"/>
    <w:rPr>
      <w:kern w:val="2"/>
      <w:sz w:val="18"/>
      <w:szCs w:val="18"/>
    </w:rPr>
  </w:style>
  <w:style w:type="character" w:customStyle="1" w:styleId="42">
    <w:name w:val="已访问的超链接1"/>
    <w:autoRedefine/>
    <w:qFormat/>
    <w:uiPriority w:val="0"/>
    <w:rPr>
      <w:color w:val="800080"/>
      <w:u w:val="single"/>
    </w:rPr>
  </w:style>
  <w:style w:type="character" w:customStyle="1" w:styleId="43">
    <w:name w:val="正文（首行缩进2字符） Char"/>
    <w:link w:val="44"/>
    <w:autoRedefine/>
    <w:qFormat/>
    <w:uiPriority w:val="0"/>
    <w:rPr>
      <w:kern w:val="2"/>
      <w:sz w:val="24"/>
      <w:szCs w:val="24"/>
    </w:rPr>
  </w:style>
  <w:style w:type="paragraph" w:customStyle="1" w:styleId="44">
    <w:name w:val="正文（首行缩进2字符）"/>
    <w:basedOn w:val="1"/>
    <w:link w:val="43"/>
    <w:autoRedefine/>
    <w:qFormat/>
    <w:uiPriority w:val="0"/>
    <w:pPr>
      <w:ind w:firstLine="480" w:firstLineChars="200"/>
    </w:pPr>
    <w:rPr>
      <w:sz w:val="24"/>
      <w:lang w:val="zh-CN"/>
    </w:rPr>
  </w:style>
  <w:style w:type="character" w:customStyle="1" w:styleId="45">
    <w:name w:val="段落 Char1"/>
    <w:link w:val="46"/>
    <w:autoRedefine/>
    <w:qFormat/>
    <w:uiPriority w:val="0"/>
    <w:rPr>
      <w:rFonts w:eastAsia="仿宋_GB2312"/>
      <w:sz w:val="24"/>
      <w:szCs w:val="24"/>
      <w:lang w:val="en-US" w:eastAsia="zh-CN" w:bidi="ar-SA"/>
    </w:rPr>
  </w:style>
  <w:style w:type="paragraph" w:customStyle="1" w:styleId="46">
    <w:name w:val="段落"/>
    <w:link w:val="45"/>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7">
    <w:name w:val="正文（安华金和） Char"/>
    <w:link w:val="48"/>
    <w:autoRedefine/>
    <w:qFormat/>
    <w:uiPriority w:val="0"/>
    <w:rPr>
      <w:rFonts w:ascii="Arial" w:hAnsi="Arial"/>
      <w:sz w:val="21"/>
      <w:szCs w:val="21"/>
      <w:lang w:val="en-US" w:eastAsia="zh-CN" w:bidi="ar-SA"/>
    </w:rPr>
  </w:style>
  <w:style w:type="paragraph" w:customStyle="1" w:styleId="48">
    <w:name w:val="正文（安华金和）"/>
    <w:link w:val="47"/>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9">
    <w:name w:val="页脚 字符"/>
    <w:autoRedefine/>
    <w:qFormat/>
    <w:uiPriority w:val="99"/>
  </w:style>
  <w:style w:type="character" w:customStyle="1" w:styleId="50">
    <w:name w:val="列出段落 Char"/>
    <w:link w:val="51"/>
    <w:autoRedefine/>
    <w:qFormat/>
    <w:uiPriority w:val="34"/>
    <w:rPr>
      <w:rFonts w:ascii="等线" w:hAnsi="等线" w:eastAsia="等线"/>
      <w:kern w:val="2"/>
      <w:sz w:val="21"/>
      <w:szCs w:val="22"/>
      <w:lang w:val="zh-CN"/>
    </w:rPr>
  </w:style>
  <w:style w:type="paragraph" w:styleId="51">
    <w:name w:val="List Paragraph"/>
    <w:basedOn w:val="1"/>
    <w:link w:val="50"/>
    <w:autoRedefine/>
    <w:qFormat/>
    <w:uiPriority w:val="34"/>
    <w:pPr>
      <w:numPr>
        <w:ilvl w:val="0"/>
        <w:numId w:val="3"/>
      </w:numPr>
    </w:pPr>
    <w:rPr>
      <w:rFonts w:ascii="等线" w:hAnsi="等线" w:eastAsia="等线"/>
      <w:szCs w:val="22"/>
      <w:lang w:val="zh-CN"/>
    </w:rPr>
  </w:style>
  <w:style w:type="paragraph" w:customStyle="1" w:styleId="52">
    <w:name w:val="插图标注（安华金和）"/>
    <w:next w:val="1"/>
    <w:autoRedefine/>
    <w:qFormat/>
    <w:uiPriority w:val="0"/>
    <w:pPr>
      <w:numPr>
        <w:ilvl w:val="6"/>
        <w:numId w:val="4"/>
      </w:numPr>
      <w:spacing w:after="156"/>
      <w:jc w:val="center"/>
    </w:pPr>
    <w:rPr>
      <w:rFonts w:ascii="Arial" w:hAnsi="Arial" w:eastAsia="宋体" w:cs="Arial"/>
      <w:sz w:val="21"/>
      <w:szCs w:val="21"/>
      <w:lang w:val="en-US" w:eastAsia="zh-CN" w:bidi="ar-SA"/>
    </w:rPr>
  </w:style>
  <w:style w:type="paragraph" w:customStyle="1" w:styleId="53">
    <w:name w:val="标题 2（DBSec）"/>
    <w:basedOn w:val="3"/>
    <w:next w:val="1"/>
    <w:autoRedefine/>
    <w:qFormat/>
    <w:uiPriority w:val="0"/>
    <w:pPr>
      <w:numPr>
        <w:ilvl w:val="1"/>
        <w:numId w:val="4"/>
      </w:numPr>
      <w:spacing w:line="415" w:lineRule="auto"/>
      <w:ind w:left="794" w:leftChars="200"/>
    </w:pPr>
    <w:rPr>
      <w:rFonts w:ascii="Arial" w:hAnsi="Arial" w:eastAsia="黑体"/>
      <w:bCs w:val="0"/>
    </w:rPr>
  </w:style>
  <w:style w:type="paragraph" w:customStyle="1" w:styleId="54">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5">
    <w:name w:val="_Style 27"/>
    <w:basedOn w:val="1"/>
    <w:next w:val="51"/>
    <w:autoRedefine/>
    <w:qFormat/>
    <w:uiPriority w:val="34"/>
    <w:pPr>
      <w:widowControl/>
      <w:spacing w:line="240" w:lineRule="atLeast"/>
      <w:ind w:firstLine="420" w:firstLineChars="200"/>
    </w:pPr>
    <w:rPr>
      <w:rFonts w:ascii="Arial" w:hAnsi="Arial"/>
      <w:kern w:val="0"/>
      <w:szCs w:val="21"/>
    </w:rPr>
  </w:style>
  <w:style w:type="paragraph" w:customStyle="1" w:styleId="56">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57">
    <w:name w:val="标题 6（有编号）（安华金和）"/>
    <w:basedOn w:val="1"/>
    <w:next w:val="1"/>
    <w:autoRedefine/>
    <w:qFormat/>
    <w:uiPriority w:val="0"/>
    <w:pPr>
      <w:keepNext/>
      <w:keepLines/>
      <w:numPr>
        <w:ilvl w:val="5"/>
        <w:numId w:val="4"/>
      </w:numPr>
      <w:spacing w:before="240" w:after="64" w:line="319" w:lineRule="auto"/>
      <w:ind w:left="0"/>
      <w:outlineLvl w:val="5"/>
    </w:pPr>
    <w:rPr>
      <w:rFonts w:ascii="Arial" w:hAnsi="Arial" w:eastAsia="黑体"/>
      <w:b/>
      <w:kern w:val="0"/>
    </w:rPr>
  </w:style>
  <w:style w:type="paragraph" w:customStyle="1" w:styleId="58">
    <w:name w:val="标题 4（DBSec）"/>
    <w:basedOn w:val="5"/>
    <w:next w:val="1"/>
    <w:autoRedefine/>
    <w:qFormat/>
    <w:uiPriority w:val="0"/>
    <w:pPr>
      <w:widowControl/>
      <w:numPr>
        <w:numId w:val="4"/>
      </w:numPr>
      <w:spacing w:after="156"/>
      <w:ind w:left="200" w:leftChars="200"/>
    </w:pPr>
    <w:rPr>
      <w:rFonts w:ascii="Arial" w:hAnsi="Arial" w:eastAsia="黑体"/>
      <w:bCs w:val="0"/>
      <w:kern w:val="0"/>
    </w:rPr>
  </w:style>
  <w:style w:type="paragraph" w:customStyle="1" w:styleId="59">
    <w:name w:val="标题 3（DBSec）"/>
    <w:basedOn w:val="4"/>
    <w:next w:val="1"/>
    <w:autoRedefine/>
    <w:qFormat/>
    <w:uiPriority w:val="0"/>
    <w:pPr>
      <w:numPr>
        <w:ilvl w:val="2"/>
        <w:numId w:val="4"/>
      </w:numPr>
      <w:tabs>
        <w:tab w:val="left" w:pos="960"/>
      </w:tabs>
      <w:spacing w:line="415" w:lineRule="auto"/>
      <w:ind w:left="200" w:leftChars="200"/>
    </w:pPr>
    <w:rPr>
      <w:rFonts w:ascii="Arial" w:hAnsi="Arial" w:eastAsia="黑体"/>
      <w:bCs w:val="0"/>
      <w:kern w:val="0"/>
    </w:rPr>
  </w:style>
  <w:style w:type="paragraph" w:customStyle="1" w:styleId="60">
    <w:name w:val="标题 1（DBSec）"/>
    <w:basedOn w:val="2"/>
    <w:next w:val="1"/>
    <w:autoRedefine/>
    <w:qFormat/>
    <w:uiPriority w:val="0"/>
    <w:pPr>
      <w:pageBreakBefore/>
      <w:numPr>
        <w:numId w:val="4"/>
      </w:numPr>
      <w:pBdr>
        <w:bottom w:val="single" w:color="auto" w:sz="48" w:space="1"/>
      </w:pBdr>
      <w:spacing w:before="600" w:line="576" w:lineRule="auto"/>
      <w:ind w:left="200" w:leftChars="200"/>
    </w:pPr>
    <w:rPr>
      <w:rFonts w:ascii="Arial" w:hAnsi="Arial" w:eastAsia="黑体"/>
      <w:lang w:val="en-US"/>
    </w:rPr>
  </w:style>
  <w:style w:type="paragraph" w:customStyle="1" w:styleId="61">
    <w:name w:val="彩色列表 - 着色 11"/>
    <w:basedOn w:val="1"/>
    <w:autoRedefine/>
    <w:qFormat/>
    <w:uiPriority w:val="34"/>
    <w:pPr>
      <w:ind w:firstLine="420" w:firstLineChars="200"/>
    </w:pPr>
    <w:rPr>
      <w:rFonts w:ascii="Arial" w:hAnsi="Arial"/>
      <w:szCs w:val="21"/>
    </w:rPr>
  </w:style>
  <w:style w:type="paragraph" w:customStyle="1" w:styleId="62">
    <w:name w:val="表格标注（安华金和）"/>
    <w:basedOn w:val="52"/>
    <w:next w:val="1"/>
    <w:autoRedefine/>
    <w:qFormat/>
    <w:uiPriority w:val="0"/>
    <w:pPr>
      <w:numPr>
        <w:ilvl w:val="7"/>
      </w:numPr>
    </w:pPr>
  </w:style>
  <w:style w:type="paragraph" w:customStyle="1" w:styleId="63">
    <w:name w:val="标题 5（有编号）（安华金和）"/>
    <w:basedOn w:val="1"/>
    <w:next w:val="1"/>
    <w:autoRedefine/>
    <w:qFormat/>
    <w:uiPriority w:val="0"/>
    <w:pPr>
      <w:keepNext/>
      <w:keepLines/>
      <w:numPr>
        <w:ilvl w:val="4"/>
        <w:numId w:val="4"/>
      </w:numPr>
      <w:spacing w:before="280" w:after="156" w:line="377" w:lineRule="auto"/>
      <w:ind w:left="0"/>
      <w:outlineLvl w:val="4"/>
    </w:pPr>
    <w:rPr>
      <w:rFonts w:ascii="Arial" w:hAnsi="Arial" w:eastAsia="黑体"/>
      <w:b/>
      <w:kern w:val="0"/>
      <w:sz w:val="24"/>
      <w:szCs w:val="28"/>
    </w:rPr>
  </w:style>
  <w:style w:type="paragraph" w:customStyle="1" w:styleId="64">
    <w:name w:val="List Paragraph11"/>
    <w:basedOn w:val="1"/>
    <w:next w:val="1"/>
    <w:autoRedefine/>
    <w:qFormat/>
    <w:uiPriority w:val="34"/>
    <w:pPr>
      <w:ind w:firstLine="420" w:firstLineChars="200"/>
    </w:pPr>
    <w:rPr>
      <w:rFonts w:ascii="Verdana" w:hAnsi="Verdana"/>
      <w:color w:val="000000"/>
      <w:sz w:val="20"/>
      <w:szCs w:val="20"/>
    </w:rPr>
  </w:style>
  <w:style w:type="character" w:customStyle="1" w:styleId="65">
    <w:name w:val="批注文字 字符"/>
    <w:autoRedefine/>
    <w:qFormat/>
    <w:uiPriority w:val="99"/>
    <w:rPr>
      <w:kern w:val="2"/>
      <w:sz w:val="21"/>
      <w:szCs w:val="24"/>
    </w:rPr>
  </w:style>
  <w:style w:type="character" w:customStyle="1" w:styleId="66">
    <w:name w:val="副标题 Char"/>
    <w:link w:val="19"/>
    <w:autoRedefine/>
    <w:qFormat/>
    <w:uiPriority w:val="0"/>
    <w:rPr>
      <w:rFonts w:ascii="Cambria" w:hAnsi="Cambria"/>
      <w:b/>
      <w:bCs/>
      <w:kern w:val="28"/>
      <w:sz w:val="32"/>
      <w:szCs w:val="32"/>
      <w:lang w:eastAsia="en-US"/>
    </w:rPr>
  </w:style>
  <w:style w:type="character" w:customStyle="1" w:styleId="67">
    <w:name w:val="正文文本缩进 Char"/>
    <w:basedOn w:val="24"/>
    <w:link w:val="14"/>
    <w:uiPriority w:val="0"/>
    <w:rPr>
      <w:rFonts w:ascii="宋体" w:hAnsi="宋体"/>
      <w:kern w:val="2"/>
      <w:sz w:val="21"/>
      <w:szCs w:val="24"/>
    </w:rPr>
  </w:style>
  <w:style w:type="character" w:customStyle="1" w:styleId="68">
    <w:name w:val="正文首行缩进 2 Char"/>
    <w:basedOn w:val="67"/>
    <w:link w:val="21"/>
    <w:qFormat/>
    <w:uiPriority w:val="0"/>
    <w:rPr>
      <w:rFonts w:ascii="宋体" w:hAnsi="宋体"/>
      <w:kern w:val="2"/>
      <w:sz w:val="21"/>
      <w:szCs w:val="24"/>
    </w:rPr>
  </w:style>
  <w:style w:type="character" w:customStyle="1" w:styleId="69">
    <w:name w:val="列出段落 Char1"/>
    <w:autoRedefine/>
    <w:qFormat/>
    <w:uiPriority w:val="34"/>
    <w:rPr>
      <w:rFonts w:eastAsia="宋体"/>
      <w:sz w:val="24"/>
      <w:szCs w:val="32"/>
      <w14:ligatures w14:val="none"/>
    </w:rPr>
  </w:style>
  <w:style w:type="character" w:customStyle="1" w:styleId="70">
    <w:name w:val="普通(网站) Char"/>
    <w:link w:val="20"/>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B705C-543B-4357-928A-64429BE7E2FE}">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7262</Words>
  <Characters>7569</Characters>
  <Lines>56</Lines>
  <Paragraphs>15</Paragraphs>
  <TotalTime>0</TotalTime>
  <ScaleCrop>false</ScaleCrop>
  <LinksUpToDate>false</LinksUpToDate>
  <CharactersWithSpaces>7591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2025-10-10T03:24:00Z</dcterms:created>
  <dc:creator>陈永辉</dc:creator>
  <cp:lastModifiedBy>赵杰</cp:lastModifiedBy>
  <dcterms:modified xsi:type="dcterms:W3CDTF">2025-10-20T03:38:51Z</dcterms:modified>
  <dc:title>1</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893A33361BAE49F980DFD3C9B25FB24E_13</vt:lpwstr>
  </property>
  <property fmtid="{D5CDD505-2E9C-101B-9397-08002B2CF9AE}" pid="4" name="KSOTemplateDocerSaveRecord">
    <vt:lpwstr>eyJoZGlkIjoiZTNmZWQ4ZDMyMDU2MTY4ZmY4YjFhYjNkNzYxMTI0OWEiLCJ1c2VySWQiOiI4MjEzNDE2NTAifQ==</vt:lpwstr>
  </property>
</Properties>
</file>