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6E075">
      <w:pPr>
        <w:spacing w:before="624" w:beforeLines="200" w:after="312" w:afterLines="100" w:line="360" w:lineRule="auto"/>
        <w:jc w:val="center"/>
        <w:rPr>
          <w:rFonts w:hint="eastAsia" w:ascii="宋体" w:hAnsi="宋体" w:eastAsia="宋体" w:cs="宋体"/>
          <w:b/>
          <w:sz w:val="44"/>
          <w:szCs w:val="30"/>
        </w:rPr>
      </w:pPr>
      <w:r>
        <w:rPr>
          <w:rFonts w:hint="eastAsia" w:ascii="宋体" w:hAnsi="宋体" w:eastAsia="宋体" w:cs="宋体"/>
          <w:b/>
          <w:sz w:val="44"/>
          <w:szCs w:val="30"/>
        </w:rPr>
        <w:t>医养康服务一体化平台可信模块项目需求</w:t>
      </w:r>
    </w:p>
    <w:p w14:paraId="4113284A">
      <w:pPr>
        <w:pStyle w:val="2"/>
        <w:numPr>
          <w:ilvl w:val="0"/>
          <w:numId w:val="3"/>
        </w:numPr>
        <w:spacing w:before="0" w:after="0"/>
        <w:rPr>
          <w:rFonts w:hint="eastAsia" w:ascii="宋体" w:hAnsi="宋体" w:eastAsia="宋体" w:cs="宋体"/>
          <w:sz w:val="32"/>
          <w:szCs w:val="32"/>
        </w:rPr>
      </w:pPr>
      <w:r>
        <w:rPr>
          <w:rFonts w:hint="eastAsia" w:ascii="宋体" w:hAnsi="宋体" w:eastAsia="宋体" w:cs="宋体"/>
          <w:sz w:val="32"/>
          <w:szCs w:val="32"/>
        </w:rPr>
        <w:t>项目名称</w:t>
      </w:r>
    </w:p>
    <w:p w14:paraId="73B87DEB">
      <w:pPr>
        <w:spacing w:line="360" w:lineRule="auto"/>
        <w:ind w:left="432"/>
        <w:rPr>
          <w:rFonts w:hint="eastAsia" w:ascii="宋体" w:hAnsi="宋体" w:eastAsia="宋体" w:cs="宋体"/>
          <w:sz w:val="24"/>
          <w:szCs w:val="24"/>
          <w:lang w:val="en-US" w:eastAsia="zh-CN"/>
        </w:rPr>
      </w:pPr>
      <w:r>
        <w:rPr>
          <w:rFonts w:hint="eastAsia" w:ascii="宋体" w:hAnsi="宋体" w:eastAsia="宋体" w:cs="宋体"/>
          <w:sz w:val="24"/>
          <w:szCs w:val="24"/>
        </w:rPr>
        <w:t>项目名称：医养康服务一体化平台可信模块</w:t>
      </w:r>
      <w:bookmarkStart w:id="4" w:name="_GoBack"/>
      <w:bookmarkEnd w:id="4"/>
    </w:p>
    <w:p w14:paraId="2723F81E">
      <w:pPr>
        <w:spacing w:line="360" w:lineRule="auto"/>
        <w:ind w:left="432"/>
        <w:rPr>
          <w:rFonts w:hint="eastAsia" w:ascii="宋体" w:hAnsi="宋体" w:eastAsia="宋体" w:cs="宋体"/>
          <w:sz w:val="22"/>
        </w:rPr>
      </w:pPr>
    </w:p>
    <w:p w14:paraId="4770787F">
      <w:pPr>
        <w:pStyle w:val="2"/>
        <w:numPr>
          <w:ilvl w:val="0"/>
          <w:numId w:val="3"/>
        </w:numPr>
        <w:spacing w:before="0" w:after="0"/>
        <w:rPr>
          <w:rFonts w:hint="eastAsia" w:ascii="宋体" w:hAnsi="宋体" w:eastAsia="宋体" w:cs="宋体"/>
          <w:b/>
          <w:bCs/>
          <w:vanish/>
          <w:kern w:val="44"/>
          <w:szCs w:val="21"/>
        </w:rPr>
      </w:pPr>
      <w:r>
        <w:rPr>
          <w:rFonts w:hint="eastAsia" w:ascii="宋体" w:hAnsi="宋体" w:eastAsia="宋体" w:cs="宋体"/>
          <w:sz w:val="32"/>
          <w:szCs w:val="32"/>
          <w:lang w:val="en-US" w:eastAsia="zh-CN"/>
        </w:rPr>
        <w:t>项目内容</w:t>
      </w:r>
    </w:p>
    <w:p w14:paraId="1B2D9331">
      <w:pPr>
        <w:rPr>
          <w:rFonts w:hint="eastAsia" w:ascii="宋体" w:hAnsi="宋体" w:eastAsia="宋体" w:cs="宋体"/>
        </w:rPr>
      </w:pPr>
    </w:p>
    <w:p w14:paraId="0FB67AC8">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rPr>
          <w:rFonts w:hint="eastAsia" w:ascii="宋体" w:hAnsi="宋体" w:eastAsia="宋体" w:cs="宋体"/>
          <w:lang w:val="zh-CN"/>
        </w:rPr>
      </w:pPr>
      <w:r>
        <w:rPr>
          <w:rFonts w:hint="eastAsia" w:ascii="宋体" w:hAnsi="宋体" w:eastAsia="宋体" w:cs="宋体"/>
          <w:lang w:val="zh-CN"/>
        </w:rPr>
        <w:t>为进一步落实国家关于数据要素化与可信流通的政策要求，2024年11月，国家数据局印发《可信数据空间发展行动计划（2024—2028年）》，提出要加快建设可信数据空间，推动数据要素合规、高效流通，形成具备可信管控、资源交互与价值共创能力的基础体系。随后，2025年4月，全国数据标准化技术委员会发布《可信数据空间 技术架构》，系统明确了可信数据空间的技术架构、最小功能集合、业务流程与安全要求，为各行业构建权属清晰、机制完善的数据共享与治理体系提供了技术规范依据。</w:t>
      </w:r>
    </w:p>
    <w:p w14:paraId="04ECC59E">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rPr>
          <w:rFonts w:hint="eastAsia" w:ascii="宋体" w:hAnsi="宋体" w:eastAsia="宋体" w:cs="宋体"/>
          <w:lang w:val="zh-CN"/>
        </w:rPr>
      </w:pPr>
      <w:r>
        <w:rPr>
          <w:rFonts w:hint="eastAsia" w:ascii="宋体" w:hAnsi="宋体" w:eastAsia="宋体" w:cs="宋体"/>
          <w:lang w:val="zh-CN"/>
        </w:rPr>
        <w:t>结合上述政策导向与标准要求，医养康领域作为涉及大量个人敏感信息和跨机构数据流通的重点领域，应建立一套政策驱动、技术支撑、制度闭环的可信数据空间机制。因此，拟在一体化平台基础上建设可信模块，强化数据确权、上链溯源、目录管理与访问控制，实现医养康数据在跨区域、跨机构间的安全、合规、可信流通，全面提升数据资产管理和服务应用的安全合规能力。</w:t>
      </w:r>
    </w:p>
    <w:tbl>
      <w:tblPr>
        <w:tblStyle w:val="23"/>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9"/>
        <w:gridCol w:w="3644"/>
        <w:gridCol w:w="3112"/>
        <w:gridCol w:w="1404"/>
      </w:tblGrid>
      <w:tr w14:paraId="20841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03" w:type="pct"/>
            <w:vAlign w:val="center"/>
          </w:tcPr>
          <w:p w14:paraId="18ADCAF9">
            <w:pPr>
              <w:jc w:val="center"/>
              <w:rPr>
                <w:rFonts w:hint="eastAsia" w:ascii="宋体" w:hAnsi="宋体" w:eastAsia="宋体" w:cs="宋体"/>
                <w:b/>
                <w:sz w:val="24"/>
                <w:szCs w:val="32"/>
              </w:rPr>
            </w:pPr>
            <w:r>
              <w:rPr>
                <w:rFonts w:hint="eastAsia" w:ascii="宋体" w:hAnsi="宋体" w:eastAsia="宋体" w:cs="宋体"/>
                <w:b/>
                <w:sz w:val="24"/>
                <w:szCs w:val="32"/>
              </w:rPr>
              <w:t>序号</w:t>
            </w:r>
          </w:p>
        </w:tc>
        <w:tc>
          <w:tcPr>
            <w:tcW w:w="1963" w:type="pct"/>
            <w:vAlign w:val="center"/>
          </w:tcPr>
          <w:p w14:paraId="28477C6B">
            <w:pPr>
              <w:jc w:val="center"/>
              <w:rPr>
                <w:rFonts w:hint="eastAsia" w:ascii="宋体" w:hAnsi="宋体" w:eastAsia="宋体" w:cs="宋体"/>
                <w:b/>
                <w:sz w:val="24"/>
                <w:szCs w:val="32"/>
              </w:rPr>
            </w:pPr>
            <w:r>
              <w:rPr>
                <w:rFonts w:hint="eastAsia" w:ascii="宋体" w:hAnsi="宋体" w:eastAsia="宋体" w:cs="宋体"/>
                <w:b/>
                <w:sz w:val="24"/>
                <w:szCs w:val="32"/>
              </w:rPr>
              <w:t>名称</w:t>
            </w:r>
          </w:p>
        </w:tc>
        <w:tc>
          <w:tcPr>
            <w:tcW w:w="1676" w:type="pct"/>
            <w:vAlign w:val="center"/>
          </w:tcPr>
          <w:p w14:paraId="000413E8">
            <w:pPr>
              <w:jc w:val="both"/>
              <w:rPr>
                <w:rFonts w:hint="eastAsia" w:ascii="宋体" w:hAnsi="宋体" w:eastAsia="宋体" w:cs="宋体"/>
                <w:b/>
                <w:sz w:val="24"/>
                <w:szCs w:val="32"/>
                <w:lang w:val="en-US" w:eastAsia="zh-CN"/>
              </w:rPr>
            </w:pPr>
            <w:r>
              <w:rPr>
                <w:rFonts w:hint="eastAsia" w:ascii="宋体" w:hAnsi="宋体" w:eastAsia="宋体" w:cs="宋体"/>
                <w:b/>
                <w:sz w:val="24"/>
                <w:szCs w:val="32"/>
                <w:lang w:val="en-US" w:eastAsia="zh-CN"/>
              </w:rPr>
              <w:t>配置</w:t>
            </w:r>
          </w:p>
        </w:tc>
        <w:tc>
          <w:tcPr>
            <w:tcW w:w="756" w:type="pct"/>
            <w:vAlign w:val="center"/>
          </w:tcPr>
          <w:p w14:paraId="45A38727">
            <w:pPr>
              <w:jc w:val="center"/>
              <w:rPr>
                <w:rFonts w:hint="eastAsia" w:ascii="宋体" w:hAnsi="宋体" w:eastAsia="宋体" w:cs="宋体"/>
                <w:b/>
                <w:sz w:val="24"/>
                <w:szCs w:val="32"/>
              </w:rPr>
            </w:pPr>
            <w:r>
              <w:rPr>
                <w:rFonts w:hint="eastAsia" w:ascii="宋体" w:hAnsi="宋体" w:eastAsia="宋体" w:cs="宋体"/>
                <w:b/>
                <w:sz w:val="24"/>
                <w:szCs w:val="32"/>
              </w:rPr>
              <w:t>数量</w:t>
            </w:r>
          </w:p>
        </w:tc>
      </w:tr>
      <w:tr w14:paraId="0AB60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603" w:type="pct"/>
            <w:vAlign w:val="center"/>
          </w:tcPr>
          <w:p w14:paraId="52C28F8C">
            <w:pPr>
              <w:jc w:val="center"/>
              <w:rPr>
                <w:rFonts w:hint="eastAsia" w:ascii="宋体" w:hAnsi="宋体" w:eastAsia="宋体" w:cs="宋体"/>
                <w:sz w:val="20"/>
                <w:szCs w:val="22"/>
              </w:rPr>
            </w:pPr>
            <w:r>
              <w:rPr>
                <w:rFonts w:hint="eastAsia" w:ascii="宋体" w:hAnsi="宋体" w:eastAsia="宋体" w:cs="宋体"/>
                <w:sz w:val="20"/>
                <w:szCs w:val="22"/>
              </w:rPr>
              <w:t>1</w:t>
            </w:r>
          </w:p>
        </w:tc>
        <w:tc>
          <w:tcPr>
            <w:tcW w:w="1963" w:type="pct"/>
            <w:vAlign w:val="center"/>
          </w:tcPr>
          <w:p w14:paraId="3B88ACF1">
            <w:pPr>
              <w:jc w:val="center"/>
              <w:rPr>
                <w:rFonts w:hint="eastAsia" w:ascii="宋体" w:hAnsi="宋体" w:eastAsia="宋体" w:cs="宋体"/>
                <w:sz w:val="22"/>
                <w:szCs w:val="22"/>
              </w:rPr>
            </w:pPr>
            <w:r>
              <w:rPr>
                <w:rFonts w:hint="eastAsia" w:ascii="宋体" w:hAnsi="宋体" w:eastAsia="宋体" w:cs="宋体"/>
                <w:sz w:val="22"/>
                <w:szCs w:val="22"/>
              </w:rPr>
              <w:t>医养康服务一体化平台可信模块</w:t>
            </w:r>
          </w:p>
        </w:tc>
        <w:tc>
          <w:tcPr>
            <w:tcW w:w="1676" w:type="pct"/>
            <w:vAlign w:val="center"/>
          </w:tcPr>
          <w:p w14:paraId="44F6E89F">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详见“三.详细参数”</w:t>
            </w:r>
          </w:p>
        </w:tc>
        <w:tc>
          <w:tcPr>
            <w:tcW w:w="756" w:type="pct"/>
            <w:vAlign w:val="center"/>
          </w:tcPr>
          <w:p w14:paraId="68331AC7">
            <w:pPr>
              <w:jc w:val="center"/>
              <w:rPr>
                <w:rFonts w:hint="eastAsia" w:ascii="宋体" w:hAnsi="宋体" w:eastAsia="宋体" w:cs="宋体"/>
                <w:color w:val="000000"/>
                <w:sz w:val="22"/>
                <w:szCs w:val="22"/>
              </w:rPr>
            </w:pPr>
            <w:r>
              <w:rPr>
                <w:rFonts w:hint="eastAsia" w:ascii="宋体" w:hAnsi="宋体" w:eastAsia="宋体" w:cs="宋体"/>
                <w:sz w:val="22"/>
                <w:szCs w:val="22"/>
              </w:rPr>
              <w:t>1</w:t>
            </w:r>
            <w:r>
              <w:rPr>
                <w:rFonts w:hint="eastAsia" w:ascii="宋体" w:hAnsi="宋体" w:eastAsia="宋体" w:cs="宋体"/>
                <w:sz w:val="22"/>
                <w:szCs w:val="22"/>
                <w:lang w:val="en-US" w:eastAsia="zh-CN"/>
              </w:rPr>
              <w:t>套</w:t>
            </w:r>
          </w:p>
        </w:tc>
      </w:tr>
    </w:tbl>
    <w:p w14:paraId="5F25C3F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lang w:val="zh-CN"/>
        </w:rPr>
      </w:pPr>
    </w:p>
    <w:p w14:paraId="13C86D4E">
      <w:pPr>
        <w:pStyle w:val="2"/>
        <w:numPr>
          <w:ilvl w:val="0"/>
          <w:numId w:val="3"/>
        </w:numPr>
        <w:spacing w:before="0" w:after="0"/>
        <w:rPr>
          <w:rFonts w:hint="eastAsia" w:ascii="宋体" w:hAnsi="宋体" w:eastAsia="宋体" w:cs="宋体"/>
          <w:sz w:val="32"/>
          <w:szCs w:val="32"/>
        </w:rPr>
      </w:pPr>
      <w:r>
        <w:rPr>
          <w:rFonts w:hint="eastAsia" w:ascii="宋体" w:hAnsi="宋体" w:eastAsia="宋体" w:cs="宋体"/>
          <w:sz w:val="32"/>
          <w:szCs w:val="32"/>
        </w:rPr>
        <w:t>详细参数</w:t>
      </w:r>
      <w:bookmarkStart w:id="0" w:name="_6.1.1、大数据服务器"/>
      <w:bookmarkEnd w:id="0"/>
    </w:p>
    <w:p w14:paraId="395A87FE">
      <w:pPr>
        <w:keepNext w:val="0"/>
        <w:keepLines w:val="0"/>
        <w:pageBreakBefore w:val="0"/>
        <w:widowControl w:val="0"/>
        <w:numPr>
          <w:ilvl w:val="0"/>
          <w:numId w:val="0"/>
        </w:numPr>
        <w:kinsoku/>
        <w:wordWrap/>
        <w:overflowPunct/>
        <w:topLinePunct w:val="0"/>
        <w:autoSpaceDE/>
        <w:autoSpaceDN/>
        <w:bidi w:val="0"/>
        <w:adjustRightInd/>
        <w:snapToGrid/>
        <w:ind w:firstLine="420" w:firstLineChars="0"/>
        <w:textAlignment w:val="auto"/>
        <w:rPr>
          <w:rFonts w:hint="eastAsia" w:ascii="宋体" w:hAnsi="宋体" w:eastAsia="宋体" w:cs="宋体"/>
          <w:lang w:val="en-US" w:eastAsia="zh-CN"/>
        </w:rPr>
      </w:pPr>
      <w:bookmarkStart w:id="1" w:name="_6.1.2、容器服务器"/>
      <w:bookmarkEnd w:id="1"/>
      <w:r>
        <w:rPr>
          <w:rFonts w:hint="eastAsia" w:ascii="宋体" w:hAnsi="宋体" w:eastAsia="宋体" w:cs="宋体"/>
          <w:lang w:val="en-US" w:eastAsia="zh-CN"/>
        </w:rPr>
        <w:t>医养康服务一体化平台可信模块功能详细参数如下：</w:t>
      </w:r>
    </w:p>
    <w:tbl>
      <w:tblPr>
        <w:tblStyle w:val="2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0"/>
        <w:gridCol w:w="1249"/>
        <w:gridCol w:w="1275"/>
        <w:gridCol w:w="1216"/>
        <w:gridCol w:w="4349"/>
      </w:tblGrid>
      <w:tr w14:paraId="4F3A1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2605D">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系统名称</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BCC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一级模块</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D95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二级模块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B91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三级模块</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127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功能描述</w:t>
            </w:r>
          </w:p>
        </w:tc>
      </w:tr>
      <w:tr w14:paraId="0839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CAE36">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医养康服务一体化平台可信模块</w:t>
            </w: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ED237">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数据治理</w:t>
            </w:r>
          </w:p>
          <w:p w14:paraId="32FDA235">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流程上链</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A832">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业务范围</w:t>
            </w:r>
          </w:p>
          <w:p w14:paraId="01A289D0">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梳理</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FEFA">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医养康</w:t>
            </w:r>
          </w:p>
          <w:p w14:paraId="204DBD6A">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业务上链范围确认</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EF8D">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支持对医养康业务范围进行梳理和上链范围界定。</w:t>
            </w:r>
          </w:p>
        </w:tc>
      </w:tr>
      <w:tr w14:paraId="5A44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D68FE">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94AC">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52B3">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数据目录</w:t>
            </w:r>
          </w:p>
          <w:p w14:paraId="70894B38">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整理</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6368E">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数据资产</w:t>
            </w:r>
          </w:p>
          <w:p w14:paraId="13A6FBC4">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目录上链</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A86A">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将数据目录（库表、接口、元数据）统一上链存证。</w:t>
            </w:r>
          </w:p>
        </w:tc>
      </w:tr>
      <w:tr w14:paraId="0DFFD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F5F6">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FCEE5">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4E62">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数据血缘</w:t>
            </w:r>
          </w:p>
          <w:p w14:paraId="799E6F74">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管理</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75B5">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血缘关系</w:t>
            </w:r>
          </w:p>
          <w:p w14:paraId="1F671795">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上链</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92BB">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将数据的来源、加工、消费全过程记录在链，实现可追踪。</w:t>
            </w:r>
          </w:p>
        </w:tc>
      </w:tr>
      <w:tr w14:paraId="6889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9"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156A4">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94C40">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1A39">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数据操作</w:t>
            </w:r>
          </w:p>
          <w:p w14:paraId="00F7C899">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留痕</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3CAA">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数据流转</w:t>
            </w:r>
          </w:p>
          <w:p w14:paraId="52BFB854">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日志上链</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FCAF">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将数据采集、清洗、共享等关键操作过程全量留痕并上链。</w:t>
            </w:r>
          </w:p>
        </w:tc>
      </w:tr>
      <w:tr w14:paraId="3722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6E289">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A271F">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数据目录</w:t>
            </w:r>
          </w:p>
          <w:p w14:paraId="753B5A1E">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上链溯源</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F4C9">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数据来源</w:t>
            </w:r>
          </w:p>
          <w:p w14:paraId="326671C9">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确认</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4C169">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来源目录</w:t>
            </w:r>
          </w:p>
          <w:p w14:paraId="16969646">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管理</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4CA2">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对医养康数据源进行来源登记与上链。</w:t>
            </w:r>
          </w:p>
        </w:tc>
      </w:tr>
      <w:tr w14:paraId="12BB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7F358">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E4E57">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1655">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数据项</w:t>
            </w:r>
          </w:p>
          <w:p w14:paraId="46E150CF">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溯源</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974AE">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元数据项</w:t>
            </w:r>
          </w:p>
          <w:p w14:paraId="1CBD771C">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上链</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F4AE">
            <w:pPr>
              <w:widowControl/>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按字段级别上链数据来源信息，确保细粒度溯源。</w:t>
            </w:r>
          </w:p>
        </w:tc>
      </w:tr>
      <w:tr w14:paraId="6FB9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ACCE0">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272C4">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1E614">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数据标签</w:t>
            </w:r>
          </w:p>
          <w:p w14:paraId="571D9177">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管理</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EF6F">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标签化</w:t>
            </w:r>
          </w:p>
          <w:p w14:paraId="17976987">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标记</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864E">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对数据进行来源单位、共享级别等标签化管理。</w:t>
            </w:r>
          </w:p>
        </w:tc>
      </w:tr>
      <w:tr w14:paraId="0872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6"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C5492">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06BA">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64D7">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数据目录</w:t>
            </w:r>
          </w:p>
          <w:p w14:paraId="2611DE97">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查询</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A4D0">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链上目录</w:t>
            </w:r>
          </w:p>
          <w:p w14:paraId="46FA0536">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搜索</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5294">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提供目录溯源信息的可视化检索与验证。</w:t>
            </w:r>
          </w:p>
        </w:tc>
      </w:tr>
      <w:tr w14:paraId="73E1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C72A0">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1937D">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4CE9">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合规审计</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2EA4">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数据共享</w:t>
            </w:r>
          </w:p>
          <w:p w14:paraId="129D2D21">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合规验证</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B44A4">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对共享数据的合规性、合法性进行校验。</w:t>
            </w:r>
          </w:p>
        </w:tc>
      </w:tr>
      <w:tr w14:paraId="75CB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DBC5">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47AFA">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老年人</w:t>
            </w:r>
          </w:p>
          <w:p w14:paraId="585D5180">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信息管理</w:t>
            </w:r>
          </w:p>
          <w:p w14:paraId="6A326C28">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展示</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8A1D">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老年人</w:t>
            </w:r>
          </w:p>
          <w:p w14:paraId="12B889AB">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档案管理</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CF52">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健康档案</w:t>
            </w:r>
          </w:p>
          <w:p w14:paraId="68C078C5">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可信展示</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F6D5">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展示老年人基本信息、健康信息、慢病管理、康复信息、机构养老、综合评估、流转记录、康养服务等。</w:t>
            </w:r>
          </w:p>
        </w:tc>
      </w:tr>
      <w:tr w14:paraId="4017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FA39B">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E62B">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B0B2C">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老年人</w:t>
            </w:r>
          </w:p>
          <w:p w14:paraId="7B7510D4">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健康指标</w:t>
            </w:r>
          </w:p>
          <w:p w14:paraId="240D3DF3">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展示</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9485">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健康指标</w:t>
            </w:r>
          </w:p>
          <w:p w14:paraId="12113CD6">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可视化</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A88B">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展示老年人血压、血糖、心率等监测指标趋势。</w:t>
            </w:r>
          </w:p>
        </w:tc>
      </w:tr>
      <w:tr w14:paraId="0755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8B130">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01F6C">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2E53">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适老化</w:t>
            </w:r>
          </w:p>
          <w:p w14:paraId="05CA6AAF">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界面</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95B4">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老年人信息可视化</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E86F">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提供适配老年群体的界面展示，方便家属与医生查看。</w:t>
            </w:r>
          </w:p>
        </w:tc>
      </w:tr>
      <w:tr w14:paraId="481F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E5522">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90D5D">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监管与</w:t>
            </w:r>
          </w:p>
          <w:p w14:paraId="66FB29B4">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val="en-US" w:eastAsia="zh-CN" w:bidi="ar"/>
              </w:rPr>
              <w:t>审计</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A98B">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数据使用</w:t>
            </w:r>
          </w:p>
          <w:p w14:paraId="4216D9A5">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监管</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49FA">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跨机构访问留痕</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C864">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记录并监管不同机构的跨域访问行为。</w:t>
            </w:r>
          </w:p>
        </w:tc>
      </w:tr>
      <w:tr w14:paraId="7113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33B3">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53DBA">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E9ED">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数据共享统计分析</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6769">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调用频率与来源</w:t>
            </w:r>
          </w:p>
          <w:p w14:paraId="7135FB6B">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统计</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FED5">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统计跨机构数据调用情况并生成报表。</w:t>
            </w:r>
          </w:p>
        </w:tc>
      </w:tr>
      <w:tr w14:paraId="71F6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23970">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AD6A0">
            <w:pPr>
              <w:widowControl/>
              <w:ind w:left="0" w:leftChars="0" w:right="0" w:rightChars="0" w:firstLine="0" w:firstLineChars="0"/>
              <w:jc w:val="center"/>
              <w:textAlignment w:val="center"/>
              <w:rPr>
                <w:rFonts w:hint="eastAsia" w:ascii="宋体" w:hAnsi="宋体" w:eastAsia="宋体" w:cs="宋体"/>
                <w:color w:val="000000"/>
                <w:kern w:val="0"/>
                <w:sz w:val="21"/>
                <w:szCs w:val="21"/>
                <w:lang w:bidi="ar"/>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5722">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数据访问权限控制</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91CDC">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权限分级</w:t>
            </w:r>
          </w:p>
          <w:p w14:paraId="46C9A6C2">
            <w:pPr>
              <w:widowControl/>
              <w:ind w:left="0" w:leftChars="0" w:right="0" w:rightChars="0" w:firstLine="0" w:firstLine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管理</w:t>
            </w:r>
          </w:p>
        </w:tc>
        <w:tc>
          <w:tcPr>
            <w:tcW w:w="2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19EC">
            <w:pPr>
              <w:widowControl/>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按角色和机构维度控制数据访问权限。</w:t>
            </w:r>
          </w:p>
        </w:tc>
      </w:tr>
    </w:tbl>
    <w:p w14:paraId="63DCFEDF">
      <w:pPr>
        <w:rPr>
          <w:rFonts w:hint="eastAsia" w:ascii="宋体" w:hAnsi="宋体" w:eastAsia="宋体" w:cs="宋体"/>
        </w:rPr>
      </w:pPr>
    </w:p>
    <w:p w14:paraId="39A28F93">
      <w:pPr>
        <w:pStyle w:val="2"/>
        <w:numPr>
          <w:ilvl w:val="0"/>
          <w:numId w:val="3"/>
        </w:numPr>
        <w:spacing w:before="0" w:after="0"/>
        <w:rPr>
          <w:rFonts w:hint="eastAsia" w:ascii="宋体" w:hAnsi="宋体" w:eastAsia="宋体" w:cs="宋体"/>
          <w:sz w:val="32"/>
          <w:szCs w:val="32"/>
        </w:rPr>
      </w:pPr>
      <w:r>
        <w:rPr>
          <w:rFonts w:hint="eastAsia" w:ascii="宋体" w:hAnsi="宋体" w:eastAsia="宋体" w:cs="宋体"/>
          <w:sz w:val="32"/>
          <w:szCs w:val="32"/>
        </w:rPr>
        <w:t>项目工期</w:t>
      </w:r>
    </w:p>
    <w:p w14:paraId="3D70A17E">
      <w:pPr>
        <w:bidi w:val="0"/>
        <w:rPr>
          <w:rFonts w:hint="eastAsia" w:ascii="宋体" w:hAnsi="宋体" w:eastAsia="宋体" w:cs="宋体"/>
        </w:rPr>
      </w:pPr>
      <w:r>
        <w:rPr>
          <w:rFonts w:hint="eastAsia" w:ascii="宋体" w:hAnsi="宋体" w:eastAsia="宋体" w:cs="宋体"/>
          <w:lang w:val="en-US" w:eastAsia="zh-CN"/>
        </w:rPr>
        <w:tab/>
      </w:r>
      <w:r>
        <w:rPr>
          <w:rFonts w:hint="eastAsia" w:ascii="宋体" w:hAnsi="宋体" w:eastAsia="宋体" w:cs="宋体"/>
        </w:rPr>
        <w:t>合同签订日起</w:t>
      </w:r>
      <w:r>
        <w:rPr>
          <w:rFonts w:hint="eastAsia" w:ascii="宋体" w:hAnsi="宋体" w:eastAsia="宋体" w:cs="宋体"/>
          <w:lang w:val="en-US" w:eastAsia="zh-CN"/>
        </w:rPr>
        <w:t xml:space="preserve"> 1</w:t>
      </w:r>
      <w:r>
        <w:rPr>
          <w:rFonts w:hint="eastAsia" w:ascii="宋体" w:hAnsi="宋体" w:eastAsia="宋体" w:cs="宋体"/>
        </w:rPr>
        <w:t>个月</w:t>
      </w:r>
      <w:r>
        <w:rPr>
          <w:rFonts w:hint="eastAsia" w:ascii="宋体" w:hAnsi="宋体" w:eastAsia="宋体" w:cs="宋体"/>
          <w:lang w:val="en-US" w:eastAsia="zh-CN"/>
        </w:rPr>
        <w:t>内</w:t>
      </w:r>
      <w:r>
        <w:rPr>
          <w:rFonts w:hint="eastAsia" w:ascii="宋体" w:hAnsi="宋体" w:eastAsia="宋体" w:cs="宋体"/>
        </w:rPr>
        <w:t>。</w:t>
      </w:r>
    </w:p>
    <w:p w14:paraId="3371BD7B">
      <w:pPr>
        <w:bidi w:val="0"/>
        <w:rPr>
          <w:rFonts w:hint="eastAsia" w:ascii="宋体" w:hAnsi="宋体" w:eastAsia="宋体" w:cs="宋体"/>
        </w:rPr>
      </w:pPr>
    </w:p>
    <w:p w14:paraId="7EDDC7E4">
      <w:pPr>
        <w:pStyle w:val="2"/>
        <w:numPr>
          <w:ilvl w:val="0"/>
          <w:numId w:val="4"/>
        </w:numPr>
        <w:spacing w:before="0" w:after="0"/>
        <w:rPr>
          <w:rFonts w:hint="eastAsia" w:ascii="宋体" w:hAnsi="宋体" w:eastAsia="宋体" w:cs="宋体"/>
          <w:sz w:val="32"/>
          <w:szCs w:val="32"/>
        </w:rPr>
      </w:pPr>
      <w:r>
        <w:rPr>
          <w:rFonts w:hint="eastAsia" w:ascii="宋体" w:hAnsi="宋体" w:eastAsia="宋体" w:cs="宋体"/>
          <w:sz w:val="32"/>
          <w:szCs w:val="32"/>
        </w:rPr>
        <w:t>集成技术及实施服务要求</w:t>
      </w:r>
    </w:p>
    <w:p w14:paraId="1529B3F8">
      <w:pPr>
        <w:bidi w:val="0"/>
        <w:ind w:firstLine="420" w:firstLineChars="0"/>
        <w:rPr>
          <w:rFonts w:hint="eastAsia" w:ascii="宋体" w:hAnsi="宋体" w:eastAsia="宋体" w:cs="宋体"/>
        </w:rPr>
      </w:pPr>
      <w:r>
        <w:rPr>
          <w:rFonts w:hint="eastAsia" w:ascii="宋体" w:hAnsi="宋体" w:eastAsia="宋体" w:cs="宋体"/>
        </w:rPr>
        <w:t>项目实施期内承建商提供专职工程师负责本项目实施，工作时间与院方工作时间一致，并且提供7*24小时响应服务。</w:t>
      </w:r>
    </w:p>
    <w:p w14:paraId="376DAEB8">
      <w:pPr>
        <w:bidi w:val="0"/>
        <w:ind w:firstLine="420" w:firstLineChars="0"/>
        <w:rPr>
          <w:rFonts w:hint="eastAsia" w:ascii="宋体" w:hAnsi="宋体" w:eastAsia="宋体" w:cs="宋体"/>
        </w:rPr>
      </w:pPr>
      <w:r>
        <w:rPr>
          <w:rFonts w:hint="eastAsia" w:ascii="宋体" w:hAnsi="宋体" w:eastAsia="宋体" w:cs="宋体"/>
        </w:rPr>
        <w:t>项目承建商需根据院方的详细需求，提交项目系统培训实施方案，方案得到院方确认后实施，保证系统按时、正常地投入运行。</w:t>
      </w:r>
    </w:p>
    <w:p w14:paraId="7D423629">
      <w:pPr>
        <w:bidi w:val="0"/>
        <w:ind w:firstLine="420" w:firstLineChars="0"/>
        <w:rPr>
          <w:rFonts w:hint="eastAsia" w:ascii="宋体" w:hAnsi="宋体" w:eastAsia="宋体" w:cs="宋体"/>
        </w:rPr>
      </w:pPr>
      <w:r>
        <w:rPr>
          <w:rFonts w:hint="eastAsia" w:ascii="宋体" w:hAnsi="宋体" w:eastAsia="宋体" w:cs="宋体"/>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33E011EB">
      <w:pPr>
        <w:bidi w:val="0"/>
        <w:ind w:firstLine="420" w:firstLineChars="0"/>
        <w:rPr>
          <w:rFonts w:hint="eastAsia" w:ascii="宋体" w:hAnsi="宋体" w:eastAsia="宋体" w:cs="宋体"/>
        </w:rPr>
      </w:pPr>
      <w:r>
        <w:rPr>
          <w:rFonts w:hint="eastAsia" w:ascii="宋体" w:hAnsi="宋体" w:eastAsia="宋体" w:cs="宋体"/>
        </w:rPr>
        <w:t>验收由承建商给出具体的验收计划、测试的内容和方法，经院方审核通过后，方可进行验收工作。</w:t>
      </w:r>
    </w:p>
    <w:p w14:paraId="7EBBBA01">
      <w:pPr>
        <w:bidi w:val="0"/>
        <w:ind w:firstLine="420" w:firstLineChars="0"/>
        <w:rPr>
          <w:rFonts w:hint="eastAsia" w:ascii="宋体" w:hAnsi="宋体" w:eastAsia="宋体" w:cs="宋体"/>
        </w:rPr>
      </w:pPr>
    </w:p>
    <w:p w14:paraId="0F28B60E">
      <w:pPr>
        <w:pStyle w:val="2"/>
        <w:numPr>
          <w:ilvl w:val="0"/>
          <w:numId w:val="4"/>
        </w:numPr>
        <w:spacing w:before="0" w:after="0"/>
        <w:rPr>
          <w:rFonts w:hint="eastAsia" w:ascii="宋体" w:hAnsi="宋体" w:eastAsia="宋体" w:cs="宋体"/>
          <w:sz w:val="32"/>
          <w:szCs w:val="32"/>
        </w:rPr>
      </w:pPr>
      <w:bookmarkStart w:id="2" w:name="OLE_LINK4"/>
      <w:r>
        <w:rPr>
          <w:rFonts w:hint="eastAsia" w:ascii="宋体" w:hAnsi="宋体" w:eastAsia="宋体" w:cs="宋体"/>
          <w:sz w:val="32"/>
          <w:szCs w:val="32"/>
        </w:rPr>
        <w:t>后续维护服务</w:t>
      </w:r>
      <w:bookmarkEnd w:id="2"/>
    </w:p>
    <w:p w14:paraId="10D991CB">
      <w:pPr>
        <w:bidi w:val="0"/>
        <w:ind w:firstLine="420" w:firstLineChars="0"/>
        <w:rPr>
          <w:rFonts w:hint="eastAsia" w:ascii="宋体" w:hAnsi="宋体" w:eastAsia="宋体" w:cs="宋体"/>
        </w:rPr>
      </w:pPr>
      <w:r>
        <w:rPr>
          <w:rFonts w:hint="eastAsia" w:ascii="宋体" w:hAnsi="宋体" w:eastAsia="宋体" w:cs="宋体"/>
        </w:rPr>
        <w:t>本项目软件维护期从软件验收合格之日算起，期限为</w:t>
      </w:r>
      <w:r>
        <w:rPr>
          <w:rFonts w:hint="eastAsia" w:ascii="宋体" w:hAnsi="宋体" w:eastAsia="宋体" w:cs="宋体"/>
          <w:lang w:val="en-US" w:eastAsia="zh-CN"/>
        </w:rPr>
        <w:t>24</w:t>
      </w:r>
      <w:r>
        <w:rPr>
          <w:rFonts w:hint="eastAsia" w:ascii="宋体" w:hAnsi="宋体" w:eastAsia="宋体" w:cs="宋体"/>
        </w:rPr>
        <w:t>个月。在维护期内，承建商提供技术支持和指导，以及功能的局部改进完善、故障情况下的现场问题解决。</w:t>
      </w:r>
    </w:p>
    <w:p w14:paraId="0E2FE576">
      <w:pPr>
        <w:bidi w:val="0"/>
        <w:ind w:firstLine="420" w:firstLineChars="0"/>
        <w:rPr>
          <w:rFonts w:hint="eastAsia" w:ascii="宋体" w:hAnsi="宋体" w:eastAsia="宋体" w:cs="宋体"/>
        </w:rPr>
      </w:pPr>
      <w:r>
        <w:rPr>
          <w:rFonts w:hint="eastAsia" w:ascii="宋体" w:hAnsi="宋体" w:eastAsia="宋体" w:cs="宋体"/>
        </w:rPr>
        <w:t>维保期内承建商为院方提供专职技术人员进行维护服务，工作时间与院方工作时间一致，并且提供7*24小时响应服务。</w:t>
      </w:r>
    </w:p>
    <w:p w14:paraId="788EFC20">
      <w:pPr>
        <w:bidi w:val="0"/>
        <w:ind w:firstLine="420" w:firstLineChars="0"/>
        <w:rPr>
          <w:rFonts w:hint="eastAsia" w:ascii="宋体" w:hAnsi="宋体" w:eastAsia="宋体" w:cs="宋体"/>
        </w:rPr>
      </w:pPr>
      <w:r>
        <w:rPr>
          <w:rFonts w:hint="eastAsia" w:ascii="宋体" w:hAnsi="宋体" w:eastAsia="宋体" w:cs="宋体"/>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1C7DC4E7">
      <w:pPr>
        <w:bidi w:val="0"/>
        <w:ind w:firstLine="420" w:firstLineChars="0"/>
        <w:rPr>
          <w:rFonts w:hint="eastAsia" w:ascii="宋体" w:hAnsi="宋体" w:eastAsia="宋体" w:cs="宋体"/>
        </w:rPr>
      </w:pPr>
      <w:r>
        <w:rPr>
          <w:rFonts w:hint="eastAsia" w:ascii="宋体" w:hAnsi="宋体" w:eastAsia="宋体" w:cs="宋体"/>
        </w:rPr>
        <w:t>超过维护期的，双方另行协商签订维护合同，其中软件部分年维护费不超过合同软件部分金额的</w:t>
      </w:r>
      <w:r>
        <w:rPr>
          <w:rFonts w:hint="eastAsia" w:ascii="宋体" w:hAnsi="宋体" w:eastAsia="宋体" w:cs="宋体"/>
          <w:lang w:val="en-US" w:eastAsia="zh-CN"/>
        </w:rPr>
        <w:t>5</w:t>
      </w:r>
      <w:r>
        <w:rPr>
          <w:rFonts w:hint="eastAsia" w:ascii="宋体" w:hAnsi="宋体" w:eastAsia="宋体" w:cs="宋体"/>
        </w:rPr>
        <w:t>%。</w:t>
      </w:r>
    </w:p>
    <w:p w14:paraId="3CCACBA9">
      <w:pPr>
        <w:bidi w:val="0"/>
        <w:ind w:firstLine="420" w:firstLineChars="0"/>
        <w:rPr>
          <w:rFonts w:hint="eastAsia" w:ascii="宋体" w:hAnsi="宋体" w:eastAsia="宋体" w:cs="宋体"/>
        </w:rPr>
      </w:pPr>
    </w:p>
    <w:p w14:paraId="2A85E7A3">
      <w:pPr>
        <w:pStyle w:val="2"/>
        <w:numPr>
          <w:ilvl w:val="0"/>
          <w:numId w:val="4"/>
        </w:numPr>
        <w:spacing w:before="0" w:after="0"/>
        <w:rPr>
          <w:rFonts w:hint="eastAsia" w:ascii="宋体" w:hAnsi="宋体" w:eastAsia="宋体" w:cs="宋体"/>
          <w:sz w:val="32"/>
          <w:szCs w:val="32"/>
        </w:rPr>
      </w:pPr>
      <w:r>
        <w:rPr>
          <w:rFonts w:hint="eastAsia" w:ascii="宋体" w:hAnsi="宋体" w:eastAsia="宋体" w:cs="宋体"/>
          <w:sz w:val="32"/>
          <w:szCs w:val="32"/>
        </w:rPr>
        <w:t>合同款支付方式</w:t>
      </w:r>
    </w:p>
    <w:p w14:paraId="167A3AA4">
      <w:pPr>
        <w:bidi w:val="0"/>
        <w:ind w:firstLine="420" w:firstLineChars="0"/>
        <w:rPr>
          <w:rFonts w:hint="eastAsia" w:ascii="宋体" w:hAnsi="宋体" w:eastAsia="宋体" w:cs="宋体"/>
        </w:rPr>
      </w:pPr>
      <w:r>
        <w:rPr>
          <w:rFonts w:hint="eastAsia" w:ascii="宋体" w:hAnsi="宋体" w:eastAsia="宋体" w:cs="宋体"/>
        </w:rPr>
        <w:t>(一)合同签订后，在收到承建商开具相应金额正式发票后，支付合同总金额的30%。</w:t>
      </w:r>
    </w:p>
    <w:p w14:paraId="29B542EC">
      <w:pPr>
        <w:bidi w:val="0"/>
        <w:ind w:firstLine="420" w:firstLineChars="0"/>
        <w:rPr>
          <w:rFonts w:hint="eastAsia" w:ascii="宋体" w:hAnsi="宋体" w:eastAsia="宋体" w:cs="宋体"/>
        </w:rPr>
      </w:pPr>
      <w:r>
        <w:rPr>
          <w:rFonts w:hint="eastAsia" w:ascii="宋体" w:hAnsi="宋体" w:eastAsia="宋体" w:cs="宋体"/>
        </w:rPr>
        <w:t>(二)</w:t>
      </w:r>
      <w:bookmarkStart w:id="3" w:name="OLE_LINK3"/>
      <w:r>
        <w:rPr>
          <w:rFonts w:hint="eastAsia" w:ascii="宋体" w:hAnsi="宋体" w:eastAsia="宋体" w:cs="宋体"/>
          <w:lang w:val="en-US" w:eastAsia="zh-CN"/>
        </w:rPr>
        <w:t>项目</w:t>
      </w:r>
      <w:r>
        <w:rPr>
          <w:rFonts w:hint="eastAsia" w:ascii="宋体" w:hAnsi="宋体" w:eastAsia="宋体" w:cs="宋体"/>
        </w:rPr>
        <w:t>验收通过</w:t>
      </w:r>
      <w:r>
        <w:rPr>
          <w:rFonts w:hint="eastAsia" w:ascii="宋体" w:hAnsi="宋体" w:eastAsia="宋体" w:cs="宋体"/>
          <w:lang w:val="en-US" w:eastAsia="zh-CN"/>
        </w:rPr>
        <w:t>后</w:t>
      </w:r>
      <w:r>
        <w:rPr>
          <w:rFonts w:hint="eastAsia" w:ascii="宋体" w:hAnsi="宋体" w:eastAsia="宋体" w:cs="宋体"/>
        </w:rPr>
        <w:t>，</w:t>
      </w:r>
      <w:r>
        <w:rPr>
          <w:rFonts w:hint="eastAsia" w:ascii="宋体" w:hAnsi="宋体" w:eastAsia="宋体" w:cs="宋体"/>
          <w:lang w:val="en-US" w:eastAsia="zh-CN"/>
        </w:rPr>
        <w:t>在收到承建商</w:t>
      </w:r>
      <w:r>
        <w:rPr>
          <w:rFonts w:hint="eastAsia" w:ascii="宋体" w:hAnsi="宋体" w:eastAsia="宋体" w:cs="宋体"/>
        </w:rPr>
        <w:t>开具相应金额正式发票以及《售后服务履约承诺函》后，支付合同总金额的70%。</w:t>
      </w:r>
      <w:bookmarkEnd w:id="3"/>
    </w:p>
    <w:p w14:paraId="02F2166F">
      <w:pPr>
        <w:spacing w:line="360" w:lineRule="auto"/>
        <w:ind w:firstLine="420" w:firstLineChars="0"/>
        <w:rPr>
          <w:rFonts w:hint="eastAsia" w:ascii="宋体" w:hAnsi="宋体" w:eastAsia="宋体" w:cs="宋体"/>
          <w:color w:val="000000"/>
          <w:szCs w:val="24"/>
        </w:rPr>
      </w:pPr>
    </w:p>
    <w:sectPr>
      <w:footerReference r:id="rId5" w:type="default"/>
      <w:pgSz w:w="11906" w:h="16838"/>
      <w:pgMar w:top="1021" w:right="1418" w:bottom="1021"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4C56D">
    <w:pPr>
      <w:pStyle w:val="18"/>
      <w:ind w:left="1441"/>
      <w:jc w:val="center"/>
      <w:rPr>
        <w:caps/>
        <w:color w:val="auto"/>
      </w:rPr>
    </w:pPr>
    <w:r>
      <w:rPr>
        <w:caps/>
        <w:color w:val="auto"/>
      </w:rPr>
      <w:fldChar w:fldCharType="begin"/>
    </w:r>
    <w:r>
      <w:rPr>
        <w:caps/>
        <w:color w:val="auto"/>
      </w:rPr>
      <w:instrText xml:space="preserve">PAGE   \* MERGEFORMAT</w:instrText>
    </w:r>
    <w:r>
      <w:rPr>
        <w:caps/>
        <w:color w:val="auto"/>
      </w:rPr>
      <w:fldChar w:fldCharType="separate"/>
    </w:r>
    <w:r>
      <w:rPr>
        <w:caps/>
        <w:color w:val="auto"/>
      </w:rPr>
      <w:t>8</w:t>
    </w:r>
    <w:r>
      <w:rPr>
        <w:caps/>
        <w:color w:val="auto"/>
      </w:rPr>
      <w:fldChar w:fldCharType="end"/>
    </w:r>
  </w:p>
  <w:p w14:paraId="492AA5CD">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4"/>
      <w:lvlText w:val="%1. "/>
      <w:lvlJc w:val="left"/>
      <w:pPr>
        <w:ind w:left="420" w:hanging="420"/>
      </w:pPr>
      <w:rPr>
        <w:rFonts w:hint="default" w:ascii="Times New Roman" w:hAnsi="Times New Roman" w:eastAsia="宋体"/>
        <w:b/>
        <w:i w:val="0"/>
      </w:rPr>
    </w:lvl>
    <w:lvl w:ilvl="1" w:tentative="0">
      <w:start w:val="1"/>
      <w:numFmt w:val="decimal"/>
      <w:pStyle w:val="57"/>
      <w:isLgl/>
      <w:suff w:val="space"/>
      <w:lvlText w:val="%1.%2 "/>
      <w:lvlJc w:val="left"/>
      <w:pPr>
        <w:ind w:left="3913" w:hanging="794"/>
      </w:pPr>
      <w:rPr>
        <w:rFonts w:hint="eastAsia"/>
      </w:rPr>
    </w:lvl>
    <w:lvl w:ilvl="2" w:tentative="0">
      <w:start w:val="1"/>
      <w:numFmt w:val="decimal"/>
      <w:pStyle w:val="63"/>
      <w:isLgl/>
      <w:suff w:val="space"/>
      <w:lvlText w:val="%1.%2.%3 "/>
      <w:lvlJc w:val="left"/>
      <w:pPr>
        <w:ind w:left="907" w:hanging="907"/>
      </w:pPr>
      <w:rPr>
        <w:rFonts w:hint="eastAsia"/>
      </w:rPr>
    </w:lvl>
    <w:lvl w:ilvl="3" w:tentative="0">
      <w:start w:val="1"/>
      <w:numFmt w:val="decimal"/>
      <w:pStyle w:val="62"/>
      <w:isLgl/>
      <w:suff w:val="space"/>
      <w:lvlText w:val="%1.%2.%3.%4 "/>
      <w:lvlJc w:val="left"/>
      <w:pPr>
        <w:ind w:left="1021" w:hanging="1021"/>
      </w:pPr>
      <w:rPr>
        <w:rFonts w:hint="eastAsia"/>
      </w:rPr>
    </w:lvl>
    <w:lvl w:ilvl="4" w:tentative="0">
      <w:start w:val="1"/>
      <w:numFmt w:val="decimal"/>
      <w:pStyle w:val="67"/>
      <w:isLgl/>
      <w:suff w:val="space"/>
      <w:lvlText w:val="%1.%2.%3.%4.%5 "/>
      <w:lvlJc w:val="left"/>
      <w:pPr>
        <w:ind w:left="1134" w:hanging="1134"/>
      </w:pPr>
      <w:rPr>
        <w:rFonts w:hint="eastAsia"/>
      </w:rPr>
    </w:lvl>
    <w:lvl w:ilvl="5" w:tentative="0">
      <w:start w:val="1"/>
      <w:numFmt w:val="decimal"/>
      <w:pStyle w:val="61"/>
      <w:isLgl/>
      <w:suff w:val="space"/>
      <w:lvlText w:val="%1.%2.%3.%4.%5.%6 "/>
      <w:lvlJc w:val="left"/>
      <w:pPr>
        <w:ind w:left="1247" w:hanging="1247"/>
      </w:pPr>
      <w:rPr>
        <w:rFonts w:hint="eastAsia"/>
      </w:rPr>
    </w:lvl>
    <w:lvl w:ilvl="6" w:tentative="0">
      <w:start w:val="1"/>
      <w:numFmt w:val="decimal"/>
      <w:lvlRestart w:val="1"/>
      <w:pStyle w:val="56"/>
      <w:isLgl/>
      <w:suff w:val="space"/>
      <w:lvlText w:val="图 %1.%7 "/>
      <w:lvlJc w:val="left"/>
      <w:pPr>
        <w:ind w:left="0" w:firstLine="0"/>
      </w:pPr>
      <w:rPr>
        <w:rFonts w:hint="eastAsia"/>
      </w:rPr>
    </w:lvl>
    <w:lvl w:ilvl="7" w:tentative="0">
      <w:start w:val="1"/>
      <w:numFmt w:val="decimal"/>
      <w:lvlRestart w:val="1"/>
      <w:pStyle w:val="6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kMWJlNzYxNmQ2NjM5YzE2NmFkYmM1NjY2YWViYjgifQ=="/>
  </w:docVars>
  <w:rsids>
    <w:rsidRoot w:val="00172A27"/>
    <w:rsid w:val="000051D2"/>
    <w:rsid w:val="000079DD"/>
    <w:rsid w:val="00012DCC"/>
    <w:rsid w:val="00016B63"/>
    <w:rsid w:val="0004334E"/>
    <w:rsid w:val="00046B39"/>
    <w:rsid w:val="00054706"/>
    <w:rsid w:val="000612F5"/>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602AF"/>
    <w:rsid w:val="00162D29"/>
    <w:rsid w:val="00164878"/>
    <w:rsid w:val="00164C38"/>
    <w:rsid w:val="00165091"/>
    <w:rsid w:val="00171903"/>
    <w:rsid w:val="0018200C"/>
    <w:rsid w:val="001833B6"/>
    <w:rsid w:val="00190CD2"/>
    <w:rsid w:val="001947FD"/>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4766"/>
    <w:rsid w:val="00500264"/>
    <w:rsid w:val="00510B1E"/>
    <w:rsid w:val="005120A9"/>
    <w:rsid w:val="00517D7C"/>
    <w:rsid w:val="00520646"/>
    <w:rsid w:val="0052176F"/>
    <w:rsid w:val="0052604B"/>
    <w:rsid w:val="0053088D"/>
    <w:rsid w:val="00534BF6"/>
    <w:rsid w:val="00537CDE"/>
    <w:rsid w:val="005409FC"/>
    <w:rsid w:val="005563D3"/>
    <w:rsid w:val="00562842"/>
    <w:rsid w:val="00567D4F"/>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77259"/>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C6921"/>
    <w:rsid w:val="007D22AB"/>
    <w:rsid w:val="007E5D71"/>
    <w:rsid w:val="007E71E6"/>
    <w:rsid w:val="007F5726"/>
    <w:rsid w:val="008168FB"/>
    <w:rsid w:val="00822BA6"/>
    <w:rsid w:val="008419E9"/>
    <w:rsid w:val="008548FB"/>
    <w:rsid w:val="008623FD"/>
    <w:rsid w:val="00866774"/>
    <w:rsid w:val="00873B97"/>
    <w:rsid w:val="008A5AC9"/>
    <w:rsid w:val="008A62AC"/>
    <w:rsid w:val="008B2206"/>
    <w:rsid w:val="008C255D"/>
    <w:rsid w:val="008C576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06A"/>
    <w:rsid w:val="009E0351"/>
    <w:rsid w:val="009E214B"/>
    <w:rsid w:val="009E53AF"/>
    <w:rsid w:val="009F0270"/>
    <w:rsid w:val="009F61FA"/>
    <w:rsid w:val="00A05796"/>
    <w:rsid w:val="00A13CB0"/>
    <w:rsid w:val="00A14FD8"/>
    <w:rsid w:val="00A16AAF"/>
    <w:rsid w:val="00A22CA1"/>
    <w:rsid w:val="00A4595D"/>
    <w:rsid w:val="00A51146"/>
    <w:rsid w:val="00A61D3A"/>
    <w:rsid w:val="00A66833"/>
    <w:rsid w:val="00A70DCF"/>
    <w:rsid w:val="00A72437"/>
    <w:rsid w:val="00A73FDF"/>
    <w:rsid w:val="00A824B9"/>
    <w:rsid w:val="00A870DD"/>
    <w:rsid w:val="00A96157"/>
    <w:rsid w:val="00A969AF"/>
    <w:rsid w:val="00A9729E"/>
    <w:rsid w:val="00AA1822"/>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03D8"/>
    <w:rsid w:val="00B62917"/>
    <w:rsid w:val="00B6697F"/>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D1F"/>
    <w:rsid w:val="00CF1561"/>
    <w:rsid w:val="00CF1A40"/>
    <w:rsid w:val="00CF36EF"/>
    <w:rsid w:val="00CF4AE2"/>
    <w:rsid w:val="00D1110F"/>
    <w:rsid w:val="00D15B10"/>
    <w:rsid w:val="00D20969"/>
    <w:rsid w:val="00D23E20"/>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2395"/>
    <w:rsid w:val="00F74B77"/>
    <w:rsid w:val="00F764FE"/>
    <w:rsid w:val="00F80625"/>
    <w:rsid w:val="00F827B6"/>
    <w:rsid w:val="00F86265"/>
    <w:rsid w:val="00F92BE5"/>
    <w:rsid w:val="00FA0574"/>
    <w:rsid w:val="00FB40F7"/>
    <w:rsid w:val="00FB68D3"/>
    <w:rsid w:val="00FC4B75"/>
    <w:rsid w:val="00FE7554"/>
    <w:rsid w:val="00FF17FE"/>
    <w:rsid w:val="011F3ABA"/>
    <w:rsid w:val="01640DF1"/>
    <w:rsid w:val="01A653AB"/>
    <w:rsid w:val="01B72D39"/>
    <w:rsid w:val="023A0DE1"/>
    <w:rsid w:val="030612FF"/>
    <w:rsid w:val="03CA501F"/>
    <w:rsid w:val="04276F58"/>
    <w:rsid w:val="048A698E"/>
    <w:rsid w:val="051F0BAA"/>
    <w:rsid w:val="05AE12D1"/>
    <w:rsid w:val="08807DC0"/>
    <w:rsid w:val="09972933"/>
    <w:rsid w:val="09C03B07"/>
    <w:rsid w:val="09D52C60"/>
    <w:rsid w:val="0A56459C"/>
    <w:rsid w:val="0B2C354F"/>
    <w:rsid w:val="0B2E4DAA"/>
    <w:rsid w:val="0CD22E44"/>
    <w:rsid w:val="0D617DE3"/>
    <w:rsid w:val="0DD0089A"/>
    <w:rsid w:val="0DD71DDF"/>
    <w:rsid w:val="0DE52D71"/>
    <w:rsid w:val="0E131CA0"/>
    <w:rsid w:val="0E4D4EA6"/>
    <w:rsid w:val="0F41270C"/>
    <w:rsid w:val="104C6824"/>
    <w:rsid w:val="10D97CD5"/>
    <w:rsid w:val="10ED1476"/>
    <w:rsid w:val="10FB3693"/>
    <w:rsid w:val="12135469"/>
    <w:rsid w:val="124315DA"/>
    <w:rsid w:val="12E60B70"/>
    <w:rsid w:val="145E16ED"/>
    <w:rsid w:val="14E15863"/>
    <w:rsid w:val="162776F9"/>
    <w:rsid w:val="162858D7"/>
    <w:rsid w:val="19801636"/>
    <w:rsid w:val="1A5F56EF"/>
    <w:rsid w:val="1B1B2DCE"/>
    <w:rsid w:val="1BFD08D4"/>
    <w:rsid w:val="1D0165EA"/>
    <w:rsid w:val="1DFB0471"/>
    <w:rsid w:val="1E5365E3"/>
    <w:rsid w:val="1EF23289"/>
    <w:rsid w:val="1F274302"/>
    <w:rsid w:val="1F49353B"/>
    <w:rsid w:val="1F5D746C"/>
    <w:rsid w:val="1FC94C0B"/>
    <w:rsid w:val="2079293B"/>
    <w:rsid w:val="20803CC9"/>
    <w:rsid w:val="20F425EE"/>
    <w:rsid w:val="213F1567"/>
    <w:rsid w:val="21BF3B5D"/>
    <w:rsid w:val="228965CC"/>
    <w:rsid w:val="22CE4EE2"/>
    <w:rsid w:val="2426228E"/>
    <w:rsid w:val="25CD5C03"/>
    <w:rsid w:val="25FA00A6"/>
    <w:rsid w:val="27471C24"/>
    <w:rsid w:val="28887BBF"/>
    <w:rsid w:val="28C8725C"/>
    <w:rsid w:val="2BAF24A8"/>
    <w:rsid w:val="313A1A4C"/>
    <w:rsid w:val="313F6476"/>
    <w:rsid w:val="317908E2"/>
    <w:rsid w:val="32194889"/>
    <w:rsid w:val="322555EA"/>
    <w:rsid w:val="330469DC"/>
    <w:rsid w:val="340003BA"/>
    <w:rsid w:val="370945C1"/>
    <w:rsid w:val="3AA77129"/>
    <w:rsid w:val="3AD11A9D"/>
    <w:rsid w:val="3B1BEA99"/>
    <w:rsid w:val="3B4C7172"/>
    <w:rsid w:val="3C1507B4"/>
    <w:rsid w:val="3C1D6069"/>
    <w:rsid w:val="3E2B7643"/>
    <w:rsid w:val="3ED23E32"/>
    <w:rsid w:val="40D5220D"/>
    <w:rsid w:val="42200080"/>
    <w:rsid w:val="439A6E35"/>
    <w:rsid w:val="44530DA4"/>
    <w:rsid w:val="446E63AB"/>
    <w:rsid w:val="461940F5"/>
    <w:rsid w:val="46406C9A"/>
    <w:rsid w:val="46A071B9"/>
    <w:rsid w:val="46B75D3F"/>
    <w:rsid w:val="48480CC1"/>
    <w:rsid w:val="488C513A"/>
    <w:rsid w:val="48965ED0"/>
    <w:rsid w:val="4948541D"/>
    <w:rsid w:val="499161AE"/>
    <w:rsid w:val="49DF0FCF"/>
    <w:rsid w:val="4A201EF6"/>
    <w:rsid w:val="4A357967"/>
    <w:rsid w:val="4C1F2800"/>
    <w:rsid w:val="4CB30DFF"/>
    <w:rsid w:val="4D85268B"/>
    <w:rsid w:val="51275918"/>
    <w:rsid w:val="519F1952"/>
    <w:rsid w:val="51D774AB"/>
    <w:rsid w:val="521D79C2"/>
    <w:rsid w:val="526606C2"/>
    <w:rsid w:val="52A907F9"/>
    <w:rsid w:val="530D5254"/>
    <w:rsid w:val="54F00B42"/>
    <w:rsid w:val="551663CF"/>
    <w:rsid w:val="56533E33"/>
    <w:rsid w:val="56F32878"/>
    <w:rsid w:val="576553EC"/>
    <w:rsid w:val="58354DBE"/>
    <w:rsid w:val="589436CF"/>
    <w:rsid w:val="5ABE78FA"/>
    <w:rsid w:val="5AD72AAD"/>
    <w:rsid w:val="5ADC3E47"/>
    <w:rsid w:val="5B4D1163"/>
    <w:rsid w:val="5C16336B"/>
    <w:rsid w:val="5C8E7193"/>
    <w:rsid w:val="5D11431E"/>
    <w:rsid w:val="5E7E6D93"/>
    <w:rsid w:val="5E987E55"/>
    <w:rsid w:val="5EA629F6"/>
    <w:rsid w:val="5F5513E2"/>
    <w:rsid w:val="5FCD662E"/>
    <w:rsid w:val="60822B6A"/>
    <w:rsid w:val="61246D0C"/>
    <w:rsid w:val="61955A99"/>
    <w:rsid w:val="63DE4ECC"/>
    <w:rsid w:val="645C5585"/>
    <w:rsid w:val="647A167F"/>
    <w:rsid w:val="648B3FB8"/>
    <w:rsid w:val="64A86918"/>
    <w:rsid w:val="6523039D"/>
    <w:rsid w:val="65554CF2"/>
    <w:rsid w:val="6677220E"/>
    <w:rsid w:val="6692441C"/>
    <w:rsid w:val="66E50ED2"/>
    <w:rsid w:val="66F955F6"/>
    <w:rsid w:val="6787544C"/>
    <w:rsid w:val="67A11051"/>
    <w:rsid w:val="67D07485"/>
    <w:rsid w:val="698A66BE"/>
    <w:rsid w:val="69E71C90"/>
    <w:rsid w:val="6AD472F2"/>
    <w:rsid w:val="6D1D4D2C"/>
    <w:rsid w:val="6E511DCE"/>
    <w:rsid w:val="6ED9362D"/>
    <w:rsid w:val="6F4F022A"/>
    <w:rsid w:val="704837AC"/>
    <w:rsid w:val="70B54896"/>
    <w:rsid w:val="712A11B9"/>
    <w:rsid w:val="712D16A4"/>
    <w:rsid w:val="718710C4"/>
    <w:rsid w:val="71AB5C99"/>
    <w:rsid w:val="73955FE3"/>
    <w:rsid w:val="73B0538E"/>
    <w:rsid w:val="74EF0832"/>
    <w:rsid w:val="75CA4C66"/>
    <w:rsid w:val="760F124E"/>
    <w:rsid w:val="768C7E47"/>
    <w:rsid w:val="774F263D"/>
    <w:rsid w:val="77500583"/>
    <w:rsid w:val="788F1E71"/>
    <w:rsid w:val="7B413328"/>
    <w:rsid w:val="7BCD092E"/>
    <w:rsid w:val="7BD77067"/>
    <w:rsid w:val="7C902574"/>
    <w:rsid w:val="7D874B49"/>
    <w:rsid w:val="7DC511EB"/>
    <w:rsid w:val="7E3F3BE5"/>
    <w:rsid w:val="7EA3483F"/>
    <w:rsid w:val="7EB26F07"/>
    <w:rsid w:val="7FEBEB7F"/>
    <w:rsid w:val="7FFFFE9E"/>
    <w:rsid w:val="A7FB11C9"/>
    <w:rsid w:val="AE9FAFE0"/>
    <w:rsid w:val="B3B3E8CB"/>
    <w:rsid w:val="BAFE0312"/>
    <w:rsid w:val="BF172D5F"/>
    <w:rsid w:val="CBF183CC"/>
    <w:rsid w:val="CDFF529D"/>
    <w:rsid w:val="DED7DFFB"/>
    <w:rsid w:val="DEEA0063"/>
    <w:rsid w:val="F7F31279"/>
    <w:rsid w:val="FB6FE567"/>
    <w:rsid w:val="FBB9C780"/>
    <w:rsid w:val="FDFFA6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宋体" w:cs="Times New Roman"/>
      <w:kern w:val="2"/>
      <w:sz w:val="24"/>
      <w:szCs w:val="24"/>
      <w:lang w:val="en-US" w:eastAsia="zh-CN" w:bidi="ar-SA"/>
    </w:rPr>
  </w:style>
  <w:style w:type="paragraph" w:styleId="2">
    <w:name w:val="heading 1"/>
    <w:basedOn w:val="1"/>
    <w:next w:val="1"/>
    <w:link w:val="28"/>
    <w:autoRedefine/>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9"/>
    <w:autoRedefine/>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30"/>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31"/>
    <w:autoRedefine/>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32"/>
    <w:autoRedefine/>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3"/>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4"/>
    <w:autoRedefine/>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5"/>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6"/>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5">
    <w:name w:val="Default Paragraph Font"/>
    <w:autoRedefine/>
    <w:unhideWhenUsed/>
    <w:qFormat/>
    <w:uiPriority w:val="1"/>
  </w:style>
  <w:style w:type="table" w:default="1" w:styleId="23">
    <w:name w:val="Normal Table"/>
    <w:autoRedefine/>
    <w:unhideWhenUsed/>
    <w:qFormat/>
    <w:uiPriority w:val="99"/>
    <w:tblPr>
      <w:tblCellMar>
        <w:top w:w="0" w:type="dxa"/>
        <w:left w:w="108" w:type="dxa"/>
        <w:bottom w:w="0" w:type="dxa"/>
        <w:right w:w="108" w:type="dxa"/>
      </w:tblCellMar>
    </w:tblPr>
  </w:style>
  <w:style w:type="paragraph" w:styleId="11">
    <w:name w:val="Normal Indent"/>
    <w:basedOn w:val="1"/>
    <w:link w:val="37"/>
    <w:autoRedefine/>
    <w:qFormat/>
    <w:uiPriority w:val="99"/>
    <w:pPr>
      <w:spacing w:before="120" w:beforeLines="50" w:line="360" w:lineRule="auto"/>
      <w:ind w:firstLine="512" w:firstLineChars="200"/>
    </w:pPr>
    <w:rPr>
      <w:spacing w:val="8"/>
      <w:sz w:val="24"/>
      <w:szCs w:val="20"/>
    </w:rPr>
  </w:style>
  <w:style w:type="paragraph" w:styleId="12">
    <w:name w:val="annotation text"/>
    <w:basedOn w:val="1"/>
    <w:link w:val="38"/>
    <w:autoRedefine/>
    <w:unhideWhenUsed/>
    <w:qFormat/>
    <w:uiPriority w:val="0"/>
    <w:pPr>
      <w:jc w:val="left"/>
    </w:pPr>
    <w:rPr>
      <w:kern w:val="0"/>
      <w:sz w:val="20"/>
      <w:lang w:val="zh-CN" w:eastAsia="zh-CN"/>
    </w:rPr>
  </w:style>
  <w:style w:type="paragraph" w:styleId="13">
    <w:name w:val="Body Text"/>
    <w:basedOn w:val="1"/>
    <w:next w:val="14"/>
    <w:link w:val="39"/>
    <w:autoRedefine/>
    <w:qFormat/>
    <w:uiPriority w:val="0"/>
    <w:pPr>
      <w:spacing w:after="120"/>
    </w:pPr>
  </w:style>
  <w:style w:type="paragraph" w:styleId="14">
    <w:name w:val="Quote"/>
    <w:next w:val="1"/>
    <w:link w:val="40"/>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5">
    <w:name w:val="Plain Text"/>
    <w:basedOn w:val="1"/>
    <w:link w:val="41"/>
    <w:autoRedefine/>
    <w:qFormat/>
    <w:uiPriority w:val="0"/>
    <w:rPr>
      <w:rFonts w:ascii="Calibri" w:hAnsi="Courier New"/>
      <w:szCs w:val="20"/>
      <w:lang w:val="zh-CN" w:eastAsia="zh-CN"/>
    </w:rPr>
  </w:style>
  <w:style w:type="paragraph" w:styleId="16">
    <w:name w:val="Body Text Indent 2"/>
    <w:basedOn w:val="1"/>
    <w:autoRedefine/>
    <w:unhideWhenUsed/>
    <w:qFormat/>
    <w:uiPriority w:val="99"/>
    <w:pPr>
      <w:spacing w:after="120" w:line="480" w:lineRule="auto"/>
      <w:ind w:left="420" w:leftChars="200"/>
    </w:pPr>
  </w:style>
  <w:style w:type="paragraph" w:styleId="17">
    <w:name w:val="Balloon Text"/>
    <w:basedOn w:val="1"/>
    <w:link w:val="42"/>
    <w:autoRedefine/>
    <w:qFormat/>
    <w:uiPriority w:val="0"/>
    <w:rPr>
      <w:sz w:val="18"/>
      <w:szCs w:val="18"/>
      <w:lang w:val="zh-CN" w:eastAsia="zh-CN"/>
    </w:rPr>
  </w:style>
  <w:style w:type="paragraph" w:styleId="18">
    <w:name w:val="footer"/>
    <w:basedOn w:val="1"/>
    <w:link w:val="43"/>
    <w:autoRedefine/>
    <w:qFormat/>
    <w:uiPriority w:val="0"/>
    <w:pPr>
      <w:tabs>
        <w:tab w:val="center" w:pos="4153"/>
        <w:tab w:val="right" w:pos="8306"/>
      </w:tabs>
      <w:snapToGrid w:val="0"/>
      <w:jc w:val="left"/>
    </w:pPr>
    <w:rPr>
      <w:sz w:val="18"/>
      <w:szCs w:val="18"/>
      <w:lang w:val="zh-CN" w:eastAsia="zh-CN"/>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20">
    <w:name w:val="Subtitle"/>
    <w:basedOn w:val="1"/>
    <w:next w:val="1"/>
    <w:link w:val="45"/>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autoRedefine/>
    <w:qFormat/>
    <w:uiPriority w:val="99"/>
    <w:pPr>
      <w:spacing w:before="240" w:after="60"/>
      <w:jc w:val="center"/>
      <w:outlineLvl w:val="0"/>
    </w:pPr>
    <w:rPr>
      <w:rFonts w:ascii="Arial" w:hAnsi="Arial" w:cs="Arial"/>
      <w:b/>
      <w:bCs/>
      <w:sz w:val="32"/>
      <w:szCs w:val="32"/>
    </w:r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Hyperlink"/>
    <w:qFormat/>
    <w:uiPriority w:val="0"/>
    <w:rPr>
      <w:color w:val="0563C1"/>
      <w:u w:val="single"/>
    </w:rPr>
  </w:style>
  <w:style w:type="character" w:styleId="27">
    <w:name w:val="annotation reference"/>
    <w:autoRedefine/>
    <w:unhideWhenUsed/>
    <w:qFormat/>
    <w:uiPriority w:val="99"/>
    <w:rPr>
      <w:sz w:val="21"/>
      <w:szCs w:val="21"/>
    </w:rPr>
  </w:style>
  <w:style w:type="character" w:customStyle="1" w:styleId="28">
    <w:name w:val="标题 1 字符"/>
    <w:link w:val="2"/>
    <w:autoRedefine/>
    <w:qFormat/>
    <w:uiPriority w:val="0"/>
    <w:rPr>
      <w:b/>
      <w:bCs/>
      <w:kern w:val="44"/>
      <w:sz w:val="44"/>
      <w:szCs w:val="44"/>
      <w:lang w:val="zh-CN" w:eastAsia="zh-CN"/>
    </w:rPr>
  </w:style>
  <w:style w:type="character" w:customStyle="1" w:styleId="29">
    <w:name w:val="标题 2 字符"/>
    <w:link w:val="3"/>
    <w:autoRedefine/>
    <w:qFormat/>
    <w:uiPriority w:val="0"/>
    <w:rPr>
      <w:rFonts w:ascii="等线 Light" w:hAnsi="等线 Light" w:eastAsia="等线 Light" w:cs="Times New Roman"/>
      <w:b/>
      <w:bCs/>
      <w:kern w:val="2"/>
      <w:sz w:val="32"/>
      <w:szCs w:val="32"/>
    </w:rPr>
  </w:style>
  <w:style w:type="character" w:customStyle="1" w:styleId="30">
    <w:name w:val="标题 3 字符"/>
    <w:link w:val="4"/>
    <w:autoRedefine/>
    <w:qFormat/>
    <w:uiPriority w:val="0"/>
    <w:rPr>
      <w:b/>
      <w:bCs/>
      <w:kern w:val="2"/>
      <w:sz w:val="30"/>
      <w:szCs w:val="30"/>
    </w:rPr>
  </w:style>
  <w:style w:type="character" w:customStyle="1" w:styleId="31">
    <w:name w:val="标题 4 字符"/>
    <w:link w:val="5"/>
    <w:autoRedefine/>
    <w:qFormat/>
    <w:uiPriority w:val="0"/>
    <w:rPr>
      <w:rFonts w:ascii="宋体" w:hAnsi="宋体"/>
      <w:b/>
      <w:bCs/>
      <w:kern w:val="2"/>
      <w:sz w:val="28"/>
      <w:szCs w:val="28"/>
    </w:rPr>
  </w:style>
  <w:style w:type="character" w:customStyle="1" w:styleId="32">
    <w:name w:val="标题 5 字符"/>
    <w:link w:val="6"/>
    <w:qFormat/>
    <w:uiPriority w:val="0"/>
    <w:rPr>
      <w:b/>
      <w:bCs/>
      <w:kern w:val="2"/>
      <w:sz w:val="28"/>
      <w:szCs w:val="28"/>
    </w:rPr>
  </w:style>
  <w:style w:type="character" w:customStyle="1" w:styleId="33">
    <w:name w:val="标题 6 字符"/>
    <w:link w:val="7"/>
    <w:semiHidden/>
    <w:qFormat/>
    <w:uiPriority w:val="0"/>
    <w:rPr>
      <w:rFonts w:ascii="等线 Light" w:hAnsi="等线 Light" w:eastAsia="等线 Light"/>
      <w:b/>
      <w:bCs/>
      <w:kern w:val="2"/>
      <w:sz w:val="24"/>
      <w:szCs w:val="24"/>
    </w:rPr>
  </w:style>
  <w:style w:type="character" w:customStyle="1" w:styleId="34">
    <w:name w:val="标题 7 字符"/>
    <w:link w:val="8"/>
    <w:autoRedefine/>
    <w:semiHidden/>
    <w:qFormat/>
    <w:uiPriority w:val="0"/>
    <w:rPr>
      <w:b/>
      <w:bCs/>
      <w:kern w:val="2"/>
      <w:sz w:val="24"/>
      <w:szCs w:val="24"/>
    </w:rPr>
  </w:style>
  <w:style w:type="character" w:customStyle="1" w:styleId="35">
    <w:name w:val="标题 8 字符"/>
    <w:link w:val="9"/>
    <w:semiHidden/>
    <w:qFormat/>
    <w:uiPriority w:val="0"/>
    <w:rPr>
      <w:rFonts w:ascii="等线 Light" w:hAnsi="等线 Light" w:eastAsia="等线 Light"/>
      <w:kern w:val="2"/>
      <w:sz w:val="24"/>
      <w:szCs w:val="24"/>
    </w:rPr>
  </w:style>
  <w:style w:type="character" w:customStyle="1" w:styleId="36">
    <w:name w:val="标题 9 字符"/>
    <w:link w:val="10"/>
    <w:semiHidden/>
    <w:qFormat/>
    <w:uiPriority w:val="0"/>
    <w:rPr>
      <w:rFonts w:ascii="等线 Light" w:hAnsi="等线 Light" w:eastAsia="等线 Light"/>
      <w:kern w:val="2"/>
      <w:sz w:val="21"/>
      <w:szCs w:val="21"/>
    </w:rPr>
  </w:style>
  <w:style w:type="character" w:customStyle="1" w:styleId="37">
    <w:name w:val="正文缩进 字符"/>
    <w:link w:val="11"/>
    <w:autoRedefine/>
    <w:qFormat/>
    <w:uiPriority w:val="99"/>
    <w:rPr>
      <w:spacing w:val="8"/>
      <w:kern w:val="2"/>
      <w:sz w:val="24"/>
      <w:lang w:val="en-US" w:eastAsia="zh-CN"/>
    </w:rPr>
  </w:style>
  <w:style w:type="character" w:customStyle="1" w:styleId="38">
    <w:name w:val="批注文字 字符1"/>
    <w:link w:val="12"/>
    <w:qFormat/>
    <w:uiPriority w:val="0"/>
    <w:rPr>
      <w:szCs w:val="24"/>
    </w:rPr>
  </w:style>
  <w:style w:type="character" w:customStyle="1" w:styleId="39">
    <w:name w:val="正文文本 字符"/>
    <w:link w:val="13"/>
    <w:qFormat/>
    <w:uiPriority w:val="0"/>
    <w:rPr>
      <w:kern w:val="2"/>
      <w:sz w:val="21"/>
      <w:szCs w:val="24"/>
    </w:rPr>
  </w:style>
  <w:style w:type="character" w:customStyle="1" w:styleId="40">
    <w:name w:val="引用 字符"/>
    <w:link w:val="14"/>
    <w:autoRedefine/>
    <w:qFormat/>
    <w:uiPriority w:val="0"/>
    <w:rPr>
      <w:rFonts w:ascii="Calibri" w:hAnsi="Calibri"/>
      <w:i/>
      <w:sz w:val="21"/>
    </w:rPr>
  </w:style>
  <w:style w:type="character" w:customStyle="1" w:styleId="41">
    <w:name w:val="纯文本 字符"/>
    <w:link w:val="15"/>
    <w:qFormat/>
    <w:uiPriority w:val="0"/>
    <w:rPr>
      <w:rFonts w:ascii="Calibri" w:hAnsi="Courier New"/>
      <w:kern w:val="2"/>
      <w:sz w:val="21"/>
    </w:rPr>
  </w:style>
  <w:style w:type="character" w:customStyle="1" w:styleId="42">
    <w:name w:val="批注框文本 字符"/>
    <w:link w:val="17"/>
    <w:qFormat/>
    <w:uiPriority w:val="0"/>
    <w:rPr>
      <w:kern w:val="2"/>
      <w:sz w:val="18"/>
      <w:szCs w:val="18"/>
    </w:rPr>
  </w:style>
  <w:style w:type="character" w:customStyle="1" w:styleId="43">
    <w:name w:val="页脚 字符1"/>
    <w:link w:val="18"/>
    <w:autoRedefine/>
    <w:qFormat/>
    <w:uiPriority w:val="0"/>
    <w:rPr>
      <w:kern w:val="2"/>
      <w:sz w:val="18"/>
      <w:szCs w:val="18"/>
    </w:rPr>
  </w:style>
  <w:style w:type="character" w:customStyle="1" w:styleId="44">
    <w:name w:val="页眉 字符"/>
    <w:link w:val="19"/>
    <w:autoRedefine/>
    <w:qFormat/>
    <w:uiPriority w:val="0"/>
    <w:rPr>
      <w:kern w:val="2"/>
      <w:sz w:val="18"/>
      <w:szCs w:val="18"/>
    </w:rPr>
  </w:style>
  <w:style w:type="character" w:customStyle="1" w:styleId="45">
    <w:name w:val="副标题 字符"/>
    <w:link w:val="20"/>
    <w:autoRedefine/>
    <w:qFormat/>
    <w:uiPriority w:val="0"/>
    <w:rPr>
      <w:rFonts w:ascii="Cambria" w:hAnsi="Cambria"/>
      <w:b/>
      <w:bCs/>
      <w:kern w:val="28"/>
      <w:sz w:val="32"/>
      <w:szCs w:val="32"/>
      <w:lang w:eastAsia="en-US"/>
    </w:rPr>
  </w:style>
  <w:style w:type="character" w:customStyle="1" w:styleId="46">
    <w:name w:val="已访问的超链接1"/>
    <w:autoRedefine/>
    <w:qFormat/>
    <w:uiPriority w:val="0"/>
    <w:rPr>
      <w:color w:val="800080"/>
      <w:u w:val="single"/>
    </w:rPr>
  </w:style>
  <w:style w:type="character" w:customStyle="1" w:styleId="47">
    <w:name w:val="正文（首行缩进2字符） Char"/>
    <w:link w:val="48"/>
    <w:autoRedefine/>
    <w:qFormat/>
    <w:uiPriority w:val="0"/>
    <w:rPr>
      <w:kern w:val="2"/>
      <w:sz w:val="24"/>
      <w:szCs w:val="24"/>
    </w:rPr>
  </w:style>
  <w:style w:type="paragraph" w:customStyle="1" w:styleId="48">
    <w:name w:val="正文（首行缩进2字符）"/>
    <w:basedOn w:val="1"/>
    <w:link w:val="47"/>
    <w:autoRedefine/>
    <w:qFormat/>
    <w:uiPriority w:val="0"/>
    <w:pPr>
      <w:spacing w:line="360" w:lineRule="auto"/>
      <w:ind w:firstLine="480" w:firstLineChars="200"/>
    </w:pPr>
    <w:rPr>
      <w:sz w:val="24"/>
      <w:lang w:val="zh-CN" w:eastAsia="zh-CN"/>
    </w:rPr>
  </w:style>
  <w:style w:type="character" w:customStyle="1" w:styleId="49">
    <w:name w:val="段落 Char1"/>
    <w:link w:val="50"/>
    <w:autoRedefine/>
    <w:qFormat/>
    <w:uiPriority w:val="0"/>
    <w:rPr>
      <w:rFonts w:eastAsia="仿宋_GB2312"/>
      <w:sz w:val="24"/>
      <w:szCs w:val="24"/>
      <w:lang w:val="en-US" w:eastAsia="zh-CN" w:bidi="ar-SA"/>
    </w:rPr>
  </w:style>
  <w:style w:type="paragraph" w:customStyle="1" w:styleId="50">
    <w:name w:val="段落"/>
    <w:link w:val="49"/>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1">
    <w:name w:val="正文（安华金和） Char"/>
    <w:link w:val="52"/>
    <w:autoRedefine/>
    <w:qFormat/>
    <w:uiPriority w:val="0"/>
    <w:rPr>
      <w:rFonts w:ascii="Arial" w:hAnsi="Arial"/>
      <w:sz w:val="21"/>
      <w:szCs w:val="21"/>
      <w:lang w:val="en-US" w:eastAsia="zh-CN" w:bidi="ar-SA"/>
    </w:rPr>
  </w:style>
  <w:style w:type="paragraph" w:customStyle="1" w:styleId="52">
    <w:name w:val="正文（安华金和）"/>
    <w:link w:val="51"/>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3">
    <w:name w:val="页脚 字符"/>
    <w:autoRedefine/>
    <w:qFormat/>
    <w:uiPriority w:val="99"/>
  </w:style>
  <w:style w:type="character" w:customStyle="1" w:styleId="54">
    <w:name w:val="列出段落 字符"/>
    <w:link w:val="55"/>
    <w:autoRedefine/>
    <w:qFormat/>
    <w:uiPriority w:val="34"/>
    <w:rPr>
      <w:rFonts w:ascii="等线" w:hAnsi="等线" w:eastAsia="等线"/>
      <w:kern w:val="2"/>
      <w:sz w:val="21"/>
      <w:szCs w:val="22"/>
    </w:rPr>
  </w:style>
  <w:style w:type="paragraph" w:styleId="55">
    <w:name w:val="List Paragraph"/>
    <w:basedOn w:val="1"/>
    <w:link w:val="54"/>
    <w:autoRedefine/>
    <w:qFormat/>
    <w:uiPriority w:val="34"/>
    <w:pPr>
      <w:ind w:firstLine="420" w:firstLineChars="200"/>
    </w:pPr>
    <w:rPr>
      <w:rFonts w:ascii="等线" w:hAnsi="等线" w:eastAsia="等线"/>
      <w:szCs w:val="22"/>
      <w:lang w:val="zh-CN" w:eastAsia="zh-CN"/>
    </w:rPr>
  </w:style>
  <w:style w:type="paragraph" w:customStyle="1" w:styleId="56">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7">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8">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9">
    <w:name w:val="_Style 27"/>
    <w:basedOn w:val="1"/>
    <w:next w:val="55"/>
    <w:autoRedefine/>
    <w:qFormat/>
    <w:uiPriority w:val="34"/>
    <w:pPr>
      <w:widowControl/>
      <w:spacing w:line="240" w:lineRule="atLeast"/>
      <w:ind w:firstLine="420" w:firstLineChars="200"/>
    </w:pPr>
    <w:rPr>
      <w:rFonts w:ascii="Arial" w:hAnsi="Arial"/>
      <w:kern w:val="0"/>
      <w:szCs w:val="21"/>
    </w:rPr>
  </w:style>
  <w:style w:type="paragraph" w:customStyle="1" w:styleId="60">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1">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2">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3">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4">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65">
    <w:name w:val="彩色列表 - 着色 11"/>
    <w:basedOn w:val="1"/>
    <w:autoRedefine/>
    <w:qFormat/>
    <w:uiPriority w:val="34"/>
    <w:pPr>
      <w:spacing w:line="360" w:lineRule="auto"/>
      <w:ind w:firstLine="420" w:firstLineChars="200"/>
    </w:pPr>
    <w:rPr>
      <w:rFonts w:ascii="Arial" w:hAnsi="Arial"/>
      <w:szCs w:val="21"/>
    </w:rPr>
  </w:style>
  <w:style w:type="paragraph" w:customStyle="1" w:styleId="66">
    <w:name w:val="表格标注（安华金和）"/>
    <w:basedOn w:val="56"/>
    <w:next w:val="1"/>
    <w:autoRedefine/>
    <w:qFormat/>
    <w:uiPriority w:val="0"/>
    <w:pPr>
      <w:numPr>
        <w:ilvl w:val="7"/>
      </w:numPr>
    </w:pPr>
  </w:style>
  <w:style w:type="paragraph" w:customStyle="1" w:styleId="67">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8">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9">
    <w:name w:val="批注文字 字符"/>
    <w:autoRedefine/>
    <w:qFormat/>
    <w:uiPriority w:val="99"/>
    <w:rPr>
      <w:kern w:val="2"/>
      <w:sz w:val="21"/>
      <w:szCs w:val="24"/>
    </w:rPr>
  </w:style>
  <w:style w:type="paragraph" w:customStyle="1" w:styleId="70">
    <w:name w:val="Other|1"/>
    <w:basedOn w:val="1"/>
    <w:autoRedefine/>
    <w:qFormat/>
    <w:uiPriority w:val="0"/>
    <w:pPr>
      <w:jc w:val="center"/>
    </w:pPr>
    <w:rPr>
      <w:rFonts w:ascii="宋体" w:hAnsi="宋体" w:cs="宋体"/>
      <w:sz w:val="22"/>
      <w:szCs w:val="22"/>
    </w:rPr>
  </w:style>
  <w:style w:type="paragraph" w:customStyle="1" w:styleId="71">
    <w:name w:val="列出段落1"/>
    <w:basedOn w:val="1"/>
    <w:autoRedefine/>
    <w:qFormat/>
    <w:uiPriority w:val="34"/>
    <w:pPr>
      <w:widowControl/>
      <w:ind w:firstLine="420" w:firstLineChars="200"/>
      <w:jc w:val="left"/>
    </w:pPr>
    <w:rPr>
      <w:rFonts w:ascii="宋体" w:hAnsi="宋体" w:cs="宋体"/>
      <w:kern w:val="0"/>
      <w:sz w:val="24"/>
    </w:rPr>
  </w:style>
  <w:style w:type="paragraph" w:customStyle="1" w:styleId="72">
    <w:name w:val="标题-2"/>
    <w:basedOn w:val="1"/>
    <w:next w:val="3"/>
    <w:autoRedefine/>
    <w:qFormat/>
    <w:uiPriority w:val="0"/>
    <w:pPr>
      <w:spacing w:before="50" w:beforeLines="50" w:after="50" w:afterLines="50"/>
      <w:outlineLvl w:val="1"/>
    </w:pPr>
    <w:rPr>
      <w:rFonts w:ascii="宋体" w:hAnsi="宋体"/>
      <w:b/>
      <w:kern w:val="0"/>
      <w:sz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1734</Words>
  <Characters>1759</Characters>
  <Lines>53</Lines>
  <Paragraphs>15</Paragraphs>
  <TotalTime>0</TotalTime>
  <ScaleCrop>false</ScaleCrop>
  <LinksUpToDate>false</LinksUpToDate>
  <CharactersWithSpaces>1762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2022-01-07T02:43:00Z</dcterms:created>
  <dc:creator>陈永辉</dc:creator>
  <cp:lastModifiedBy>梁铭标</cp:lastModifiedBy>
  <dcterms:modified xsi:type="dcterms:W3CDTF">2025-10-27T08:40:21Z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35C2E31CFB1938E535384E65782E47D2_43</vt:lpwstr>
  </property>
  <property fmtid="{D5CDD505-2E9C-101B-9397-08002B2CF9AE}" pid="4" name="KSOTemplateDocerSaveRecord">
    <vt:lpwstr>eyJoZGlkIjoiOGRmM2Y5ZjQ4YTIzN2JiNTBmNWUzOTlmODA1YWNiODAiLCJ1c2VySWQiOiIyNDQ5OTg0MzkifQ==</vt:lpwstr>
  </property>
</Properties>
</file>