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A2294">
      <w:pPr>
        <w:pStyle w:val="14"/>
        <w:spacing w:line="276"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生殖中心信息系统改造PGT系统建设项目</w:t>
      </w:r>
      <w:r>
        <w:rPr>
          <w:rFonts w:hint="eastAsia" w:ascii="宋体" w:hAnsi="宋体" w:eastAsia="宋体" w:cs="宋体"/>
          <w:b/>
          <w:bCs/>
          <w:sz w:val="44"/>
          <w:szCs w:val="44"/>
          <w:lang w:val="zh-TW" w:eastAsia="zh-TW"/>
        </w:rPr>
        <w:t>需求</w:t>
      </w:r>
    </w:p>
    <w:p w14:paraId="4240BBB3">
      <w:pPr>
        <w:pStyle w:val="15"/>
        <w:spacing w:line="288" w:lineRule="auto"/>
        <w:rPr>
          <w:rFonts w:hint="eastAsia" w:ascii="宋体" w:hAnsi="宋体" w:eastAsia="宋体" w:cs="宋体"/>
          <w:sz w:val="32"/>
          <w:szCs w:val="32"/>
        </w:rPr>
      </w:pPr>
    </w:p>
    <w:p w14:paraId="62E19CA9">
      <w:pPr>
        <w:pStyle w:val="15"/>
        <w:spacing w:line="288" w:lineRule="auto"/>
        <w:outlineLvl w:val="0"/>
        <w:rPr>
          <w:rFonts w:hint="eastAsia" w:ascii="宋体" w:hAnsi="宋体" w:eastAsia="宋体" w:cs="宋体"/>
          <w:b/>
          <w:bCs/>
          <w:sz w:val="32"/>
          <w:szCs w:val="32"/>
        </w:rPr>
      </w:pPr>
      <w:r>
        <w:rPr>
          <w:rFonts w:hint="eastAsia" w:ascii="宋体" w:hAnsi="宋体" w:eastAsia="宋体" w:cs="宋体"/>
          <w:b/>
          <w:bCs/>
          <w:sz w:val="32"/>
          <w:szCs w:val="32"/>
          <w:lang w:val="zh-CN"/>
        </w:rPr>
        <w:t>一.项目名称</w:t>
      </w:r>
    </w:p>
    <w:p w14:paraId="2E48F63C">
      <w:pPr>
        <w:pStyle w:val="15"/>
        <w:spacing w:line="288" w:lineRule="auto"/>
        <w:rPr>
          <w:rFonts w:hint="eastAsia" w:ascii="宋体" w:hAnsi="宋体" w:eastAsia="宋体" w:cs="宋体"/>
        </w:rPr>
      </w:pPr>
    </w:p>
    <w:p w14:paraId="32263137">
      <w:pPr>
        <w:pStyle w:val="15"/>
        <w:spacing w:line="288" w:lineRule="auto"/>
        <w:ind w:firstLine="420" w:firstLineChars="0"/>
        <w:rPr>
          <w:rFonts w:hint="eastAsia" w:ascii="宋体" w:hAnsi="宋体" w:eastAsia="宋体" w:cs="宋体"/>
        </w:rPr>
      </w:pPr>
      <w:r>
        <w:rPr>
          <w:rFonts w:hint="eastAsia" w:ascii="宋体" w:hAnsi="宋体" w:eastAsia="宋体" w:cs="宋体"/>
          <w:lang w:val="zh-CN"/>
        </w:rPr>
        <w:t>项目名称：</w:t>
      </w:r>
      <w:bookmarkStart w:id="0" w:name="_GoBack"/>
      <w:r>
        <w:rPr>
          <w:rFonts w:hint="eastAsia" w:ascii="宋体" w:hAnsi="宋体" w:eastAsia="宋体" w:cs="宋体"/>
          <w:sz w:val="24"/>
          <w:szCs w:val="24"/>
          <w:lang w:val="en-US" w:eastAsia="zh-CN"/>
        </w:rPr>
        <w:t>生殖中心信息系统改造PGT系统建设</w:t>
      </w:r>
      <w:bookmarkEnd w:id="0"/>
    </w:p>
    <w:p w14:paraId="24AE20DF">
      <w:pPr>
        <w:pStyle w:val="15"/>
        <w:spacing w:line="288" w:lineRule="auto"/>
        <w:rPr>
          <w:rFonts w:hint="eastAsia" w:ascii="宋体" w:hAnsi="宋体" w:eastAsia="宋体" w:cs="宋体"/>
        </w:rPr>
      </w:pPr>
    </w:p>
    <w:p w14:paraId="5AC962A7">
      <w:pPr>
        <w:pStyle w:val="15"/>
        <w:spacing w:line="288" w:lineRule="auto"/>
        <w:outlineLvl w:val="0"/>
        <w:rPr>
          <w:rFonts w:hint="eastAsia" w:ascii="宋体" w:hAnsi="宋体" w:eastAsia="宋体" w:cs="宋体"/>
          <w:b/>
          <w:bCs/>
          <w:sz w:val="32"/>
          <w:szCs w:val="32"/>
        </w:rPr>
      </w:pPr>
      <w:r>
        <w:rPr>
          <w:rFonts w:hint="eastAsia" w:ascii="宋体" w:hAnsi="宋体" w:eastAsia="宋体" w:cs="宋体"/>
          <w:b/>
          <w:bCs/>
          <w:sz w:val="32"/>
          <w:szCs w:val="32"/>
          <w:lang w:val="zh-CN"/>
        </w:rPr>
        <w:t>二.项目内容</w:t>
      </w:r>
    </w:p>
    <w:p w14:paraId="64602811">
      <w:pPr>
        <w:pStyle w:val="15"/>
        <w:spacing w:line="288" w:lineRule="auto"/>
        <w:rPr>
          <w:rFonts w:hint="eastAsia" w:ascii="宋体" w:hAnsi="宋体" w:eastAsia="宋体" w:cs="宋体"/>
        </w:rPr>
      </w:pPr>
    </w:p>
    <w:p w14:paraId="11E39C11">
      <w:pPr>
        <w:numPr>
          <w:ilvl w:val="0"/>
          <w:numId w:val="0"/>
        </w:numPr>
        <w:spacing w:line="360" w:lineRule="auto"/>
        <w:ind w:firstLine="420" w:firstLineChars="0"/>
        <w:rPr>
          <w:rFonts w:hint="eastAsia" w:ascii="宋体" w:hAnsi="宋体" w:eastAsia="宋体" w:cs="宋体"/>
          <w:sz w:val="28"/>
          <w:szCs w:val="28"/>
          <w:lang w:eastAsia="zh-CN"/>
        </w:rPr>
      </w:pPr>
      <w:r>
        <w:rPr>
          <w:rFonts w:ascii="Segoe UI" w:hAnsi="Segoe UI" w:eastAsia="Segoe UI" w:cs="Segoe UI"/>
          <w:i w:val="0"/>
          <w:iCs w:val="0"/>
          <w:caps w:val="0"/>
          <w:color w:val="0F1115"/>
          <w:spacing w:val="0"/>
          <w:sz w:val="24"/>
          <w:szCs w:val="24"/>
          <w:shd w:val="clear" w:fill="FFFFFF"/>
        </w:rPr>
        <w:t>为支持广东省人民医院生殖医学中心开展</w:t>
      </w:r>
      <w:r>
        <w:rPr>
          <w:rStyle w:val="9"/>
          <w:rFonts w:hint="default" w:ascii="Segoe UI" w:hAnsi="Segoe UI" w:eastAsia="Segoe UI" w:cs="Segoe UI"/>
          <w:b/>
          <w:bCs/>
          <w:i w:val="0"/>
          <w:iCs w:val="0"/>
          <w:caps w:val="0"/>
          <w:color w:val="0F1115"/>
          <w:spacing w:val="0"/>
          <w:sz w:val="24"/>
          <w:szCs w:val="24"/>
          <w:shd w:val="clear" w:fill="FFFFFF"/>
        </w:rPr>
        <w:t>胚胎植入前遗传学检测（PGT）</w:t>
      </w:r>
      <w:r>
        <w:rPr>
          <w:rFonts w:hint="default" w:ascii="Segoe UI" w:hAnsi="Segoe UI" w:eastAsia="Segoe UI" w:cs="Segoe UI"/>
          <w:i w:val="0"/>
          <w:iCs w:val="0"/>
          <w:caps w:val="0"/>
          <w:color w:val="0F1115"/>
          <w:spacing w:val="0"/>
          <w:sz w:val="24"/>
          <w:szCs w:val="24"/>
          <w:shd w:val="clear" w:fill="FFFFFF"/>
        </w:rPr>
        <w:t>业务，现需对现有病历系统、实验记录系统、质控分析系统等进行功能扩展与接口开发，新增PGT相关电子病历模块、实验记录表、统计报表及知情同意书管理等，并实现与LIS系统、亿康检测平台的数据对接。</w:t>
      </w:r>
    </w:p>
    <w:p w14:paraId="0DD09315">
      <w:pPr>
        <w:pStyle w:val="15"/>
        <w:spacing w:line="288" w:lineRule="auto"/>
        <w:rPr>
          <w:rFonts w:hint="eastAsia" w:ascii="宋体" w:hAnsi="宋体" w:eastAsia="宋体" w:cs="宋体"/>
        </w:rPr>
      </w:pPr>
    </w:p>
    <w:p w14:paraId="396D10BD">
      <w:pPr>
        <w:pStyle w:val="15"/>
        <w:numPr>
          <w:ilvl w:val="0"/>
          <w:numId w:val="2"/>
        </w:numPr>
        <w:spacing w:line="288" w:lineRule="auto"/>
        <w:outlineLvl w:val="0"/>
        <w:rPr>
          <w:rFonts w:hint="eastAsia" w:ascii="宋体" w:hAnsi="宋体" w:eastAsia="宋体" w:cs="宋体"/>
          <w:b/>
          <w:bCs/>
          <w:kern w:val="44"/>
          <w:sz w:val="32"/>
          <w:szCs w:val="32"/>
          <w:lang w:val="zh-CN"/>
        </w:rPr>
      </w:pPr>
      <w:r>
        <w:rPr>
          <w:rFonts w:hint="eastAsia" w:ascii="宋体" w:hAnsi="宋体" w:eastAsia="宋体" w:cs="宋体"/>
          <w:b/>
          <w:bCs/>
          <w:kern w:val="44"/>
          <w:sz w:val="32"/>
          <w:szCs w:val="32"/>
          <w:lang w:val="zh-CN"/>
        </w:rPr>
        <w:t>系统功能清单及详细功能描述</w:t>
      </w:r>
    </w:p>
    <w:tbl>
      <w:tblPr>
        <w:tblStyle w:val="7"/>
        <w:tblpPr w:leftFromText="180" w:rightFromText="180" w:vertAnchor="text" w:horzAnchor="page" w:tblpXSpec="center" w:tblpY="303"/>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1013"/>
        <w:gridCol w:w="1910"/>
        <w:gridCol w:w="5065"/>
      </w:tblGrid>
      <w:tr w14:paraId="44C2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Align w:val="center"/>
          </w:tcPr>
          <w:p w14:paraId="13E45A3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013" w:type="dxa"/>
            <w:vAlign w:val="center"/>
          </w:tcPr>
          <w:p w14:paraId="0B40C6D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功能模块</w:t>
            </w:r>
          </w:p>
        </w:tc>
        <w:tc>
          <w:tcPr>
            <w:tcW w:w="1910" w:type="dxa"/>
            <w:vAlign w:val="center"/>
          </w:tcPr>
          <w:p w14:paraId="0350A224">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子功能模块</w:t>
            </w:r>
          </w:p>
        </w:tc>
        <w:tc>
          <w:tcPr>
            <w:tcW w:w="5065" w:type="dxa"/>
            <w:vAlign w:val="center"/>
          </w:tcPr>
          <w:p w14:paraId="2B8920A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技术指标</w:t>
            </w:r>
          </w:p>
        </w:tc>
      </w:tr>
      <w:tr w14:paraId="29468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Merge w:val="restart"/>
            <w:vAlign w:val="center"/>
          </w:tcPr>
          <w:p w14:paraId="2289863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1013" w:type="dxa"/>
            <w:vMerge w:val="restart"/>
            <w:vAlign w:val="center"/>
          </w:tcPr>
          <w:p w14:paraId="4CED235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软件系统功能扩展与开发</w:t>
            </w:r>
          </w:p>
        </w:tc>
        <w:tc>
          <w:tcPr>
            <w:tcW w:w="1910" w:type="dxa"/>
            <w:shd w:val="clear" w:color="auto" w:fill="auto"/>
            <w:vAlign w:val="center"/>
          </w:tcPr>
          <w:p w14:paraId="622AEFE7">
            <w:pPr>
              <w:spacing w:line="360" w:lineRule="auto"/>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病历系统</w:t>
            </w:r>
          </w:p>
        </w:tc>
        <w:tc>
          <w:tcPr>
            <w:tcW w:w="5065" w:type="dxa"/>
            <w:shd w:val="clear" w:color="auto" w:fill="auto"/>
            <w:vAlign w:val="center"/>
          </w:tcPr>
          <w:p w14:paraId="6A0066CD">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新增PGT诊疗计划模块。支持在男女方病历中新增PGT诊疗计划部分</w:t>
            </w:r>
          </w:p>
        </w:tc>
      </w:tr>
      <w:tr w14:paraId="71A1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Merge w:val="continue"/>
            <w:vAlign w:val="center"/>
          </w:tcPr>
          <w:p w14:paraId="64DBFF7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013" w:type="dxa"/>
            <w:vMerge w:val="continue"/>
            <w:vAlign w:val="center"/>
          </w:tcPr>
          <w:p w14:paraId="6775BCF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szCs w:val="24"/>
                <w:lang w:val="en-US" w:eastAsia="zh-CN"/>
              </w:rPr>
            </w:pPr>
          </w:p>
        </w:tc>
        <w:tc>
          <w:tcPr>
            <w:tcW w:w="1910" w:type="dxa"/>
            <w:shd w:val="clear" w:color="auto" w:fill="auto"/>
            <w:vAlign w:val="center"/>
          </w:tcPr>
          <w:p w14:paraId="7353DDAA">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病案首页</w:t>
            </w:r>
          </w:p>
        </w:tc>
        <w:tc>
          <w:tcPr>
            <w:tcW w:w="5065" w:type="dxa"/>
            <w:shd w:val="clear" w:color="auto" w:fill="auto"/>
            <w:vAlign w:val="center"/>
          </w:tcPr>
          <w:p w14:paraId="7D8B32F8">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新增PGT诊疗方案、PGT类型字段。支持PGT相关信息的录入与展示</w:t>
            </w:r>
          </w:p>
        </w:tc>
      </w:tr>
      <w:tr w14:paraId="0D091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Merge w:val="continue"/>
            <w:vAlign w:val="center"/>
          </w:tcPr>
          <w:p w14:paraId="7A7D469F">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013" w:type="dxa"/>
            <w:vMerge w:val="continue"/>
            <w:vAlign w:val="center"/>
          </w:tcPr>
          <w:p w14:paraId="0308173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szCs w:val="24"/>
                <w:lang w:val="en-US" w:eastAsia="zh-CN"/>
              </w:rPr>
            </w:pPr>
          </w:p>
        </w:tc>
        <w:tc>
          <w:tcPr>
            <w:tcW w:w="1910" w:type="dxa"/>
            <w:shd w:val="clear" w:color="auto" w:fill="auto"/>
            <w:vAlign w:val="center"/>
          </w:tcPr>
          <w:p w14:paraId="2E9E4B2C">
            <w:p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治疗周期表</w:t>
            </w:r>
          </w:p>
        </w:tc>
        <w:tc>
          <w:tcPr>
            <w:tcW w:w="5065" w:type="dxa"/>
            <w:shd w:val="clear" w:color="auto" w:fill="auto"/>
            <w:vAlign w:val="center"/>
          </w:tcPr>
          <w:p w14:paraId="785C434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关联活检、送检、检测结果、移植顺序等。实现数据联动与状态更新</w:t>
            </w:r>
          </w:p>
        </w:tc>
      </w:tr>
      <w:tr w14:paraId="47A6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Merge w:val="continue"/>
            <w:vAlign w:val="center"/>
          </w:tcPr>
          <w:p w14:paraId="0A7B553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013" w:type="dxa"/>
            <w:vMerge w:val="continue"/>
            <w:vAlign w:val="center"/>
          </w:tcPr>
          <w:p w14:paraId="783D7670">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szCs w:val="24"/>
                <w:lang w:val="en-US" w:eastAsia="zh-CN"/>
              </w:rPr>
            </w:pPr>
          </w:p>
        </w:tc>
        <w:tc>
          <w:tcPr>
            <w:tcW w:w="1910" w:type="dxa"/>
            <w:shd w:val="clear" w:color="auto" w:fill="auto"/>
            <w:vAlign w:val="center"/>
          </w:tcPr>
          <w:p w14:paraId="33DC5BFD">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PGT记录模块</w:t>
            </w:r>
          </w:p>
        </w:tc>
        <w:tc>
          <w:tcPr>
            <w:tcW w:w="5065" w:type="dxa"/>
            <w:shd w:val="clear" w:color="auto" w:fill="auto"/>
            <w:vAlign w:val="center"/>
          </w:tcPr>
          <w:p w14:paraId="164B1D7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送检单、检测结果、移植顺序表。支持活检编号生成、数据导入、胚胎排序</w:t>
            </w:r>
          </w:p>
        </w:tc>
      </w:tr>
      <w:tr w14:paraId="405E4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Merge w:val="continue"/>
            <w:vAlign w:val="center"/>
          </w:tcPr>
          <w:p w14:paraId="1083151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013" w:type="dxa"/>
            <w:vMerge w:val="continue"/>
            <w:vAlign w:val="center"/>
          </w:tcPr>
          <w:p w14:paraId="738F72EE">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szCs w:val="24"/>
                <w:lang w:val="en-US" w:eastAsia="zh-CN"/>
              </w:rPr>
            </w:pPr>
          </w:p>
        </w:tc>
        <w:tc>
          <w:tcPr>
            <w:tcW w:w="1910" w:type="dxa"/>
            <w:shd w:val="clear" w:color="auto" w:fill="auto"/>
            <w:vAlign w:val="center"/>
          </w:tcPr>
          <w:p w14:paraId="58213343">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实验记录模块</w:t>
            </w:r>
          </w:p>
        </w:tc>
        <w:tc>
          <w:tcPr>
            <w:tcW w:w="5065" w:type="dxa"/>
            <w:shd w:val="clear" w:color="auto" w:fill="auto"/>
            <w:vAlign w:val="center"/>
          </w:tcPr>
          <w:p w14:paraId="325545C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活检记录、冷冻记录、解冻记录、可用胚胎记录。支持多表关联、状态跟踪、备注记录</w:t>
            </w:r>
          </w:p>
        </w:tc>
      </w:tr>
      <w:tr w14:paraId="3055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Merge w:val="continue"/>
            <w:vAlign w:val="center"/>
          </w:tcPr>
          <w:p w14:paraId="6E66C9B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013" w:type="dxa"/>
            <w:vMerge w:val="continue"/>
            <w:vAlign w:val="center"/>
          </w:tcPr>
          <w:p w14:paraId="4334956E">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szCs w:val="24"/>
                <w:lang w:val="en-US" w:eastAsia="zh-CN"/>
              </w:rPr>
            </w:pPr>
          </w:p>
        </w:tc>
        <w:tc>
          <w:tcPr>
            <w:tcW w:w="1910" w:type="dxa"/>
            <w:shd w:val="clear" w:color="auto" w:fill="auto"/>
            <w:vAlign w:val="center"/>
          </w:tcPr>
          <w:p w14:paraId="1333ACA4">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知情同意书模块</w:t>
            </w:r>
          </w:p>
        </w:tc>
        <w:tc>
          <w:tcPr>
            <w:tcW w:w="5065" w:type="dxa"/>
            <w:shd w:val="clear" w:color="auto" w:fill="auto"/>
            <w:vAlign w:val="center"/>
          </w:tcPr>
          <w:p w14:paraId="41E74F7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新增9份PGT知情同意书</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支持电子签名、归档、调阅</w:t>
            </w:r>
          </w:p>
        </w:tc>
      </w:tr>
      <w:tr w14:paraId="10BAC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restart"/>
            <w:vAlign w:val="center"/>
          </w:tcPr>
          <w:p w14:paraId="00E8BEDF">
            <w:pPr>
              <w:pStyle w:val="23"/>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013" w:type="dxa"/>
            <w:vMerge w:val="restart"/>
            <w:vAlign w:val="center"/>
          </w:tcPr>
          <w:p w14:paraId="23A1133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系统集成与接口开发</w:t>
            </w:r>
          </w:p>
        </w:tc>
        <w:tc>
          <w:tcPr>
            <w:tcW w:w="1910" w:type="dxa"/>
            <w:vAlign w:val="center"/>
          </w:tcPr>
          <w:p w14:paraId="062DE6D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亿康检测平台接口</w:t>
            </w:r>
          </w:p>
        </w:tc>
        <w:tc>
          <w:tcPr>
            <w:tcW w:w="5065" w:type="dxa"/>
            <w:vAlign w:val="center"/>
          </w:tcPr>
          <w:p w14:paraId="3F659517">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实现检测结果自动导入</w:t>
            </w:r>
          </w:p>
        </w:tc>
      </w:tr>
      <w:tr w14:paraId="248C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3B29451E">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E2A1D2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234631A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LIS系统接口</w:t>
            </w:r>
          </w:p>
        </w:tc>
        <w:tc>
          <w:tcPr>
            <w:tcW w:w="5065" w:type="dxa"/>
            <w:vAlign w:val="center"/>
          </w:tcPr>
          <w:p w14:paraId="3BFA28C0">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支持送检单、检测结果数据接收</w:t>
            </w:r>
          </w:p>
        </w:tc>
      </w:tr>
      <w:tr w14:paraId="76E24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67DD38DC">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7AED254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1D3ED7B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内部数据接口</w:t>
            </w:r>
          </w:p>
        </w:tc>
        <w:tc>
          <w:tcPr>
            <w:tcW w:w="5065" w:type="dxa"/>
            <w:vAlign w:val="center"/>
          </w:tcPr>
          <w:p w14:paraId="6125C3D5">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治疗周期表、活检记录、冷冻记录等。实现数据联动与状态同步</w:t>
            </w:r>
          </w:p>
        </w:tc>
      </w:tr>
      <w:tr w14:paraId="378EC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restart"/>
            <w:vAlign w:val="center"/>
          </w:tcPr>
          <w:p w14:paraId="5F24B19D">
            <w:pPr>
              <w:pStyle w:val="23"/>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013" w:type="dxa"/>
            <w:vMerge w:val="restart"/>
            <w:vAlign w:val="center"/>
          </w:tcPr>
          <w:p w14:paraId="40203A83">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质量控制与分析报表系统</w:t>
            </w:r>
          </w:p>
        </w:tc>
        <w:tc>
          <w:tcPr>
            <w:tcW w:w="1910" w:type="dxa"/>
            <w:vAlign w:val="center"/>
          </w:tcPr>
          <w:p w14:paraId="5F350C0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临床数据比对报表</w:t>
            </w:r>
          </w:p>
        </w:tc>
        <w:tc>
          <w:tcPr>
            <w:tcW w:w="5065" w:type="dxa"/>
            <w:vAlign w:val="center"/>
          </w:tcPr>
          <w:p w14:paraId="3A7D0AF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按促排方案+胎龄分层统计</w:t>
            </w:r>
            <w:r>
              <w:rPr>
                <w:rFonts w:hint="eastAsia" w:ascii="宋体" w:hAnsi="宋体" w:eastAsia="宋体" w:cs="宋体"/>
                <w:sz w:val="24"/>
                <w:szCs w:val="24"/>
                <w:lang w:eastAsia="zh-CN"/>
              </w:rPr>
              <w:t>。</w:t>
            </w:r>
          </w:p>
        </w:tc>
      </w:tr>
      <w:tr w14:paraId="012EE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738CB7C2">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B13E8AE">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0133E05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年龄+AMH+促排方案统计表</w:t>
            </w:r>
          </w:p>
        </w:tc>
        <w:tc>
          <w:tcPr>
            <w:tcW w:w="5065" w:type="dxa"/>
            <w:vAlign w:val="center"/>
          </w:tcPr>
          <w:p w14:paraId="24294E9F">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新增多维度分析报表。</w:t>
            </w:r>
          </w:p>
        </w:tc>
      </w:tr>
      <w:tr w14:paraId="52ACF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EF98D30">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039B6A7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09C2F12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移植结局对比表</w:t>
            </w:r>
          </w:p>
        </w:tc>
        <w:tc>
          <w:tcPr>
            <w:tcW w:w="5065" w:type="dxa"/>
            <w:vAlign w:val="center"/>
          </w:tcPr>
          <w:p w14:paraId="4165F07B">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新鲜移植与首次FET移植结局对比</w:t>
            </w:r>
          </w:p>
        </w:tc>
      </w:tr>
      <w:tr w14:paraId="131E4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C8C74AF">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67F3D54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7AA2CE7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人员质控表</w:t>
            </w:r>
          </w:p>
          <w:p w14:paraId="5D7FE200">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w:t>
            </w:r>
            <w:r>
              <w:rPr>
                <w:rFonts w:hint="eastAsia" w:ascii="宋体" w:hAnsi="宋体" w:eastAsia="宋体" w:cs="宋体"/>
                <w:sz w:val="24"/>
                <w:szCs w:val="24"/>
              </w:rPr>
              <w:t>AIH临床医生</w:t>
            </w:r>
            <w:r>
              <w:rPr>
                <w:rFonts w:hint="eastAsia" w:ascii="宋体" w:hAnsi="宋体" w:eastAsia="宋体" w:cs="宋体"/>
                <w:sz w:val="24"/>
                <w:szCs w:val="24"/>
                <w:lang w:val="en-US" w:eastAsia="zh-CN"/>
              </w:rPr>
              <w:t>)</w:t>
            </w:r>
          </w:p>
        </w:tc>
        <w:tc>
          <w:tcPr>
            <w:tcW w:w="5065" w:type="dxa"/>
            <w:vAlign w:val="center"/>
          </w:tcPr>
          <w:p w14:paraId="61F4093D">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按人员统计手术质控数据</w:t>
            </w:r>
          </w:p>
        </w:tc>
      </w:tr>
      <w:tr w14:paraId="43CF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123B558C">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24C1BC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607B103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流产率分析图</w:t>
            </w:r>
          </w:p>
        </w:tc>
        <w:tc>
          <w:tcPr>
            <w:tcW w:w="5065" w:type="dxa"/>
            <w:vAlign w:val="center"/>
          </w:tcPr>
          <w:p w14:paraId="2FA9E6EA">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ascii="Segoe UI" w:hAnsi="Segoe UI" w:eastAsia="Segoe UI" w:cs="Segoe UI"/>
                <w:i w:val="0"/>
                <w:iCs w:val="0"/>
                <w:caps w:val="0"/>
                <w:color w:val="0F1115"/>
                <w:spacing w:val="0"/>
                <w:sz w:val="22"/>
                <w:szCs w:val="22"/>
                <w:shd w:val="clear" w:fill="FFFFFF"/>
              </w:rPr>
              <w:t>含周期数分子分母展示</w:t>
            </w:r>
          </w:p>
        </w:tc>
      </w:tr>
      <w:tr w14:paraId="3536A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13773C8">
            <w:pPr>
              <w:pStyle w:val="23"/>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3BDAC6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910" w:type="dxa"/>
            <w:vAlign w:val="center"/>
          </w:tcPr>
          <w:p w14:paraId="66C2BF5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其他新增质控表</w:t>
            </w:r>
          </w:p>
        </w:tc>
        <w:tc>
          <w:tcPr>
            <w:tcW w:w="5065" w:type="dxa"/>
            <w:vAlign w:val="center"/>
          </w:tcPr>
          <w:p w14:paraId="0D6FE31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Segoe UI" w:hAnsi="Segoe UI" w:eastAsia="Segoe UI" w:cs="Segoe UI"/>
                <w:i w:val="0"/>
                <w:iCs w:val="0"/>
                <w:caps w:val="0"/>
                <w:color w:val="0F1115"/>
                <w:spacing w:val="0"/>
                <w:sz w:val="22"/>
                <w:szCs w:val="22"/>
                <w:shd w:val="clear" w:fill="FFFFFF"/>
              </w:rPr>
              <w:t>包括AFC分层、授精方式、妊娠情况等</w:t>
            </w:r>
          </w:p>
        </w:tc>
      </w:tr>
      <w:tr w14:paraId="06448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733" w:type="dxa"/>
            <w:vAlign w:val="center"/>
          </w:tcPr>
          <w:p w14:paraId="276D3424">
            <w:pPr>
              <w:pStyle w:val="23"/>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13" w:type="dxa"/>
            <w:vAlign w:val="center"/>
          </w:tcPr>
          <w:p w14:paraId="31790F43">
            <w:pPr>
              <w:pageBreakBefore w:val="0"/>
              <w:kinsoku/>
              <w:wordWrap/>
              <w:overflowPunct/>
              <w:topLinePunct w:val="0"/>
              <w:autoSpaceDE/>
              <w:autoSpaceDN/>
              <w:bidi w:val="0"/>
              <w:adjustRightInd w:val="0"/>
              <w:snapToGrid w:val="0"/>
              <w:spacing w:line="480" w:lineRule="exact"/>
              <w:jc w:val="center"/>
              <w:textAlignment w:val="auto"/>
              <w:rPr>
                <w:rFonts w:hint="eastAsia"/>
              </w:rPr>
            </w:pPr>
            <w:r>
              <w:rPr>
                <w:rFonts w:hint="eastAsia"/>
              </w:rPr>
              <w:t>电子</w:t>
            </w:r>
          </w:p>
          <w:p w14:paraId="1B7131C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rPr>
              <w:t>病历</w:t>
            </w:r>
          </w:p>
        </w:tc>
        <w:tc>
          <w:tcPr>
            <w:tcW w:w="1910" w:type="dxa"/>
            <w:vAlign w:val="center"/>
          </w:tcPr>
          <w:p w14:paraId="1B827E2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电子病历与知情同意书管理</w:t>
            </w:r>
          </w:p>
        </w:tc>
        <w:tc>
          <w:tcPr>
            <w:tcW w:w="5065" w:type="dxa"/>
            <w:vAlign w:val="center"/>
          </w:tcPr>
          <w:p w14:paraId="3CE554B2">
            <w:pPr>
              <w:pageBreakBefore w:val="0"/>
              <w:kinsoku/>
              <w:wordWrap/>
              <w:overflowPunct/>
              <w:topLinePunct w:val="0"/>
              <w:autoSpaceDE/>
              <w:autoSpaceDN/>
              <w:bidi w:val="0"/>
              <w:adjustRightInd w:val="0"/>
              <w:snapToGrid w:val="0"/>
              <w:spacing w:line="48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支持PGT文件夹结构创建与管理；</w:t>
            </w:r>
          </w:p>
          <w:p w14:paraId="3F4B2500">
            <w:pPr>
              <w:pageBreakBefore w:val="0"/>
              <w:kinsoku/>
              <w:wordWrap/>
              <w:overflowPunct/>
              <w:topLinePunct w:val="0"/>
              <w:autoSpaceDE/>
              <w:autoSpaceDN/>
              <w:bidi w:val="0"/>
              <w:adjustRightInd w:val="0"/>
              <w:snapToGrid w:val="0"/>
              <w:spacing w:line="48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支持电子签名、时间戳、归档与版本管理；</w:t>
            </w:r>
          </w:p>
          <w:p w14:paraId="59D8C5EF">
            <w:pPr>
              <w:pageBreakBefore w:val="0"/>
              <w:kinsoku/>
              <w:wordWrap/>
              <w:overflowPunct/>
              <w:topLinePunct w:val="0"/>
              <w:autoSpaceDE/>
              <w:autoSpaceDN/>
              <w:bidi w:val="0"/>
              <w:adjustRightInd w:val="0"/>
              <w:snapToGrid w:val="0"/>
              <w:spacing w:line="48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支持PGT相关知情同意书（共9份）的在线签署与存储。</w:t>
            </w:r>
          </w:p>
        </w:tc>
      </w:tr>
      <w:tr w14:paraId="134B6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733" w:type="dxa"/>
            <w:vAlign w:val="center"/>
          </w:tcPr>
          <w:p w14:paraId="22F4C78C">
            <w:pPr>
              <w:pStyle w:val="23"/>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013" w:type="dxa"/>
            <w:vAlign w:val="center"/>
          </w:tcPr>
          <w:p w14:paraId="49E996C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个性化开发</w:t>
            </w:r>
          </w:p>
        </w:tc>
        <w:tc>
          <w:tcPr>
            <w:tcW w:w="1910" w:type="dxa"/>
            <w:tcBorders>
              <w:top w:val="single" w:color="auto" w:sz="4" w:space="0"/>
            </w:tcBorders>
            <w:vAlign w:val="center"/>
          </w:tcPr>
          <w:p w14:paraId="020BBA9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个性化开发</w:t>
            </w:r>
          </w:p>
        </w:tc>
        <w:tc>
          <w:tcPr>
            <w:tcW w:w="5065" w:type="dxa"/>
            <w:vAlign w:val="center"/>
          </w:tcPr>
          <w:p w14:paraId="76963973">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按医院要求进行个性化开发，实现医院的个性化需求</w:t>
            </w:r>
          </w:p>
        </w:tc>
      </w:tr>
    </w:tbl>
    <w:p w14:paraId="0AA18A18">
      <w:pPr>
        <w:bidi w:val="0"/>
        <w:rPr>
          <w:rFonts w:hint="eastAsia"/>
          <w:lang w:val="zh-CN"/>
        </w:rPr>
      </w:pPr>
    </w:p>
    <w:p w14:paraId="4925980C">
      <w:pPr>
        <w:bidi w:val="0"/>
        <w:rPr>
          <w:rFonts w:hint="eastAsia"/>
          <w:lang w:val="zh-CN"/>
        </w:rPr>
      </w:pPr>
    </w:p>
    <w:p w14:paraId="43D0B244">
      <w:pPr>
        <w:pStyle w:val="16"/>
        <w:numPr>
          <w:ilvl w:val="0"/>
          <w:numId w:val="3"/>
        </w:numPr>
        <w:spacing w:before="0" w:after="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项目其他需求</w:t>
      </w:r>
    </w:p>
    <w:p w14:paraId="07F7B898">
      <w:pPr>
        <w:widowControl w:val="0"/>
        <w:tabs>
          <w:tab w:val="left" w:pos="780"/>
        </w:tabs>
        <w:spacing w:before="156" w:line="360" w:lineRule="auto"/>
        <w:ind w:firstLine="480" w:firstLineChars="20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项目承建商须配合院方展开对于信息产出的知识产权保护工作，围绕开发的</w:t>
      </w:r>
      <w:r>
        <w:rPr>
          <w:rFonts w:hint="eastAsia" w:ascii="宋体" w:hAnsi="宋体" w:eastAsia="宋体" w:cs="宋体"/>
          <w:lang w:val="zh-CN" w:eastAsia="zh-CN"/>
        </w:rPr>
        <w:t>全院</w:t>
      </w:r>
      <w:r>
        <w:rPr>
          <w:rFonts w:hint="eastAsia" w:ascii="宋体" w:hAnsi="宋体" w:eastAsia="宋体" w:cs="宋体"/>
          <w:sz w:val="24"/>
          <w:szCs w:val="24"/>
          <w:lang w:val="en-US" w:eastAsia="zh-CN"/>
        </w:rPr>
        <w:t>静疗</w:t>
      </w:r>
      <w:r>
        <w:rPr>
          <w:rFonts w:hint="eastAsia" w:ascii="宋体" w:hAnsi="宋体" w:eastAsia="宋体" w:cs="宋体"/>
          <w:sz w:val="24"/>
          <w:szCs w:val="24"/>
        </w:rPr>
        <w:t>信息</w:t>
      </w:r>
      <w:r>
        <w:rPr>
          <w:rFonts w:hint="eastAsia" w:ascii="宋体" w:hAnsi="宋体" w:eastAsia="宋体" w:cs="宋体"/>
          <w:sz w:val="24"/>
          <w:szCs w:val="24"/>
          <w:lang w:val="en-US" w:eastAsia="zh-CN"/>
        </w:rPr>
        <w:t>管理</w:t>
      </w:r>
      <w:r>
        <w:rPr>
          <w:rFonts w:hint="eastAsia" w:ascii="宋体" w:hAnsi="宋体" w:eastAsia="宋体" w:cs="宋体"/>
          <w:sz w:val="24"/>
          <w:szCs w:val="24"/>
        </w:rPr>
        <w:t>系统</w:t>
      </w:r>
      <w:r>
        <w:rPr>
          <w:rFonts w:hint="eastAsia" w:ascii="宋体" w:hAnsi="宋体" w:eastAsia="宋体" w:cs="宋体"/>
          <w:color w:val="000000"/>
          <w:kern w:val="2"/>
          <w:u w:color="000000"/>
          <w:lang w:eastAsia="zh-CN"/>
        </w:rPr>
        <w:t>申请</w:t>
      </w:r>
      <w:r>
        <w:rPr>
          <w:rFonts w:hint="eastAsia" w:ascii="宋体" w:hAnsi="宋体" w:eastAsia="宋体" w:cs="宋体"/>
          <w:color w:val="000000"/>
          <w:kern w:val="2"/>
          <w:u w:color="000000"/>
          <w:lang w:val="en-US" w:eastAsia="zh-CN"/>
        </w:rPr>
        <w:t>不少于</w:t>
      </w:r>
      <w:r>
        <w:rPr>
          <w:rFonts w:hint="eastAsia" w:ascii="宋体" w:hAnsi="宋体" w:eastAsia="宋体" w:cs="宋体"/>
          <w:color w:val="000000"/>
          <w:kern w:val="2"/>
          <w:u w:color="000000"/>
          <w:lang w:eastAsia="zh-CN"/>
        </w:rPr>
        <w:t>一项软件著作权。</w:t>
      </w:r>
    </w:p>
    <w:p w14:paraId="4F77DDA0">
      <w:pPr>
        <w:pStyle w:val="5"/>
        <w:rPr>
          <w:rFonts w:hint="eastAsia" w:ascii="宋体" w:hAnsi="宋体" w:eastAsia="宋体" w:cs="宋体"/>
          <w:lang w:eastAsia="zh-CN"/>
        </w:rPr>
      </w:pPr>
    </w:p>
    <w:p w14:paraId="0AAB3071">
      <w:pPr>
        <w:pStyle w:val="16"/>
        <w:spacing w:before="0" w:after="0"/>
        <w:rPr>
          <w:rFonts w:hint="eastAsia" w:ascii="宋体" w:hAnsi="宋体" w:eastAsia="宋体" w:cs="宋体"/>
          <w:b/>
          <w:bCs/>
          <w:sz w:val="21"/>
          <w:szCs w:val="21"/>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项目工期</w:t>
      </w:r>
    </w:p>
    <w:p w14:paraId="7F24ECD6">
      <w:pPr>
        <w:widowControl w:val="0"/>
        <w:numPr>
          <w:ilvl w:val="0"/>
          <w:numId w:val="4"/>
        </w:numPr>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自合同签订日起，须在</w:t>
      </w:r>
      <w:r>
        <w:rPr>
          <w:rFonts w:hint="eastAsia" w:ascii="宋体" w:hAnsi="宋体" w:eastAsia="宋体" w:cs="宋体"/>
          <w:color w:val="000000"/>
          <w:kern w:val="2"/>
          <w:u w:val="single" w:color="000000"/>
          <w:lang w:eastAsia="zh-CN"/>
        </w:rPr>
        <w:t>5</w:t>
      </w:r>
      <w:r>
        <w:rPr>
          <w:rFonts w:hint="eastAsia" w:ascii="宋体" w:hAnsi="宋体" w:eastAsia="宋体" w:cs="宋体"/>
          <w:color w:val="000000"/>
          <w:kern w:val="2"/>
          <w:u w:color="000000"/>
          <w:lang w:val="zh-TW" w:eastAsia="zh-TW"/>
        </w:rPr>
        <w:t>个工作日内对《用户需求说明书》进行补充、确认或提出意见。</w:t>
      </w:r>
    </w:p>
    <w:p w14:paraId="487C6C12">
      <w:pPr>
        <w:widowControl w:val="0"/>
        <w:numPr>
          <w:ilvl w:val="0"/>
          <w:numId w:val="5"/>
        </w:numPr>
        <w:tabs>
          <w:tab w:val="clear" w:pos="420"/>
        </w:tabs>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对《用户需求说明书》提出意见后，院方组织进行用户需求调研，根据调研情况提供业务调研记录、现况分析、功能设计及说明，双方共同整理并在</w:t>
      </w:r>
      <w:r>
        <w:rPr>
          <w:rFonts w:hint="eastAsia" w:ascii="宋体" w:hAnsi="宋体" w:eastAsia="宋体" w:cs="宋体"/>
          <w:color w:val="000000"/>
          <w:kern w:val="2"/>
          <w:u w:val="single" w:color="000000"/>
          <w:lang w:eastAsia="zh-CN"/>
        </w:rPr>
        <w:t>5</w:t>
      </w:r>
      <w:r>
        <w:rPr>
          <w:rFonts w:hint="eastAsia" w:ascii="宋体" w:hAnsi="宋体" w:eastAsia="宋体" w:cs="宋体"/>
          <w:color w:val="000000"/>
          <w:kern w:val="2"/>
          <w:u w:color="000000"/>
          <w:lang w:val="zh-TW" w:eastAsia="zh-TW"/>
        </w:rPr>
        <w:t>个工作日内确认《需求规格说明书》。</w:t>
      </w:r>
    </w:p>
    <w:p w14:paraId="48CEAD68">
      <w:pPr>
        <w:widowControl w:val="0"/>
        <w:numPr>
          <w:ilvl w:val="0"/>
          <w:numId w:val="5"/>
        </w:numPr>
        <w:tabs>
          <w:tab w:val="clear" w:pos="420"/>
        </w:tabs>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须在《需求规格说明书》确认后的</w:t>
      </w:r>
      <w:r>
        <w:rPr>
          <w:rFonts w:hint="eastAsia" w:ascii="宋体" w:hAnsi="宋体" w:eastAsia="宋体" w:cs="宋体"/>
          <w:color w:val="000000"/>
          <w:kern w:val="2"/>
          <w:u w:val="single" w:color="000000"/>
          <w:lang w:val="en-US" w:eastAsia="zh-CN"/>
        </w:rPr>
        <w:t>9</w:t>
      </w:r>
      <w:r>
        <w:rPr>
          <w:rFonts w:hint="eastAsia" w:ascii="宋体" w:hAnsi="宋体" w:eastAsia="宋体" w:cs="宋体"/>
          <w:color w:val="000000"/>
          <w:kern w:val="2"/>
          <w:u w:val="single" w:color="000000"/>
          <w:lang w:eastAsia="zh-CN"/>
        </w:rPr>
        <w:t>0</w:t>
      </w:r>
      <w:r>
        <w:rPr>
          <w:rFonts w:hint="eastAsia" w:ascii="宋体" w:hAnsi="宋体" w:eastAsia="宋体" w:cs="宋体"/>
          <w:color w:val="000000"/>
          <w:kern w:val="2"/>
          <w:u w:color="000000"/>
          <w:lang w:val="zh-TW" w:eastAsia="zh-TW"/>
        </w:rPr>
        <w:t>个工作日内完成实施导入和保证系统正常工作。</w:t>
      </w:r>
    </w:p>
    <w:p w14:paraId="211C6C6E">
      <w:pPr>
        <w:widowControl w:val="0"/>
        <w:numPr>
          <w:ilvl w:val="0"/>
          <w:numId w:val="5"/>
        </w:numPr>
        <w:tabs>
          <w:tab w:val="clear" w:pos="420"/>
        </w:tabs>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完成软件实施，并根据院方提出的新需求完成修改后，系统运行</w:t>
      </w:r>
      <w:r>
        <w:rPr>
          <w:rFonts w:hint="eastAsia" w:ascii="宋体" w:hAnsi="宋体" w:eastAsia="宋体" w:cs="宋体"/>
          <w:color w:val="000000"/>
          <w:kern w:val="2"/>
          <w:u w:val="single" w:color="000000"/>
          <w:lang w:eastAsia="zh-CN"/>
        </w:rPr>
        <w:t>3</w:t>
      </w:r>
      <w:r>
        <w:rPr>
          <w:rFonts w:hint="eastAsia" w:ascii="宋体" w:hAnsi="宋体" w:eastAsia="宋体" w:cs="宋体"/>
          <w:color w:val="000000"/>
          <w:kern w:val="2"/>
          <w:u w:color="000000"/>
          <w:lang w:val="zh-TW" w:eastAsia="zh-TW"/>
        </w:rPr>
        <w:t>个月以上无软件故障出现，则向院方申请验收。</w:t>
      </w:r>
    </w:p>
    <w:p w14:paraId="6A882689">
      <w:pPr>
        <w:pStyle w:val="18"/>
        <w:spacing w:before="0" w:line="480" w:lineRule="atLeast"/>
        <w:ind w:firstLine="567"/>
        <w:rPr>
          <w:rFonts w:hint="eastAsia" w:ascii="宋体" w:hAnsi="宋体" w:eastAsia="宋体" w:cs="宋体"/>
          <w:u w:color="000000"/>
        </w:rPr>
      </w:pPr>
    </w:p>
    <w:p w14:paraId="774A2369">
      <w:pPr>
        <w:pStyle w:val="15"/>
        <w:outlineLvl w:val="0"/>
        <w:rPr>
          <w:rFonts w:hint="eastAsia" w:ascii="宋体" w:hAnsi="宋体" w:eastAsia="宋体" w:cs="宋体"/>
          <w:b/>
          <w:bCs/>
          <w:sz w:val="32"/>
          <w:szCs w:val="32"/>
        </w:rPr>
      </w:pPr>
      <w:r>
        <w:rPr>
          <w:rFonts w:hint="eastAsia" w:ascii="宋体" w:hAnsi="宋体" w:eastAsia="宋体" w:cs="宋体"/>
          <w:b/>
          <w:bCs/>
          <w:sz w:val="32"/>
          <w:szCs w:val="32"/>
        </w:rPr>
        <w:t>六.</w:t>
      </w:r>
      <w:r>
        <w:rPr>
          <w:rFonts w:hint="eastAsia" w:ascii="宋体" w:hAnsi="宋体" w:eastAsia="宋体" w:cs="宋体"/>
          <w:b/>
          <w:bCs/>
          <w:sz w:val="32"/>
          <w:szCs w:val="32"/>
          <w:lang w:val="zh-CN"/>
        </w:rPr>
        <w:t>项目实施服务要求</w:t>
      </w:r>
    </w:p>
    <w:p w14:paraId="7DB7CDE7">
      <w:pPr>
        <w:pStyle w:val="15"/>
        <w:rPr>
          <w:rFonts w:hint="eastAsia" w:ascii="宋体" w:hAnsi="宋体" w:eastAsia="宋体" w:cs="宋体"/>
          <w:sz w:val="32"/>
          <w:szCs w:val="32"/>
          <w:u w:color="FF0000"/>
        </w:rPr>
      </w:pPr>
    </w:p>
    <w:p w14:paraId="78DA9C22">
      <w:pPr>
        <w:widowControl w:val="0"/>
        <w:tabs>
          <w:tab w:val="left" w:pos="780"/>
        </w:tabs>
        <w:spacing w:before="156" w:line="360" w:lineRule="auto"/>
        <w:ind w:firstLine="48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TW"/>
        </w:rPr>
        <w:t>项目实施期内承建商工作时间与院方工作时间一致，并且提供</w:t>
      </w:r>
      <w:r>
        <w:rPr>
          <w:rFonts w:hint="eastAsia" w:ascii="宋体" w:hAnsi="宋体" w:eastAsia="宋体" w:cs="宋体"/>
          <w:color w:val="000000"/>
          <w:kern w:val="2"/>
          <w:u w:color="000000"/>
          <w:lang w:eastAsia="zh-CN"/>
        </w:rPr>
        <w:t>7*24</w:t>
      </w:r>
      <w:r>
        <w:rPr>
          <w:rFonts w:hint="eastAsia" w:ascii="宋体" w:hAnsi="宋体" w:eastAsia="宋体" w:cs="宋体"/>
          <w:color w:val="000000"/>
          <w:kern w:val="2"/>
          <w:u w:color="000000"/>
          <w:lang w:val="zh-TW" w:eastAsia="zh-TW"/>
        </w:rPr>
        <w:t>小时响应服务。</w:t>
      </w:r>
    </w:p>
    <w:p w14:paraId="070CA621">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在项目实施前，结合院方项目需求，根据《网络安全等级保护制度》自评等保级别。需向医院提交设计方案进行安全评审，保证安全技术措施同步规划，系统建设根据信息系统安全等级保护要求进行建设。</w:t>
      </w:r>
    </w:p>
    <w:p w14:paraId="6903F56C">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90CE7AF">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项目承建商需根据院方的详细需求，提交项目系统的安装、调试及培训实施方案，方案得到院方确认后实施，保证系统按时、正常地投入运行。</w:t>
      </w:r>
    </w:p>
    <w:p w14:paraId="4C09C1A2">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5538777">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验收由承建商给出具体的验收计划、测试的内容和方法，经院方审核通过后，方可进行验收测试。</w:t>
      </w:r>
    </w:p>
    <w:p w14:paraId="21F15619">
      <w:pPr>
        <w:pStyle w:val="18"/>
        <w:spacing w:before="0" w:line="480" w:lineRule="atLeast"/>
        <w:ind w:firstLine="567"/>
        <w:rPr>
          <w:rFonts w:hint="eastAsia" w:ascii="宋体" w:hAnsi="宋体" w:eastAsia="宋体" w:cs="宋体"/>
          <w:u w:color="000000"/>
          <w:lang w:val="zh-TW" w:eastAsia="zh-TW"/>
        </w:rPr>
      </w:pPr>
    </w:p>
    <w:p w14:paraId="0556CF2F">
      <w:pPr>
        <w:widowControl w:val="0"/>
        <w:jc w:val="both"/>
        <w:rPr>
          <w:rFonts w:hint="eastAsia" w:ascii="宋体" w:hAnsi="宋体" w:eastAsia="宋体" w:cs="宋体"/>
          <w:color w:val="000000"/>
          <w:kern w:val="2"/>
          <w:sz w:val="21"/>
          <w:szCs w:val="21"/>
          <w:u w:color="000000"/>
          <w:lang w:val="zh-TW" w:eastAsia="zh-TW"/>
        </w:rPr>
      </w:pPr>
    </w:p>
    <w:p w14:paraId="15B5938E">
      <w:pPr>
        <w:pStyle w:val="15"/>
        <w:outlineLvl w:val="0"/>
        <w:rPr>
          <w:rFonts w:hint="eastAsia" w:ascii="宋体" w:hAnsi="宋体" w:eastAsia="宋体" w:cs="宋体"/>
          <w:b/>
          <w:bCs/>
          <w:sz w:val="32"/>
          <w:szCs w:val="32"/>
        </w:rPr>
      </w:pPr>
      <w:r>
        <w:rPr>
          <w:rFonts w:hint="eastAsia" w:ascii="宋体" w:hAnsi="宋体" w:eastAsia="宋体" w:cs="宋体"/>
          <w:b/>
          <w:bCs/>
          <w:sz w:val="32"/>
          <w:szCs w:val="32"/>
        </w:rPr>
        <w:t>七</w:t>
      </w:r>
      <w:r>
        <w:rPr>
          <w:rFonts w:hint="eastAsia" w:ascii="宋体" w:hAnsi="宋体" w:eastAsia="宋体" w:cs="宋体"/>
          <w:b/>
          <w:bCs/>
          <w:sz w:val="32"/>
          <w:szCs w:val="32"/>
          <w:lang w:eastAsia="zh-TW"/>
        </w:rPr>
        <w:t>.</w:t>
      </w:r>
      <w:r>
        <w:rPr>
          <w:rFonts w:hint="eastAsia" w:ascii="宋体" w:hAnsi="宋体" w:eastAsia="宋体" w:cs="宋体"/>
          <w:b/>
          <w:bCs/>
          <w:sz w:val="32"/>
          <w:szCs w:val="32"/>
          <w:lang w:val="zh-CN"/>
        </w:rPr>
        <w:t>后续维护服务</w:t>
      </w:r>
    </w:p>
    <w:p w14:paraId="02B82617">
      <w:pPr>
        <w:pStyle w:val="15"/>
        <w:rPr>
          <w:rFonts w:hint="eastAsia" w:ascii="宋体" w:hAnsi="宋体" w:eastAsia="宋体" w:cs="宋体"/>
          <w:sz w:val="32"/>
          <w:szCs w:val="32"/>
          <w:u w:color="FF0000"/>
        </w:rPr>
      </w:pPr>
    </w:p>
    <w:p w14:paraId="0F7288E8">
      <w:pPr>
        <w:widowControl w:val="0"/>
        <w:tabs>
          <w:tab w:val="left" w:pos="780"/>
        </w:tabs>
        <w:spacing w:before="156" w:line="360" w:lineRule="auto"/>
        <w:ind w:firstLine="48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TW"/>
        </w:rPr>
        <w:t>软件维护期从合同标的验收合格之日算起，期限为</w:t>
      </w:r>
      <w:r>
        <w:rPr>
          <w:rFonts w:hint="eastAsia" w:ascii="宋体" w:hAnsi="宋体" w:eastAsia="宋体" w:cs="宋体"/>
          <w:color w:val="000000"/>
          <w:kern w:val="2"/>
          <w:u w:val="single" w:color="000000"/>
          <w:lang w:val="en-US" w:eastAsia="zh-CN"/>
        </w:rPr>
        <w:t>36</w:t>
      </w:r>
      <w:r>
        <w:rPr>
          <w:rFonts w:hint="eastAsia" w:ascii="宋体" w:hAnsi="宋体" w:eastAsia="宋体" w:cs="宋体"/>
          <w:color w:val="000000"/>
          <w:kern w:val="2"/>
          <w:u w:color="000000"/>
          <w:lang w:val="zh-TW" w:eastAsia="zh-TW"/>
        </w:rPr>
        <w:t>个月。在维护期内，承建商提供技术支持和指导，以及软件的局部改进完善以及故障情况下的现场问题解决。</w:t>
      </w:r>
    </w:p>
    <w:p w14:paraId="6EBA5ECC">
      <w:pPr>
        <w:widowControl w:val="0"/>
        <w:tabs>
          <w:tab w:val="left" w:pos="780"/>
        </w:tabs>
        <w:spacing w:before="156" w:line="360" w:lineRule="auto"/>
        <w:ind w:firstLine="48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TW"/>
        </w:rPr>
        <w:t>维保期内承建商为院方提供维护及服务的部门及固定的专职技术人员</w:t>
      </w:r>
      <w:r>
        <w:rPr>
          <w:rFonts w:hint="eastAsia" w:ascii="宋体" w:hAnsi="宋体" w:eastAsia="宋体" w:cs="宋体"/>
          <w:color w:val="000000"/>
          <w:kern w:val="2"/>
          <w:u w:color="000000"/>
          <w:lang w:val="zh-TW" w:eastAsia="zh-CN"/>
        </w:rPr>
        <w:t>，</w:t>
      </w:r>
      <w:r>
        <w:rPr>
          <w:rFonts w:hint="eastAsia" w:ascii="宋体" w:hAnsi="宋体" w:eastAsia="宋体" w:cs="宋体"/>
          <w:color w:val="000000"/>
          <w:kern w:val="2"/>
          <w:u w:color="000000"/>
          <w:lang w:val="zh-TW" w:eastAsia="zh-TW"/>
        </w:rPr>
        <w:t>提供</w:t>
      </w:r>
      <w:r>
        <w:rPr>
          <w:rFonts w:hint="eastAsia" w:ascii="宋体" w:hAnsi="宋体" w:eastAsia="宋体" w:cs="宋体"/>
          <w:color w:val="000000"/>
          <w:kern w:val="2"/>
          <w:u w:color="000000"/>
          <w:lang w:eastAsia="zh-CN"/>
        </w:rPr>
        <w:t>7*24</w:t>
      </w:r>
      <w:r>
        <w:rPr>
          <w:rFonts w:hint="eastAsia" w:ascii="宋体" w:hAnsi="宋体" w:eastAsia="宋体" w:cs="宋体"/>
          <w:color w:val="000000"/>
          <w:kern w:val="2"/>
          <w:u w:color="000000"/>
          <w:lang w:val="zh-TW" w:eastAsia="zh-TW"/>
        </w:rPr>
        <w:t>小时响应服务。</w:t>
      </w:r>
    </w:p>
    <w:p w14:paraId="3C608B6A">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5EFBDB9">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超过维护期的，双方另行协商签订维护合同，服务方报价不超过合同软件部分金额的</w:t>
      </w:r>
      <w:r>
        <w:rPr>
          <w:rFonts w:hint="eastAsia" w:ascii="宋体" w:hAnsi="宋体" w:eastAsia="宋体" w:cs="宋体"/>
          <w:color w:val="000000"/>
          <w:kern w:val="2"/>
          <w:u w:color="000000"/>
          <w:lang w:eastAsia="zh-CN"/>
        </w:rPr>
        <w:t>8%</w:t>
      </w:r>
      <w:r>
        <w:rPr>
          <w:rFonts w:hint="eastAsia" w:ascii="宋体" w:hAnsi="宋体" w:eastAsia="宋体" w:cs="宋体"/>
          <w:color w:val="000000"/>
          <w:kern w:val="2"/>
          <w:u w:color="000000"/>
          <w:lang w:val="zh-TW" w:eastAsia="zh-TW"/>
        </w:rPr>
        <w:t>。</w:t>
      </w:r>
    </w:p>
    <w:p w14:paraId="55359D0D">
      <w:pPr>
        <w:pStyle w:val="18"/>
        <w:spacing w:before="0" w:line="480" w:lineRule="atLeast"/>
        <w:ind w:firstLine="567"/>
        <w:rPr>
          <w:rFonts w:hint="eastAsia" w:ascii="宋体" w:hAnsi="宋体" w:eastAsia="宋体" w:cs="宋体"/>
          <w:u w:color="000000"/>
        </w:rPr>
      </w:pPr>
    </w:p>
    <w:p w14:paraId="3BE01860">
      <w:pPr>
        <w:pStyle w:val="15"/>
        <w:outlineLvl w:val="0"/>
        <w:rPr>
          <w:rFonts w:hint="eastAsia" w:ascii="宋体" w:hAnsi="宋体" w:eastAsia="宋体" w:cs="宋体"/>
          <w:b/>
          <w:bCs/>
          <w:sz w:val="32"/>
          <w:szCs w:val="32"/>
        </w:rPr>
      </w:pPr>
      <w:r>
        <w:rPr>
          <w:rFonts w:hint="eastAsia" w:ascii="宋体" w:hAnsi="宋体" w:eastAsia="宋体" w:cs="宋体"/>
          <w:b/>
          <w:bCs/>
          <w:sz w:val="32"/>
          <w:szCs w:val="32"/>
        </w:rPr>
        <w:t>八.</w:t>
      </w:r>
      <w:r>
        <w:rPr>
          <w:rFonts w:hint="eastAsia" w:ascii="宋体" w:hAnsi="宋体" w:eastAsia="宋体" w:cs="宋体"/>
          <w:b/>
          <w:bCs/>
          <w:sz w:val="32"/>
          <w:szCs w:val="32"/>
          <w:lang w:val="zh-TW" w:eastAsia="zh-TW"/>
        </w:rPr>
        <w:t>合同款支付方式</w:t>
      </w:r>
    </w:p>
    <w:p w14:paraId="0A330F96">
      <w:pPr>
        <w:pStyle w:val="15"/>
        <w:rPr>
          <w:rFonts w:hint="eastAsia" w:ascii="宋体" w:hAnsi="宋体" w:eastAsia="宋体" w:cs="宋体"/>
          <w:sz w:val="32"/>
          <w:szCs w:val="32"/>
        </w:rPr>
      </w:pPr>
    </w:p>
    <w:p w14:paraId="1D466BA1">
      <w:pPr>
        <w:widowControl w:val="0"/>
        <w:spacing w:line="360" w:lineRule="auto"/>
        <w:ind w:firstLine="360" w:firstLineChars="15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CN"/>
        </w:rPr>
        <w:t>（1）、</w:t>
      </w:r>
      <w:r>
        <w:rPr>
          <w:rFonts w:hint="eastAsia" w:ascii="宋体" w:hAnsi="宋体" w:eastAsia="宋体" w:cs="宋体"/>
          <w:color w:val="000000"/>
          <w:kern w:val="2"/>
          <w:u w:color="000000"/>
          <w:lang w:val="zh-TW" w:eastAsia="zh-TW"/>
        </w:rPr>
        <w:t>合同签订后，在收到承建商开具相应金额正式发票后，支付合同总金额的</w:t>
      </w:r>
      <w:r>
        <w:rPr>
          <w:rFonts w:hint="eastAsia" w:ascii="宋体" w:hAnsi="宋体" w:eastAsia="宋体" w:cs="宋体"/>
          <w:color w:val="000000"/>
          <w:kern w:val="2"/>
          <w:u w:color="000000"/>
          <w:lang w:eastAsia="zh-CN"/>
        </w:rPr>
        <w:t>30%。</w:t>
      </w:r>
    </w:p>
    <w:p w14:paraId="0FB6B943">
      <w:pPr>
        <w:widowControl w:val="0"/>
        <w:spacing w:line="360" w:lineRule="auto"/>
        <w:ind w:firstLine="360" w:firstLineChars="15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w:t>
      </w:r>
      <w:r>
        <w:rPr>
          <w:rFonts w:hint="eastAsia" w:ascii="宋体" w:hAnsi="宋体" w:eastAsia="宋体" w:cs="宋体"/>
          <w:color w:val="000000"/>
          <w:kern w:val="2"/>
          <w:u w:color="000000"/>
          <w:lang w:val="en-US" w:eastAsia="zh-CN"/>
        </w:rPr>
        <w:t>2</w:t>
      </w:r>
      <w:r>
        <w:rPr>
          <w:rFonts w:hint="eastAsia" w:ascii="宋体" w:hAnsi="宋体" w:eastAsia="宋体" w:cs="宋体"/>
          <w:color w:val="000000"/>
          <w:kern w:val="2"/>
          <w:u w:color="000000"/>
          <w:lang w:eastAsia="zh-CN"/>
        </w:rPr>
        <w:t>）、</w:t>
      </w:r>
      <w:r>
        <w:rPr>
          <w:rFonts w:hint="eastAsia" w:ascii="宋体" w:hAnsi="宋体" w:eastAsia="宋体" w:cs="宋体"/>
          <w:color w:val="000000"/>
          <w:kern w:val="2"/>
          <w:u w:color="000000"/>
          <w:lang w:val="zh-CN" w:eastAsia="zh-CN"/>
        </w:rPr>
        <w:t>验收完成后，在收到承建商开具相应金额正式发票后，支付合同总金额的</w:t>
      </w:r>
      <w:r>
        <w:rPr>
          <w:rFonts w:hint="eastAsia" w:ascii="宋体" w:hAnsi="宋体" w:eastAsia="宋体" w:cs="宋体"/>
          <w:color w:val="000000"/>
          <w:kern w:val="2"/>
          <w:u w:color="000000"/>
          <w:lang w:val="en-US" w:eastAsia="zh-CN"/>
        </w:rPr>
        <w:t>7</w:t>
      </w:r>
      <w:r>
        <w:rPr>
          <w:rFonts w:hint="eastAsia" w:ascii="宋体" w:hAnsi="宋体" w:eastAsia="宋体" w:cs="宋体"/>
          <w:color w:val="000000"/>
          <w:kern w:val="2"/>
          <w:u w:color="000000"/>
          <w:lang w:val="zh-CN" w:eastAsia="zh-CN"/>
        </w:rPr>
        <w:t>0%。</w:t>
      </w:r>
    </w:p>
    <w:p w14:paraId="2862069F">
      <w:pPr>
        <w:widowControl w:val="0"/>
        <w:spacing w:line="360" w:lineRule="auto"/>
        <w:ind w:firstLine="360" w:firstLineChars="150"/>
        <w:jc w:val="both"/>
        <w:rPr>
          <w:rFonts w:hint="eastAsia" w:ascii="宋体" w:hAnsi="宋体" w:eastAsia="宋体" w:cs="宋体"/>
          <w:color w:val="000000"/>
          <w:kern w:val="2"/>
          <w:u w:color="000000"/>
          <w:lang w:val="zh-CN" w:eastAsia="zh-CN"/>
        </w:rPr>
      </w:pPr>
    </w:p>
    <w:sectPr>
      <w:headerReference r:id="rId3" w:type="default"/>
      <w:footerReference r:id="rId4" w:type="default"/>
      <w:pgSz w:w="11900" w:h="16840"/>
      <w:pgMar w:top="1021" w:right="1418" w:bottom="1021"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PingFang SC Semibold">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Segoe Print"/>
    <w:panose1 w:val="020B06040202020202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BBB9">
    <w:pPr>
      <w:pStyle w:val="6"/>
      <w:ind w:left="1441"/>
      <w:jc w:val="center"/>
    </w:pPr>
    <w:r>
      <w:rPr>
        <w:caps/>
        <w:color w:val="5B9BD5"/>
        <w:u w:color="5B9BD5"/>
      </w:rPr>
      <w:fldChar w:fldCharType="begin"/>
    </w:r>
    <w:r>
      <w:rPr>
        <w:caps/>
        <w:color w:val="5B9BD5"/>
        <w:u w:color="5B9BD5"/>
      </w:rPr>
      <w:instrText xml:space="preserve"> PAGE </w:instrText>
    </w:r>
    <w:r>
      <w:rPr>
        <w:caps/>
        <w:color w:val="5B9BD5"/>
        <w:u w:color="5B9BD5"/>
      </w:rPr>
      <w:fldChar w:fldCharType="separate"/>
    </w:r>
    <w:r>
      <w:rPr>
        <w:caps/>
        <w:color w:val="5B9BD5"/>
        <w:u w:color="5B9BD5"/>
      </w:rPr>
      <w:t>1</w:t>
    </w:r>
    <w:r>
      <w:rPr>
        <w:caps/>
        <w:color w:val="5B9BD5"/>
        <w:u w:color="5B9BD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9F34">
    <w:pPr>
      <w:pStyle w:val="1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83822"/>
    <w:multiLevelType w:val="singleLevel"/>
    <w:tmpl w:val="C0183822"/>
    <w:lvl w:ilvl="0" w:tentative="0">
      <w:start w:val="4"/>
      <w:numFmt w:val="chineseCounting"/>
      <w:suff w:val="nothing"/>
      <w:lvlText w:val="%1．"/>
      <w:lvlJc w:val="left"/>
      <w:rPr>
        <w:rFonts w:hint="eastAsia"/>
      </w:rPr>
    </w:lvl>
  </w:abstractNum>
  <w:abstractNum w:abstractNumId="1">
    <w:nsid w:val="F4B5D9F5"/>
    <w:multiLevelType w:val="multilevel"/>
    <w:tmpl w:val="F4B5D9F5"/>
    <w:lvl w:ilvl="0" w:tentative="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F70CC56B"/>
    <w:multiLevelType w:val="singleLevel"/>
    <w:tmpl w:val="F70CC56B"/>
    <w:lvl w:ilvl="0" w:tentative="0">
      <w:start w:val="3"/>
      <w:numFmt w:val="chineseCounting"/>
      <w:lvlText w:val="%1."/>
      <w:lvlJc w:val="left"/>
      <w:pPr>
        <w:tabs>
          <w:tab w:val="left" w:pos="312"/>
        </w:tabs>
      </w:pPr>
      <w:rPr>
        <w:rFonts w:hint="eastAsia"/>
      </w:rPr>
    </w:lvl>
  </w:abstractNum>
  <w:abstractNum w:abstractNumId="3">
    <w:nsid w:val="37A69330"/>
    <w:multiLevelType w:val="multilevel"/>
    <w:tmpl w:val="37A69330"/>
    <w:lvl w:ilvl="0" w:tentative="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20BB29D"/>
    <w:multiLevelType w:val="multilevel"/>
    <w:tmpl w:val="520BB29D"/>
    <w:lvl w:ilvl="0" w:tentative="0">
      <w:start w:val="1"/>
      <w:numFmt w:val="chineseCounting"/>
      <w:lvlText w:val="%1、"/>
      <w:lvlJc w:val="left"/>
      <w:pPr>
        <w:ind w:left="1130" w:hanging="1130"/>
      </w:pPr>
      <w:rPr>
        <w:rFonts w:hint="eastAsia"/>
      </w:rPr>
    </w:lvl>
    <w:lvl w:ilvl="1" w:tentative="0">
      <w:start w:val="1"/>
      <w:numFmt w:val="decimalFullWidth"/>
      <w:pStyle w:val="21"/>
      <w:lvlText w:val="%2)"/>
      <w:lvlJc w:val="left"/>
      <w:pPr>
        <w:ind w:left="1250" w:hanging="967"/>
      </w:pPr>
      <w:rPr>
        <w:rFonts w:hint="eastAsia" w:ascii="微软雅黑" w:hAnsi="微软雅黑" w:eastAsia="微软雅黑" w:cs="微软雅黑"/>
      </w:rPr>
    </w:lvl>
    <w:lvl w:ilvl="2" w:tentative="0">
      <w:start w:val="1"/>
      <w:numFmt w:val="lowerRoman"/>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4"/>
  </w:num>
  <w:num w:numId="2">
    <w:abstractNumId w:val="2"/>
  </w:num>
  <w:num w:numId="3">
    <w:abstractNumId w:val="0"/>
  </w:num>
  <w:num w:numId="4">
    <w:abstractNumId w:val="3"/>
  </w:num>
  <w:num w:numId="5">
    <w:abstractNumId w:val="1"/>
    <w:lvlOverride w:ilvl="0">
      <w:lvl w:ilvl="0" w:tentative="1">
        <w:start w:val="1"/>
        <w:numFmt w:val="decimal"/>
        <w:lvlText w:val="%1."/>
        <w:lvlJc w:val="left"/>
        <w:pPr>
          <w:tabs>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tabs>
            <w:tab w:val="left" w:pos="36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36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36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36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36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36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36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36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YTc1NDMxZmNlYzU4MGNkZmY0YTZjMTRhYTM2YzgifQ=="/>
  </w:docVars>
  <w:rsids>
    <w:rsidRoot w:val="00624561"/>
    <w:rsid w:val="00141390"/>
    <w:rsid w:val="002D04AF"/>
    <w:rsid w:val="00624561"/>
    <w:rsid w:val="0074198A"/>
    <w:rsid w:val="00AC6D56"/>
    <w:rsid w:val="00AF3902"/>
    <w:rsid w:val="00FF17EF"/>
    <w:rsid w:val="061E19F9"/>
    <w:rsid w:val="06872969"/>
    <w:rsid w:val="1B1A4683"/>
    <w:rsid w:val="2E9D3186"/>
    <w:rsid w:val="3CA82F1C"/>
    <w:rsid w:val="583B14D6"/>
    <w:rsid w:val="5B277D14"/>
    <w:rsid w:val="704A6CE6"/>
    <w:rsid w:val="74B0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US" w:eastAsia="en-US"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next w:val="1"/>
    <w:unhideWhenUsed/>
    <w:qFormat/>
    <w:uiPriority w:val="99"/>
    <w:pPr>
      <w:spacing w:after="120"/>
    </w:pPr>
  </w:style>
  <w:style w:type="paragraph" w:styleId="6">
    <w:name w:val="footer"/>
    <w:qFormat/>
    <w:uiPriority w:val="0"/>
    <w:pPr>
      <w:widowControl w:val="0"/>
      <w:tabs>
        <w:tab w:val="center" w:pos="4153"/>
        <w:tab w:val="right" w:pos="8306"/>
      </w:tabs>
      <w:spacing w:after="160" w:line="259" w:lineRule="auto"/>
    </w:pPr>
    <w:rPr>
      <w:rFonts w:ascii="Times New Roman" w:hAnsi="Times New Roman" w:eastAsia="Arial Unicode MS" w:cs="Arial Unicode MS"/>
      <w:color w:val="000000"/>
      <w:kern w:val="2"/>
      <w:sz w:val="18"/>
      <w:szCs w:val="18"/>
      <w:u w:color="000000"/>
      <w:lang w:val="en-US" w:eastAsia="zh-CN" w:bidi="ar-SA"/>
    </w:rPr>
  </w:style>
  <w:style w:type="character" w:styleId="9">
    <w:name w:val="Strong"/>
    <w:basedOn w:val="8"/>
    <w:qFormat/>
    <w:uiPriority w:val="0"/>
    <w:rPr>
      <w:b/>
    </w:rPr>
  </w:style>
  <w:style w:type="character" w:styleId="10">
    <w:name w:val="Hyperlink"/>
    <w:qFormat/>
    <w:uiPriority w:val="0"/>
    <w:rPr>
      <w:u w:val="single"/>
    </w:rPr>
  </w:style>
  <w:style w:type="character" w:styleId="11">
    <w:name w:val="annotation reference"/>
    <w:basedOn w:val="8"/>
    <w:qFormat/>
    <w:uiPriority w:val="0"/>
    <w:rPr>
      <w:sz w:val="21"/>
      <w:szCs w:val="21"/>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14">
    <w:name w:val="Default"/>
    <w:qFormat/>
    <w:uiPriority w:val="0"/>
    <w:pPr>
      <w:widowControl w:val="0"/>
      <w:spacing w:after="160" w:line="259" w:lineRule="auto"/>
      <w:jc w:val="both"/>
    </w:pPr>
    <w:rPr>
      <w:rFonts w:ascii="微软雅黑" w:hAnsi="微软雅黑" w:eastAsia="微软雅黑" w:cs="微软雅黑"/>
      <w:color w:val="000000"/>
      <w:sz w:val="24"/>
      <w:szCs w:val="24"/>
      <w:u w:color="000000"/>
      <w:lang w:val="en-US" w:eastAsia="zh-CN" w:bidi="ar-SA"/>
    </w:rPr>
  </w:style>
  <w:style w:type="paragraph" w:customStyle="1" w:styleId="15">
    <w:name w:val="正文1"/>
    <w:qFormat/>
    <w:uiPriority w:val="0"/>
    <w:rPr>
      <w:rFonts w:ascii="Times New Roman" w:hAnsi="Times New Roman" w:eastAsia="Times New Roman" w:cs="Times New Roman"/>
      <w:color w:val="000000"/>
      <w:sz w:val="24"/>
      <w:szCs w:val="24"/>
      <w:u w:color="000000"/>
      <w:lang w:val="en-US" w:eastAsia="zh-CN" w:bidi="ar-SA"/>
    </w:rPr>
  </w:style>
  <w:style w:type="paragraph" w:customStyle="1" w:styleId="16">
    <w:name w:val="Heading"/>
    <w:next w:val="17"/>
    <w:qFormat/>
    <w:uiPriority w:val="0"/>
    <w:pPr>
      <w:keepNext/>
      <w:keepLines/>
      <w:widowControl w:val="0"/>
      <w:spacing w:before="340" w:after="330" w:line="578" w:lineRule="auto"/>
      <w:jc w:val="both"/>
      <w:outlineLvl w:val="0"/>
    </w:pPr>
    <w:rPr>
      <w:rFonts w:ascii="Arial Unicode MS" w:hAnsi="Arial Unicode MS" w:eastAsia="Arial Unicode MS" w:cs="Arial Unicode MS"/>
      <w:color w:val="000000"/>
      <w:kern w:val="44"/>
      <w:sz w:val="44"/>
      <w:szCs w:val="44"/>
      <w:u w:color="000000"/>
      <w:lang w:val="zh-TW" w:eastAsia="zh-TW" w:bidi="ar-SA"/>
    </w:rPr>
  </w:style>
  <w:style w:type="paragraph" w:customStyle="1" w:styleId="17">
    <w:name w:val="Body"/>
    <w:qFormat/>
    <w:uiPriority w:val="0"/>
    <w:pPr>
      <w:widowControl w:val="0"/>
      <w:spacing w:after="160" w:line="259" w:lineRule="auto"/>
      <w:jc w:val="both"/>
    </w:pPr>
    <w:rPr>
      <w:rFonts w:ascii="Arial Unicode MS" w:hAnsi="Arial Unicode MS" w:eastAsia="Arial Unicode MS" w:cs="Arial Unicode MS"/>
      <w:color w:val="000000"/>
      <w:kern w:val="2"/>
      <w:sz w:val="21"/>
      <w:szCs w:val="21"/>
      <w:u w:color="000000"/>
      <w:lang w:val="zh-TW" w:eastAsia="zh-TW" w:bidi="ar-SA"/>
    </w:rPr>
  </w:style>
  <w:style w:type="paragraph" w:customStyle="1" w:styleId="18">
    <w:name w:val="默认"/>
    <w:qFormat/>
    <w:uiPriority w:val="0"/>
    <w:pPr>
      <w:spacing w:before="160" w:line="288" w:lineRule="auto"/>
    </w:pPr>
    <w:rPr>
      <w:rFonts w:ascii="PingFang SC Regular" w:hAnsi="PingFang SC Regular" w:eastAsia="PingFang SC Regular" w:cs="PingFang SC Regular"/>
      <w:color w:val="000000"/>
      <w:sz w:val="24"/>
      <w:szCs w:val="24"/>
      <w:lang w:val="en-US" w:eastAsia="zh-CN" w:bidi="ar-SA"/>
    </w:rPr>
  </w:style>
  <w:style w:type="paragraph" w:customStyle="1" w:styleId="19">
    <w:name w:val="样式2"/>
    <w:basedOn w:val="2"/>
    <w:qFormat/>
    <w:uiPriority w:val="0"/>
    <w:rPr>
      <w:rFonts w:ascii="仿宋" w:hAnsi="仿宋" w:eastAsia="仿宋"/>
      <w:sz w:val="30"/>
      <w:szCs w:val="30"/>
    </w:rPr>
  </w:style>
  <w:style w:type="paragraph" w:customStyle="1" w:styleId="20">
    <w:name w:val="样式3"/>
    <w:basedOn w:val="3"/>
    <w:qFormat/>
    <w:uiPriority w:val="0"/>
    <w:rPr>
      <w:rFonts w:ascii="仿宋" w:hAnsi="仿宋" w:eastAsia="仿宋"/>
      <w:sz w:val="30"/>
      <w:szCs w:val="30"/>
    </w:rPr>
  </w:style>
  <w:style w:type="paragraph" w:customStyle="1" w:styleId="21">
    <w:name w:val="条目2"/>
    <w:basedOn w:val="1"/>
    <w:link w:val="22"/>
    <w:autoRedefine/>
    <w:qFormat/>
    <w:uiPriority w:val="0"/>
    <w:pPr>
      <w:numPr>
        <w:ilvl w:val="1"/>
        <w:numId w:val="1"/>
      </w:numPr>
    </w:pPr>
    <w:rPr>
      <w:rFonts w:hint="eastAsia" w:ascii="微软雅黑" w:hAnsi="微软雅黑" w:eastAsia="微软雅黑" w:cs="微软雅黑"/>
    </w:rPr>
  </w:style>
  <w:style w:type="character" w:customStyle="1" w:styleId="22">
    <w:name w:val="条目2 Char"/>
    <w:link w:val="21"/>
    <w:qFormat/>
    <w:uiPriority w:val="0"/>
    <w:rPr>
      <w:rFonts w:hint="eastAsia" w:ascii="微软雅黑" w:hAnsi="微软雅黑" w:eastAsia="微软雅黑" w:cs="微软雅黑"/>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4</Pages>
  <Words>1841</Words>
  <Characters>1895</Characters>
  <Lines>31</Lines>
  <Paragraphs>8</Paragraphs>
  <TotalTime>18</TotalTime>
  <ScaleCrop>false</ScaleCrop>
  <LinksUpToDate>false</LinksUpToDate>
  <CharactersWithSpaces>1896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2024-08-29T08:27:00Z</dcterms:created>
  <dc:creator>netuser</dc:creator>
  <cp:lastModifiedBy>赵杰</cp:lastModifiedBy>
  <dcterms:modified xsi:type="dcterms:W3CDTF">2025-11-20T05:22:29Z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FBEE37075E9642D58DCC3B298D183306_13</vt:lpwstr>
  </property>
  <property fmtid="{D5CDD505-2E9C-101B-9397-08002B2CF9AE}" pid="4" name="KSOTemplateDocerSaveRecord">
    <vt:lpwstr>eyJoZGlkIjoiZTNmZWQ4ZDMyMDU2MTY4ZmY4YjFhYjNkNzYxMTI0OWEiLCJ1c2VySWQiOiI4MjEzNDE2NTAifQ==</vt:lpwstr>
  </property>
</Properties>
</file>