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7EF25">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r>
        <w:rPr>
          <w:rFonts w:hint="eastAsia" w:ascii="宋体" w:hAnsi="宋体"/>
          <w:b/>
          <w:sz w:val="44"/>
          <w:szCs w:val="30"/>
          <w:lang w:val="en-US" w:eastAsia="zh-CN"/>
        </w:rPr>
        <w:t>租赁</w:t>
      </w:r>
      <w:r>
        <w:rPr>
          <w:rFonts w:hint="eastAsia" w:ascii="宋体" w:hAnsi="宋体"/>
          <w:b/>
          <w:sz w:val="44"/>
          <w:szCs w:val="30"/>
        </w:rPr>
        <w:t>政务服务自助</w:t>
      </w:r>
      <w:r>
        <w:rPr>
          <w:rFonts w:hint="eastAsia" w:ascii="宋体" w:hAnsi="宋体"/>
          <w:b/>
          <w:sz w:val="44"/>
          <w:szCs w:val="30"/>
          <w:lang w:val="en-US" w:eastAsia="zh-CN"/>
        </w:rPr>
        <w:t xml:space="preserve">终端      </w:t>
      </w:r>
      <w:r>
        <w:rPr>
          <w:rFonts w:hint="eastAsia" w:ascii="宋体" w:hAnsi="宋体"/>
          <w:b/>
          <w:sz w:val="44"/>
          <w:szCs w:val="30"/>
        </w:rPr>
        <w:t>项目需求</w:t>
      </w:r>
    </w:p>
    <w:p w14:paraId="3CFBE88E">
      <w:pPr>
        <w:pStyle w:val="2"/>
        <w:numPr>
          <w:ilvl w:val="0"/>
          <w:numId w:val="3"/>
        </w:numPr>
        <w:spacing w:before="0" w:after="0"/>
        <w:rPr>
          <w:rFonts w:ascii="宋体" w:hAnsi="宋体"/>
          <w:sz w:val="32"/>
          <w:szCs w:val="32"/>
        </w:rPr>
      </w:pPr>
      <w:r>
        <w:rPr>
          <w:rFonts w:hint="eastAsia" w:ascii="宋体" w:hAnsi="宋体"/>
          <w:sz w:val="32"/>
          <w:szCs w:val="32"/>
        </w:rPr>
        <w:t>项目名称</w:t>
      </w:r>
    </w:p>
    <w:p w14:paraId="1F4965E9">
      <w:pPr>
        <w:spacing w:line="360" w:lineRule="auto"/>
        <w:ind w:left="432"/>
        <w:rPr>
          <w:rFonts w:ascii="宋体" w:hAnsi="宋体"/>
          <w:sz w:val="22"/>
        </w:rPr>
      </w:pPr>
      <w:r>
        <w:rPr>
          <w:rFonts w:hint="eastAsia" w:ascii="宋体" w:hAnsi="宋体"/>
          <w:sz w:val="22"/>
        </w:rPr>
        <w:t>项目名称：广东省人民医院租赁政务服务自助终端项目</w:t>
      </w:r>
    </w:p>
    <w:p w14:paraId="5A5B2E32">
      <w:pPr>
        <w:spacing w:line="360" w:lineRule="auto"/>
        <w:ind w:left="432"/>
        <w:rPr>
          <w:rFonts w:ascii="宋体" w:hAnsi="宋体"/>
          <w:sz w:val="22"/>
        </w:rPr>
      </w:pPr>
    </w:p>
    <w:p w14:paraId="0FB09455">
      <w:pPr>
        <w:pStyle w:val="2"/>
        <w:numPr>
          <w:ilvl w:val="0"/>
          <w:numId w:val="3"/>
        </w:numPr>
        <w:spacing w:before="0" w:after="0"/>
        <w:rPr>
          <w:rFonts w:ascii="宋体" w:hAnsi="宋体"/>
          <w:sz w:val="32"/>
          <w:szCs w:val="32"/>
        </w:rPr>
      </w:pPr>
      <w:r>
        <w:rPr>
          <w:rFonts w:hint="eastAsia" w:ascii="宋体" w:hAnsi="宋体"/>
          <w:sz w:val="32"/>
          <w:szCs w:val="32"/>
          <w:lang w:val="en-US" w:eastAsia="zh-CN"/>
        </w:rPr>
        <w:t>采购清单</w:t>
      </w:r>
    </w:p>
    <w:p w14:paraId="3E01E19F">
      <w:r>
        <w:rPr>
          <w:rFonts w:hint="eastAsia"/>
        </w:rPr>
        <w:t>采购</w:t>
      </w:r>
      <w:r>
        <w:rPr>
          <w:rFonts w:hint="eastAsia"/>
          <w:lang w:val="en-US" w:eastAsia="zh-CN"/>
        </w:rPr>
        <w:t>租赁</w:t>
      </w:r>
      <w:r>
        <w:rPr>
          <w:rFonts w:hint="eastAsia"/>
        </w:rPr>
        <w:t>服</w:t>
      </w:r>
      <w:bookmarkStart w:id="1" w:name="_GoBack"/>
      <w:bookmarkEnd w:id="1"/>
      <w:r>
        <w:rPr>
          <w:rFonts w:hint="eastAsia"/>
        </w:rPr>
        <w:t>务</w:t>
      </w:r>
      <w:r>
        <w:rPr>
          <w:rFonts w:hint="eastAsia"/>
          <w:lang w:val="en-US" w:eastAsia="zh-CN"/>
        </w:rPr>
        <w:t>清单</w:t>
      </w:r>
      <w:r>
        <w:rPr>
          <w:rFonts w:hint="eastAsia"/>
        </w:rPr>
        <w:t>如下：</w:t>
      </w:r>
    </w:p>
    <w:tbl>
      <w:tblPr>
        <w:tblStyle w:val="1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30"/>
        <w:gridCol w:w="1659"/>
        <w:gridCol w:w="1275"/>
        <w:gridCol w:w="1418"/>
        <w:gridCol w:w="1134"/>
        <w:gridCol w:w="1134"/>
        <w:gridCol w:w="1559"/>
      </w:tblGrid>
      <w:tr w14:paraId="7081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tblHeader/>
        </w:trPr>
        <w:tc>
          <w:tcPr>
            <w:tcW w:w="1030" w:type="dxa"/>
            <w:tcMar>
              <w:top w:w="180" w:type="dxa"/>
              <w:left w:w="270" w:type="dxa"/>
              <w:bottom w:w="180" w:type="dxa"/>
              <w:right w:w="270" w:type="dxa"/>
            </w:tcMar>
            <w:vAlign w:val="center"/>
          </w:tcPr>
          <w:p w14:paraId="76CA9395">
            <w:pPr>
              <w:widowControl/>
              <w:spacing w:line="360" w:lineRule="auto"/>
              <w:jc w:val="center"/>
              <w:rPr>
                <w:rFonts w:ascii="宋体" w:hAnsi="宋体" w:cs="宋体"/>
                <w:b/>
                <w:bCs/>
                <w:sz w:val="24"/>
              </w:rPr>
            </w:pPr>
            <w:r>
              <w:rPr>
                <w:rFonts w:ascii="宋体" w:hAnsi="宋体" w:cs="宋体"/>
                <w:b/>
                <w:bCs/>
                <w:sz w:val="24"/>
              </w:rPr>
              <w:t>序号</w:t>
            </w:r>
          </w:p>
        </w:tc>
        <w:tc>
          <w:tcPr>
            <w:tcW w:w="1659" w:type="dxa"/>
            <w:tcMar>
              <w:top w:w="180" w:type="dxa"/>
              <w:left w:w="270" w:type="dxa"/>
              <w:bottom w:w="180" w:type="dxa"/>
              <w:right w:w="270" w:type="dxa"/>
            </w:tcMar>
            <w:vAlign w:val="center"/>
          </w:tcPr>
          <w:p w14:paraId="5AD192DC">
            <w:pPr>
              <w:widowControl/>
              <w:spacing w:line="360" w:lineRule="auto"/>
              <w:jc w:val="center"/>
              <w:rPr>
                <w:rFonts w:ascii="宋体" w:hAnsi="宋体" w:cs="宋体"/>
                <w:b/>
                <w:bCs/>
                <w:sz w:val="24"/>
              </w:rPr>
            </w:pPr>
            <w:r>
              <w:rPr>
                <w:rFonts w:hint="eastAsia" w:ascii="宋体" w:hAnsi="宋体" w:cs="宋体"/>
                <w:b/>
                <w:bCs/>
                <w:sz w:val="24"/>
              </w:rPr>
              <w:t>服务</w:t>
            </w:r>
            <w:r>
              <w:rPr>
                <w:rFonts w:ascii="宋体" w:hAnsi="宋体" w:cs="宋体"/>
                <w:b/>
                <w:bCs/>
                <w:sz w:val="24"/>
              </w:rPr>
              <w:t>内容</w:t>
            </w:r>
          </w:p>
        </w:tc>
        <w:tc>
          <w:tcPr>
            <w:tcW w:w="1275" w:type="dxa"/>
            <w:tcMar>
              <w:top w:w="180" w:type="dxa"/>
              <w:left w:w="270" w:type="dxa"/>
              <w:bottom w:w="180" w:type="dxa"/>
              <w:right w:w="270" w:type="dxa"/>
            </w:tcMar>
            <w:vAlign w:val="center"/>
          </w:tcPr>
          <w:p w14:paraId="7060475E">
            <w:pPr>
              <w:widowControl/>
              <w:spacing w:line="360" w:lineRule="auto"/>
              <w:jc w:val="center"/>
              <w:rPr>
                <w:rFonts w:ascii="宋体" w:hAnsi="宋体" w:cs="宋体"/>
                <w:b/>
                <w:bCs/>
                <w:sz w:val="24"/>
              </w:rPr>
            </w:pPr>
            <w:r>
              <w:rPr>
                <w:rFonts w:ascii="宋体" w:hAnsi="宋体" w:cs="宋体"/>
                <w:b/>
                <w:bCs/>
                <w:sz w:val="24"/>
              </w:rPr>
              <w:t>品牌</w:t>
            </w:r>
          </w:p>
        </w:tc>
        <w:tc>
          <w:tcPr>
            <w:tcW w:w="1418" w:type="dxa"/>
            <w:tcMar>
              <w:top w:w="180" w:type="dxa"/>
              <w:left w:w="270" w:type="dxa"/>
              <w:bottom w:w="180" w:type="dxa"/>
              <w:right w:w="270" w:type="dxa"/>
            </w:tcMar>
            <w:vAlign w:val="center"/>
          </w:tcPr>
          <w:p w14:paraId="56593BD6">
            <w:pPr>
              <w:widowControl/>
              <w:spacing w:line="360" w:lineRule="auto"/>
              <w:jc w:val="center"/>
              <w:rPr>
                <w:rFonts w:ascii="宋体" w:hAnsi="宋体" w:cs="宋体"/>
                <w:b/>
                <w:bCs/>
                <w:sz w:val="24"/>
              </w:rPr>
            </w:pPr>
            <w:r>
              <w:rPr>
                <w:rFonts w:ascii="宋体" w:hAnsi="宋体" w:cs="宋体"/>
                <w:b/>
                <w:bCs/>
                <w:sz w:val="24"/>
              </w:rPr>
              <w:t>型号</w:t>
            </w:r>
          </w:p>
        </w:tc>
        <w:tc>
          <w:tcPr>
            <w:tcW w:w="1134" w:type="dxa"/>
            <w:tcMar>
              <w:top w:w="180" w:type="dxa"/>
              <w:left w:w="270" w:type="dxa"/>
              <w:bottom w:w="180" w:type="dxa"/>
              <w:right w:w="270" w:type="dxa"/>
            </w:tcMar>
            <w:vAlign w:val="center"/>
          </w:tcPr>
          <w:p w14:paraId="002E0B53">
            <w:pPr>
              <w:widowControl/>
              <w:spacing w:line="360" w:lineRule="auto"/>
              <w:jc w:val="center"/>
              <w:rPr>
                <w:rFonts w:ascii="宋体" w:hAnsi="宋体" w:cs="宋体"/>
                <w:b/>
                <w:bCs/>
                <w:sz w:val="24"/>
              </w:rPr>
            </w:pPr>
            <w:r>
              <w:rPr>
                <w:rFonts w:hint="eastAsia" w:ascii="宋体" w:hAnsi="宋体" w:cs="宋体"/>
                <w:b/>
                <w:bCs/>
                <w:sz w:val="24"/>
              </w:rPr>
              <w:t>机型</w:t>
            </w:r>
          </w:p>
        </w:tc>
        <w:tc>
          <w:tcPr>
            <w:tcW w:w="1134" w:type="dxa"/>
            <w:tcMar>
              <w:top w:w="180" w:type="dxa"/>
              <w:left w:w="270" w:type="dxa"/>
              <w:bottom w:w="180" w:type="dxa"/>
              <w:right w:w="270" w:type="dxa"/>
            </w:tcMar>
            <w:vAlign w:val="center"/>
          </w:tcPr>
          <w:p w14:paraId="2DD6DF21">
            <w:pPr>
              <w:widowControl/>
              <w:spacing w:line="360" w:lineRule="auto"/>
              <w:jc w:val="center"/>
              <w:rPr>
                <w:rFonts w:ascii="宋体" w:hAnsi="宋体" w:cs="宋体"/>
                <w:b/>
                <w:bCs/>
                <w:sz w:val="24"/>
              </w:rPr>
            </w:pPr>
            <w:r>
              <w:rPr>
                <w:rFonts w:ascii="宋体" w:hAnsi="宋体" w:cs="宋体"/>
                <w:b/>
                <w:bCs/>
                <w:sz w:val="24"/>
              </w:rPr>
              <w:t>数量</w:t>
            </w:r>
          </w:p>
        </w:tc>
        <w:tc>
          <w:tcPr>
            <w:tcW w:w="1559" w:type="dxa"/>
            <w:tcMar>
              <w:top w:w="180" w:type="dxa"/>
              <w:left w:w="270" w:type="dxa"/>
              <w:bottom w:w="180" w:type="dxa"/>
              <w:right w:w="270" w:type="dxa"/>
            </w:tcMar>
            <w:vAlign w:val="center"/>
          </w:tcPr>
          <w:p w14:paraId="519C614C">
            <w:pPr>
              <w:widowControl/>
              <w:spacing w:line="360" w:lineRule="auto"/>
              <w:jc w:val="center"/>
              <w:rPr>
                <w:rFonts w:ascii="宋体" w:hAnsi="宋体" w:cs="宋体"/>
                <w:b/>
                <w:bCs/>
                <w:sz w:val="24"/>
              </w:rPr>
            </w:pPr>
            <w:r>
              <w:rPr>
                <w:rFonts w:hint="eastAsia" w:ascii="宋体" w:hAnsi="宋体" w:cs="宋体"/>
                <w:b/>
                <w:bCs/>
                <w:sz w:val="24"/>
              </w:rPr>
              <w:t>服务期限</w:t>
            </w:r>
          </w:p>
        </w:tc>
      </w:tr>
      <w:tr w14:paraId="2533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4" w:hRule="atLeast"/>
        </w:trPr>
        <w:tc>
          <w:tcPr>
            <w:tcW w:w="0" w:type="auto"/>
            <w:tcMar>
              <w:top w:w="180" w:type="dxa"/>
              <w:left w:w="270" w:type="dxa"/>
              <w:bottom w:w="180" w:type="dxa"/>
              <w:right w:w="270" w:type="dxa"/>
            </w:tcMar>
            <w:vAlign w:val="center"/>
          </w:tcPr>
          <w:p w14:paraId="5040E087">
            <w:pPr>
              <w:widowControl/>
              <w:spacing w:line="360" w:lineRule="auto"/>
              <w:jc w:val="center"/>
              <w:rPr>
                <w:rFonts w:ascii="宋体" w:hAnsi="宋体" w:cs="宋体"/>
                <w:bCs/>
                <w:sz w:val="24"/>
              </w:rPr>
            </w:pPr>
            <w:r>
              <w:rPr>
                <w:rFonts w:ascii="宋体" w:hAnsi="宋体" w:cs="宋体"/>
                <w:bCs/>
                <w:sz w:val="24"/>
              </w:rPr>
              <w:t>1</w:t>
            </w:r>
          </w:p>
        </w:tc>
        <w:tc>
          <w:tcPr>
            <w:tcW w:w="1659" w:type="dxa"/>
            <w:tcMar>
              <w:top w:w="180" w:type="dxa"/>
              <w:left w:w="270" w:type="dxa"/>
              <w:bottom w:w="180" w:type="dxa"/>
              <w:right w:w="270" w:type="dxa"/>
            </w:tcMar>
            <w:vAlign w:val="center"/>
          </w:tcPr>
          <w:p w14:paraId="3C9BAF4F">
            <w:pPr>
              <w:widowControl/>
              <w:spacing w:line="360" w:lineRule="auto"/>
              <w:jc w:val="center"/>
              <w:rPr>
                <w:rFonts w:ascii="宋体" w:hAnsi="宋体" w:cs="宋体"/>
                <w:bCs/>
                <w:sz w:val="24"/>
              </w:rPr>
            </w:pPr>
            <w:r>
              <w:rPr>
                <w:rFonts w:hint="eastAsia" w:ascii="宋体" w:hAnsi="宋体" w:cs="宋体"/>
                <w:bCs/>
                <w:sz w:val="24"/>
              </w:rPr>
              <w:t>政务服务自助机设备</w:t>
            </w:r>
            <w:r>
              <w:rPr>
                <w:rFonts w:ascii="宋体" w:hAnsi="宋体" w:cs="宋体"/>
                <w:bCs/>
                <w:sz w:val="24"/>
              </w:rPr>
              <w:t>租赁</w:t>
            </w:r>
          </w:p>
        </w:tc>
        <w:tc>
          <w:tcPr>
            <w:tcW w:w="1275" w:type="dxa"/>
            <w:tcMar>
              <w:top w:w="180" w:type="dxa"/>
              <w:left w:w="270" w:type="dxa"/>
              <w:bottom w:w="180" w:type="dxa"/>
              <w:right w:w="270" w:type="dxa"/>
            </w:tcMar>
            <w:vAlign w:val="center"/>
          </w:tcPr>
          <w:p w14:paraId="3ADBB17B">
            <w:pPr>
              <w:widowControl/>
              <w:spacing w:line="360" w:lineRule="auto"/>
              <w:jc w:val="center"/>
              <w:rPr>
                <w:rFonts w:ascii="宋体" w:hAnsi="宋体" w:cs="宋体"/>
                <w:bCs/>
                <w:sz w:val="24"/>
              </w:rPr>
            </w:pPr>
            <w:r>
              <w:rPr>
                <w:rFonts w:hint="eastAsia" w:ascii="宋体" w:hAnsi="宋体" w:cs="宋体"/>
                <w:bCs/>
                <w:sz w:val="24"/>
              </w:rPr>
              <w:t>力麒</w:t>
            </w:r>
          </w:p>
        </w:tc>
        <w:tc>
          <w:tcPr>
            <w:tcW w:w="1418" w:type="dxa"/>
            <w:tcMar>
              <w:top w:w="180" w:type="dxa"/>
              <w:left w:w="270" w:type="dxa"/>
              <w:bottom w:w="180" w:type="dxa"/>
              <w:right w:w="270" w:type="dxa"/>
            </w:tcMar>
            <w:vAlign w:val="center"/>
          </w:tcPr>
          <w:p w14:paraId="10494B07">
            <w:pPr>
              <w:widowControl/>
              <w:spacing w:line="360" w:lineRule="auto"/>
              <w:jc w:val="center"/>
              <w:rPr>
                <w:rFonts w:ascii="宋体" w:hAnsi="宋体" w:cs="宋体"/>
                <w:bCs/>
                <w:sz w:val="24"/>
              </w:rPr>
            </w:pPr>
            <w:r>
              <w:rPr>
                <w:rFonts w:ascii="宋体" w:hAnsi="宋体" w:cs="宋体"/>
                <w:bCs/>
                <w:sz w:val="24"/>
              </w:rPr>
              <w:t>LQ-D9</w:t>
            </w:r>
          </w:p>
        </w:tc>
        <w:tc>
          <w:tcPr>
            <w:tcW w:w="1134" w:type="dxa"/>
            <w:tcMar>
              <w:top w:w="180" w:type="dxa"/>
              <w:left w:w="270" w:type="dxa"/>
              <w:bottom w:w="180" w:type="dxa"/>
              <w:right w:w="270" w:type="dxa"/>
            </w:tcMar>
            <w:vAlign w:val="center"/>
          </w:tcPr>
          <w:p w14:paraId="35CC5BA4">
            <w:pPr>
              <w:widowControl/>
              <w:spacing w:line="360" w:lineRule="auto"/>
              <w:jc w:val="center"/>
              <w:rPr>
                <w:rFonts w:ascii="宋体" w:hAnsi="宋体" w:cs="宋体"/>
                <w:bCs/>
                <w:sz w:val="24"/>
              </w:rPr>
            </w:pPr>
            <w:r>
              <w:rPr>
                <w:rFonts w:hint="eastAsia" w:ascii="宋体" w:hAnsi="宋体" w:cs="宋体"/>
                <w:bCs/>
                <w:sz w:val="24"/>
              </w:rPr>
              <w:t>增强型</w:t>
            </w:r>
          </w:p>
        </w:tc>
        <w:tc>
          <w:tcPr>
            <w:tcW w:w="1134" w:type="dxa"/>
            <w:tcMar>
              <w:top w:w="180" w:type="dxa"/>
              <w:left w:w="270" w:type="dxa"/>
              <w:bottom w:w="180" w:type="dxa"/>
              <w:right w:w="270" w:type="dxa"/>
            </w:tcMar>
            <w:vAlign w:val="center"/>
          </w:tcPr>
          <w:p w14:paraId="03DA9554">
            <w:pPr>
              <w:widowControl/>
              <w:spacing w:line="360" w:lineRule="auto"/>
              <w:jc w:val="center"/>
              <w:rPr>
                <w:rFonts w:ascii="宋体" w:hAnsi="宋体" w:cs="宋体"/>
                <w:bCs/>
                <w:sz w:val="24"/>
              </w:rPr>
            </w:pPr>
            <w:r>
              <w:rPr>
                <w:rFonts w:hint="eastAsia" w:ascii="宋体" w:hAnsi="宋体" w:cs="宋体"/>
                <w:bCs/>
                <w:sz w:val="24"/>
              </w:rPr>
              <w:t>1台</w:t>
            </w:r>
          </w:p>
        </w:tc>
        <w:tc>
          <w:tcPr>
            <w:tcW w:w="1559" w:type="dxa"/>
            <w:tcMar>
              <w:top w:w="180" w:type="dxa"/>
              <w:left w:w="270" w:type="dxa"/>
              <w:bottom w:w="180" w:type="dxa"/>
              <w:right w:w="270" w:type="dxa"/>
            </w:tcMar>
            <w:vAlign w:val="center"/>
          </w:tcPr>
          <w:p w14:paraId="5C7DE38C">
            <w:pPr>
              <w:widowControl/>
              <w:spacing w:line="360" w:lineRule="auto"/>
              <w:jc w:val="center"/>
              <w:rPr>
                <w:rFonts w:ascii="宋体" w:hAnsi="宋体" w:cs="宋体"/>
                <w:bCs/>
                <w:sz w:val="24"/>
              </w:rPr>
            </w:pPr>
            <w:r>
              <w:rPr>
                <w:rFonts w:ascii="宋体" w:hAnsi="宋体" w:cs="宋体"/>
                <w:bCs/>
                <w:sz w:val="24"/>
              </w:rPr>
              <w:t>1</w:t>
            </w:r>
            <w:r>
              <w:rPr>
                <w:rFonts w:hint="eastAsia" w:ascii="宋体" w:hAnsi="宋体" w:cs="宋体"/>
                <w:bCs/>
                <w:sz w:val="24"/>
              </w:rPr>
              <w:t>年</w:t>
            </w:r>
          </w:p>
        </w:tc>
      </w:tr>
    </w:tbl>
    <w:p w14:paraId="4A58A668">
      <w:pPr>
        <w:rPr>
          <w:rFonts w:hint="eastAsia"/>
        </w:rPr>
      </w:pPr>
      <w:r>
        <w:rPr>
          <w:rFonts w:hint="eastAsia"/>
        </w:rPr>
        <w:t xml:space="preserve"> </w:t>
      </w:r>
    </w:p>
    <w:p w14:paraId="70D98980">
      <w:pPr>
        <w:pStyle w:val="48"/>
        <w:keepNext/>
        <w:keepLines/>
        <w:numPr>
          <w:ilvl w:val="0"/>
          <w:numId w:val="1"/>
        </w:numPr>
        <w:spacing w:line="578" w:lineRule="auto"/>
        <w:ind w:firstLineChars="0"/>
        <w:outlineLvl w:val="0"/>
        <w:rPr>
          <w:rFonts w:ascii="宋体" w:hAnsi="宋体" w:eastAsia="宋体"/>
          <w:b/>
          <w:bCs/>
          <w:vanish/>
          <w:kern w:val="44"/>
          <w:sz w:val="44"/>
          <w:szCs w:val="44"/>
        </w:rPr>
      </w:pPr>
    </w:p>
    <w:p w14:paraId="7E882C2C">
      <w:pPr>
        <w:pStyle w:val="48"/>
        <w:keepNext/>
        <w:keepLines/>
        <w:numPr>
          <w:ilvl w:val="0"/>
          <w:numId w:val="1"/>
        </w:numPr>
        <w:spacing w:line="578" w:lineRule="auto"/>
        <w:ind w:firstLineChars="0"/>
        <w:outlineLvl w:val="0"/>
        <w:rPr>
          <w:rFonts w:ascii="宋体" w:hAnsi="宋体" w:eastAsia="宋体"/>
          <w:b/>
          <w:bCs/>
          <w:vanish/>
          <w:kern w:val="44"/>
          <w:sz w:val="44"/>
          <w:szCs w:val="44"/>
        </w:rPr>
      </w:pPr>
    </w:p>
    <w:p w14:paraId="09B40B0C">
      <w:pPr>
        <w:pStyle w:val="48"/>
        <w:keepNext/>
        <w:keepLines/>
        <w:numPr>
          <w:ilvl w:val="0"/>
          <w:numId w:val="1"/>
        </w:numPr>
        <w:spacing w:line="578" w:lineRule="auto"/>
        <w:ind w:firstLineChars="0"/>
        <w:outlineLvl w:val="0"/>
        <w:rPr>
          <w:rFonts w:ascii="宋体" w:hAnsi="宋体" w:eastAsia="宋体"/>
          <w:b/>
          <w:bCs/>
          <w:vanish/>
          <w:kern w:val="44"/>
          <w:sz w:val="44"/>
          <w:szCs w:val="44"/>
        </w:rPr>
      </w:pPr>
    </w:p>
    <w:p w14:paraId="731F5DB6">
      <w:pPr>
        <w:pStyle w:val="48"/>
        <w:keepNext/>
        <w:keepLines/>
        <w:numPr>
          <w:ilvl w:val="1"/>
          <w:numId w:val="1"/>
        </w:numPr>
        <w:spacing w:line="578" w:lineRule="auto"/>
        <w:ind w:firstLineChars="0"/>
        <w:outlineLvl w:val="0"/>
        <w:rPr>
          <w:rFonts w:ascii="宋体" w:hAnsi="宋体" w:eastAsia="宋体"/>
          <w:b/>
          <w:bCs/>
          <w:vanish/>
          <w:kern w:val="44"/>
          <w:sz w:val="44"/>
          <w:szCs w:val="44"/>
        </w:rPr>
      </w:pPr>
    </w:p>
    <w:p w14:paraId="6DC7D59C">
      <w:pPr>
        <w:pStyle w:val="2"/>
        <w:numPr>
          <w:ilvl w:val="0"/>
          <w:numId w:val="3"/>
        </w:numPr>
        <w:spacing w:before="0" w:after="0"/>
        <w:rPr>
          <w:rFonts w:ascii="宋体" w:hAnsi="宋体"/>
          <w:sz w:val="32"/>
          <w:szCs w:val="32"/>
          <w:lang w:eastAsia="zh-CN"/>
        </w:rPr>
      </w:pPr>
      <w:bookmarkStart w:id="0" w:name="_6.1.2、容器服务器"/>
      <w:bookmarkEnd w:id="0"/>
      <w:r>
        <w:rPr>
          <w:rFonts w:hint="eastAsia" w:ascii="宋体" w:hAnsi="宋体"/>
          <w:sz w:val="32"/>
          <w:szCs w:val="32"/>
          <w:lang w:eastAsia="zh-CN"/>
        </w:rPr>
        <w:t>服务方式</w:t>
      </w:r>
    </w:p>
    <w:p w14:paraId="0B939C80">
      <w:pPr>
        <w:spacing w:line="360" w:lineRule="auto"/>
        <w:ind w:left="420"/>
        <w:rPr>
          <w:rFonts w:ascii="宋体" w:hAnsi="宋体"/>
          <w:szCs w:val="21"/>
        </w:rPr>
      </w:pPr>
      <w:r>
        <w:rPr>
          <w:rFonts w:hint="eastAsia" w:ascii="宋体" w:hAnsi="宋体"/>
          <w:szCs w:val="21"/>
        </w:rPr>
        <w:t>以现场服务为主，需提供预防性维护、热线电话、EMAIL 支持、远程在线诊断和调试、等系统维护服务方式。。</w:t>
      </w:r>
    </w:p>
    <w:p w14:paraId="3A74FA5B">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服务时间</w:t>
      </w:r>
    </w:p>
    <w:p w14:paraId="3110897A">
      <w:pPr>
        <w:tabs>
          <w:tab w:val="left" w:pos="567"/>
        </w:tabs>
        <w:spacing w:before="156" w:beforeLines="50" w:line="360" w:lineRule="auto"/>
        <w:ind w:firstLine="420" w:firstLineChars="200"/>
        <w:outlineLvl w:val="0"/>
        <w:rPr>
          <w:rFonts w:ascii="宋体" w:hAnsi="宋体"/>
          <w:szCs w:val="21"/>
        </w:rPr>
      </w:pPr>
      <w:r>
        <w:rPr>
          <w:rFonts w:hint="eastAsia" w:ascii="宋体" w:hAnsi="宋体"/>
          <w:szCs w:val="21"/>
        </w:rPr>
        <w:t>合同生效起</w:t>
      </w:r>
      <w:r>
        <w:rPr>
          <w:rFonts w:ascii="宋体" w:hAnsi="宋体"/>
          <w:szCs w:val="21"/>
        </w:rPr>
        <w:t>12</w:t>
      </w:r>
      <w:r>
        <w:rPr>
          <w:rFonts w:hint="eastAsia" w:ascii="宋体" w:hAnsi="宋体"/>
          <w:szCs w:val="21"/>
        </w:rPr>
        <w:t>个月内，服务商为甲方提供与设备租赁及相关的运维服务和售后服务。</w:t>
      </w:r>
    </w:p>
    <w:p w14:paraId="4179AE06">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服务要求</w:t>
      </w:r>
    </w:p>
    <w:p w14:paraId="668A9D48">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5.1 运维人员要求</w:t>
      </w:r>
    </w:p>
    <w:p w14:paraId="274A237B">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服务商运维人员具体要求为：机电、计算机等相关专业，专科以上学历，具备 2 年以上智能化系统设备安装调试及运维工作经验。</w:t>
      </w:r>
    </w:p>
    <w:p w14:paraId="2677DEFC">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5.2 咨询和支持服务要求</w:t>
      </w:r>
    </w:p>
    <w:p w14:paraId="6618101B">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服务商需提供远程事项咨询、故障指导、数据分析支持等服务。</w:t>
      </w:r>
    </w:p>
    <w:p w14:paraId="67CBB46F">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5.3 故障设备维护服务要求</w:t>
      </w:r>
    </w:p>
    <w:p w14:paraId="74002887">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以现场服务为主，服务商需在远程支持不能排除故障时，派工程师携带有关备件提供现场技术支持服务。</w:t>
      </w:r>
    </w:p>
    <w:p w14:paraId="7CC19EF6">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5.4 免费升级及技术支持要求</w:t>
      </w:r>
    </w:p>
    <w:p w14:paraId="06FD0AA4">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需要为甲方免费提供设备配置变更、现场软件升级服务，包括所有的软件安装、软件升级、参数调整变更及驱动程序的修改升级和设备版本等信息的调查等现场技术服务工作和制定故障恢复应急方案、进行应急方案演练等服务，并按照甲方规定的时限完成。</w:t>
      </w:r>
    </w:p>
    <w:p w14:paraId="4E6D7552">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5.5 设备巡检要求</w:t>
      </w:r>
    </w:p>
    <w:p w14:paraId="7AE478B1">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服务商需全年提供两次设备巡检；（包括设备外部运行环境如外接电源、防尘、防水、防鼠等措施的合理性，及内部运行环境如损坏、磨损、污垢等），并向甲方提供服务报告。</w:t>
      </w:r>
    </w:p>
    <w:p w14:paraId="005771E6">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5.6 技术培训要求</w:t>
      </w:r>
    </w:p>
    <w:p w14:paraId="0BE51664">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服务商需按照甲方需求提供专业技术培训，并免费提供相关的培训教材。</w:t>
      </w:r>
    </w:p>
    <w:p w14:paraId="32B2F24C">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5.7 其他增值服务要求</w:t>
      </w:r>
    </w:p>
    <w:p w14:paraId="33D46594">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1.非正常损坏的维护：如设备因第三方原因使设备破坏，服务商需提供专业的鉴定服务，并提供有偿的修复服务，费用由双方另行协商确定。</w:t>
      </w:r>
    </w:p>
    <w:p w14:paraId="62912103">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2.耗材故障：纸张、碳粉、签注模块热敏打印头、硒鼓等耗材不包含在售后服务中，服务商需提供相应的故障排除咨询服务。</w:t>
      </w:r>
    </w:p>
    <w:p w14:paraId="580A60BF">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3.协助换锁服务：如因甲方丢失钥匙，服务商需提供有偿的换锁开锁等服务，费用由双方另行协商确定。</w:t>
      </w:r>
    </w:p>
    <w:p w14:paraId="169E461A">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5.8 售后服务响应时间要求</w:t>
      </w:r>
    </w:p>
    <w:p w14:paraId="37B5C97C">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服务商需安排运维工程师提供 7*24 小时远程热线技术支持服务和咨询服务。</w:t>
      </w:r>
    </w:p>
    <w:p w14:paraId="1E6E977E">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服务商在接到甲方报修通知后，电话沟通能解决的故障，在沟通过程中给予解决；网络远程能解决的故障，2 小时内给予解决。对于影响系统正常运行的严重故障，服务商工程师及相关技术人员须在 12 小时内赶到现场，查找原因，提出解决方案，直至故障排除完全恢复正常服务为止。当其他非紧急情况发生但影响用户正常使用时，技术支持工程师应在 24 小时内到现场，正常情况下现场解决问题的时间不应超过 1 天，并向甲方提供服务报告。</w:t>
      </w:r>
    </w:p>
    <w:p w14:paraId="4EB0B2FA">
      <w:pPr>
        <w:tabs>
          <w:tab w:val="left" w:pos="0"/>
          <w:tab w:val="left" w:pos="210"/>
          <w:tab w:val="left" w:pos="567"/>
        </w:tabs>
        <w:spacing w:line="360" w:lineRule="auto"/>
        <w:ind w:left="420"/>
        <w:rPr>
          <w:rFonts w:hint="eastAsia" w:ascii="宋体" w:hAnsi="宋体"/>
          <w:color w:val="000000"/>
          <w:szCs w:val="21"/>
        </w:rPr>
      </w:pPr>
      <w:r>
        <w:rPr>
          <w:rFonts w:hint="eastAsia" w:ascii="宋体" w:hAnsi="宋体"/>
          <w:color w:val="000000"/>
          <w:szCs w:val="21"/>
        </w:rPr>
        <w:t>在硬件损坏时，服务商须在 48 小时之内完成备品、备件更换并恢复设备正常运行。服务商也可根据设备维护情况提供功能相同的整机更换。</w:t>
      </w:r>
    </w:p>
    <w:p w14:paraId="5EC39A71">
      <w:pPr>
        <w:rPr>
          <w:lang w:eastAsia="zh-CN"/>
        </w:rPr>
      </w:pPr>
    </w:p>
    <w:p w14:paraId="156A2FAB">
      <w:pPr>
        <w:tabs>
          <w:tab w:val="left" w:pos="0"/>
          <w:tab w:val="left" w:pos="210"/>
          <w:tab w:val="left" w:pos="567"/>
        </w:tabs>
        <w:spacing w:line="360" w:lineRule="auto"/>
        <w:ind w:left="420"/>
        <w:rPr>
          <w:rFonts w:ascii="宋体" w:hAnsi="宋体"/>
          <w:szCs w:val="21"/>
        </w:rPr>
      </w:pPr>
    </w:p>
    <w:p w14:paraId="73A5CA4A">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14:paraId="4936BACD">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(一)</w:t>
      </w:r>
      <w:r>
        <w:rPr>
          <w:rFonts w:hint="eastAsia" w:ascii="宋体" w:hAnsi="宋体" w:cs="宋体"/>
          <w:szCs w:val="21"/>
        </w:rPr>
        <w:tab/>
      </w:r>
      <w:r>
        <w:rPr>
          <w:rFonts w:hint="eastAsia" w:ascii="宋体" w:hAnsi="宋体" w:cs="宋体"/>
          <w:szCs w:val="21"/>
        </w:rPr>
        <w:t>服务期开始后，在收到开具相应金额正式发票后，一次性支付合同总金额5</w:t>
      </w:r>
      <w:r>
        <w:rPr>
          <w:rFonts w:ascii="宋体" w:hAnsi="宋体" w:cs="宋体"/>
          <w:szCs w:val="21"/>
        </w:rPr>
        <w:t>0%</w:t>
      </w:r>
      <w:r>
        <w:rPr>
          <w:rFonts w:hint="eastAsia" w:ascii="宋体" w:hAnsi="宋体" w:cs="宋体"/>
          <w:szCs w:val="21"/>
        </w:rPr>
        <w:t>。</w:t>
      </w:r>
    </w:p>
    <w:p w14:paraId="6E54320C">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(二)</w:t>
      </w:r>
      <w:r>
        <w:rPr>
          <w:rFonts w:hint="eastAsia" w:ascii="宋体" w:hAnsi="宋体" w:cs="宋体"/>
          <w:szCs w:val="21"/>
        </w:rPr>
        <w:tab/>
      </w:r>
      <w:r>
        <w:rPr>
          <w:rFonts w:hint="eastAsia" w:ascii="宋体" w:hAnsi="宋体" w:cs="宋体"/>
          <w:szCs w:val="21"/>
        </w:rPr>
        <w:t>合同期满（服务时间达到100%），服务商提供完整维护服务记录及开具相应金额正式发票后，支付合同总金额剩下的5</w:t>
      </w:r>
      <w:r>
        <w:rPr>
          <w:rFonts w:ascii="宋体" w:hAnsi="宋体" w:cs="宋体"/>
          <w:szCs w:val="21"/>
        </w:rPr>
        <w:t>0</w:t>
      </w:r>
      <w:r>
        <w:rPr>
          <w:rFonts w:hint="eastAsia" w:ascii="宋体" w:hAnsi="宋体" w:cs="宋体"/>
          <w:szCs w:val="21"/>
        </w:rPr>
        <w:t>%。</w:t>
      </w:r>
    </w:p>
    <w:p w14:paraId="41CC34B9">
      <w:pPr>
        <w:tabs>
          <w:tab w:val="left" w:pos="780"/>
        </w:tabs>
        <w:spacing w:before="156" w:beforeLines="50" w:line="360" w:lineRule="auto"/>
        <w:ind w:firstLine="904" w:firstLineChars="300"/>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56B6">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3</w:t>
    </w:r>
    <w:r>
      <w:rPr>
        <w:caps/>
        <w:color w:val="5B9BD5"/>
      </w:rPr>
      <w:fldChar w:fldCharType="end"/>
    </w:r>
  </w:p>
  <w:p w14:paraId="171F28F8">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32FD"/>
    <w:rsid w:val="00016B63"/>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94BFE"/>
    <w:rsid w:val="001A22A1"/>
    <w:rsid w:val="001B4850"/>
    <w:rsid w:val="001B7966"/>
    <w:rsid w:val="001B7D79"/>
    <w:rsid w:val="001C23B3"/>
    <w:rsid w:val="001C2C1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802E2"/>
    <w:rsid w:val="00385E95"/>
    <w:rsid w:val="00385FED"/>
    <w:rsid w:val="00397B7E"/>
    <w:rsid w:val="003A7269"/>
    <w:rsid w:val="003C0FB7"/>
    <w:rsid w:val="003C6D81"/>
    <w:rsid w:val="003D0F80"/>
    <w:rsid w:val="003D2595"/>
    <w:rsid w:val="003E7083"/>
    <w:rsid w:val="003F100F"/>
    <w:rsid w:val="003F629F"/>
    <w:rsid w:val="00403938"/>
    <w:rsid w:val="00411C06"/>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3BD4"/>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5640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2C29"/>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49B5"/>
    <w:rsid w:val="00995DD9"/>
    <w:rsid w:val="009B2BE7"/>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AE4A39"/>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05CD"/>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4E"/>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84738"/>
    <w:rsid w:val="00D902CC"/>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0FF3F31"/>
    <w:rsid w:val="1E17496A"/>
    <w:rsid w:val="42200080"/>
    <w:rsid w:val="488C513A"/>
    <w:rsid w:val="7255036B"/>
    <w:rsid w:val="75EC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qFormat/>
    <w:uiPriority w:val="0"/>
    <w:rPr>
      <w:b/>
      <w:bCs/>
      <w:kern w:val="44"/>
      <w:sz w:val="44"/>
      <w:szCs w:val="44"/>
      <w:lang w:val="zh-CN" w:eastAsia="zh-CN"/>
    </w:rPr>
  </w:style>
  <w:style w:type="character" w:customStyle="1" w:styleId="25">
    <w:name w:val="标题 2 字符"/>
    <w:link w:val="3"/>
    <w:qFormat/>
    <w:uiPriority w:val="0"/>
    <w:rPr>
      <w:rFonts w:ascii="等线 Light" w:hAnsi="等线 Light" w:eastAsia="等线 Light" w:cs="Times New Roman"/>
      <w:b/>
      <w:bCs/>
      <w:kern w:val="2"/>
      <w:sz w:val="32"/>
      <w:szCs w:val="32"/>
    </w:rPr>
  </w:style>
  <w:style w:type="character" w:customStyle="1" w:styleId="26">
    <w:name w:val="标题 3 字符"/>
    <w:link w:val="4"/>
    <w:qFormat/>
    <w:uiPriority w:val="0"/>
    <w:rPr>
      <w:b/>
      <w:bCs/>
      <w:kern w:val="2"/>
      <w:sz w:val="30"/>
      <w:szCs w:val="30"/>
    </w:rPr>
  </w:style>
  <w:style w:type="character" w:customStyle="1" w:styleId="27">
    <w:name w:val="标题 4 字符"/>
    <w:link w:val="5"/>
    <w:qFormat/>
    <w:uiPriority w:val="0"/>
    <w:rPr>
      <w:rFonts w:ascii="宋体" w:hAnsi="宋体"/>
      <w:b/>
      <w:bCs/>
      <w:kern w:val="2"/>
      <w:sz w:val="28"/>
      <w:szCs w:val="28"/>
    </w:rPr>
  </w:style>
  <w:style w:type="character" w:customStyle="1" w:styleId="28">
    <w:name w:val="标题 5 字符"/>
    <w:link w:val="6"/>
    <w:qFormat/>
    <w:uiPriority w:val="0"/>
    <w:rPr>
      <w:b/>
      <w:bCs/>
      <w:kern w:val="2"/>
      <w:sz w:val="28"/>
      <w:szCs w:val="28"/>
    </w:rPr>
  </w:style>
  <w:style w:type="character" w:customStyle="1" w:styleId="29">
    <w:name w:val="标题 6 字符"/>
    <w:link w:val="7"/>
    <w:semiHidden/>
    <w:qFormat/>
    <w:uiPriority w:val="0"/>
    <w:rPr>
      <w:rFonts w:ascii="等线 Light" w:hAnsi="等线 Light" w:eastAsia="等线 Light"/>
      <w:b/>
      <w:bCs/>
      <w:kern w:val="2"/>
      <w:sz w:val="24"/>
      <w:szCs w:val="24"/>
    </w:rPr>
  </w:style>
  <w:style w:type="character" w:customStyle="1" w:styleId="30">
    <w:name w:val="标题 7 字符"/>
    <w:link w:val="8"/>
    <w:semiHidden/>
    <w:qFormat/>
    <w:uiPriority w:val="0"/>
    <w:rPr>
      <w:b/>
      <w:bCs/>
      <w:kern w:val="2"/>
      <w:sz w:val="24"/>
      <w:szCs w:val="24"/>
    </w:rPr>
  </w:style>
  <w:style w:type="character" w:customStyle="1" w:styleId="31">
    <w:name w:val="标题 8 字符"/>
    <w:link w:val="9"/>
    <w:semiHidden/>
    <w:qFormat/>
    <w:uiPriority w:val="0"/>
    <w:rPr>
      <w:rFonts w:ascii="等线 Light" w:hAnsi="等线 Light" w:eastAsia="等线 Light"/>
      <w:kern w:val="2"/>
      <w:sz w:val="24"/>
      <w:szCs w:val="24"/>
    </w:rPr>
  </w:style>
  <w:style w:type="character" w:customStyle="1" w:styleId="32">
    <w:name w:val="标题 9 字符"/>
    <w:link w:val="10"/>
    <w:semiHidden/>
    <w:qFormat/>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qFormat/>
    <w:uiPriority w:val="0"/>
    <w:rPr>
      <w:szCs w:val="24"/>
    </w:rPr>
  </w:style>
  <w:style w:type="character" w:customStyle="1" w:styleId="35">
    <w:name w:val="纯文本 字符"/>
    <w:link w:val="13"/>
    <w:qFormat/>
    <w:uiPriority w:val="0"/>
    <w:rPr>
      <w:rFonts w:ascii="Calibri" w:hAnsi="Courier New"/>
      <w:kern w:val="2"/>
      <w:sz w:val="21"/>
    </w:rPr>
  </w:style>
  <w:style w:type="character" w:customStyle="1" w:styleId="36">
    <w:name w:val="批注框文本 字符"/>
    <w:link w:val="14"/>
    <w:qFormat/>
    <w:uiPriority w:val="0"/>
    <w:rPr>
      <w:kern w:val="2"/>
      <w:sz w:val="18"/>
      <w:szCs w:val="18"/>
    </w:rPr>
  </w:style>
  <w:style w:type="character" w:customStyle="1" w:styleId="37">
    <w:name w:val="页脚 字符1"/>
    <w:link w:val="15"/>
    <w:qFormat/>
    <w:uiPriority w:val="0"/>
    <w:rPr>
      <w:kern w:val="2"/>
      <w:sz w:val="18"/>
      <w:szCs w:val="18"/>
    </w:rPr>
  </w:style>
  <w:style w:type="character" w:customStyle="1" w:styleId="38">
    <w:name w:val="页眉 字符"/>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字符"/>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1181</Words>
  <Characters>1222</Characters>
  <Lines>9</Lines>
  <Paragraphs>2</Paragraphs>
  <TotalTime>6</TotalTime>
  <ScaleCrop>false</ScaleCrop>
  <LinksUpToDate>false</LinksUpToDate>
  <CharactersWithSpaces>1253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2025-11-24T02:08:00Z</dcterms:created>
  <dc:creator>陈永辉</dc:creator>
  <cp:lastModifiedBy>刘亮</cp:lastModifiedBy>
  <dcterms:modified xsi:type="dcterms:W3CDTF">2025-11-24T02:54:06Z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1FA8638774EB499F99AB0545B5761D4A_13</vt:lpwstr>
  </property>
  <property fmtid="{D5CDD505-2E9C-101B-9397-08002B2CF9AE}" pid="4" name="KSOTemplateDocerSaveRecord">
    <vt:lpwstr>eyJoZGlkIjoiN2QyMWRkYjJiOWE2ZjEwYTBjM2IzY2M0MmUzMDY1YjUiLCJ1c2VySWQiOiIzNDM3MTE1NjEifQ==</vt:lpwstr>
  </property>
</Properties>
</file>