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A538B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耳鼻喉头颈外科采购2套内镜图文工作站项目需求</w:t>
      </w:r>
    </w:p>
    <w:p w14:paraId="667AC11F">
      <w:pPr>
        <w:pStyle w:val="2"/>
        <w:numPr>
          <w:ilvl w:val="0"/>
          <w:numId w:val="2"/>
        </w:numPr>
      </w:pPr>
      <w:r>
        <w:rPr>
          <w:rFonts w:hint="eastAsia"/>
        </w:rPr>
        <w:t>项目名称</w:t>
      </w:r>
    </w:p>
    <w:p w14:paraId="5463CCFB">
      <w:pPr>
        <w:spacing w:line="360" w:lineRule="auto"/>
        <w:ind w:left="181" w:leftChars="86"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耳鼻喉头颈外科采购2套内镜图文工作站</w:t>
      </w:r>
      <w:bookmarkStart w:id="1" w:name="_GoBack"/>
      <w:bookmarkEnd w:id="1"/>
    </w:p>
    <w:p w14:paraId="00248A0E">
      <w:pPr>
        <w:pStyle w:val="2"/>
        <w:numPr>
          <w:ilvl w:val="0"/>
          <w:numId w:val="2"/>
        </w:numPr>
      </w:pPr>
      <w:r>
        <w:rPr>
          <w:rFonts w:hint="eastAsia"/>
        </w:rPr>
        <w:t>采购清单</w:t>
      </w:r>
    </w:p>
    <w:tbl>
      <w:tblPr>
        <w:tblStyle w:val="24"/>
        <w:tblW w:w="8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71"/>
        <w:gridCol w:w="2724"/>
        <w:gridCol w:w="676"/>
        <w:gridCol w:w="1204"/>
        <w:gridCol w:w="2864"/>
      </w:tblGrid>
      <w:tr w14:paraId="7B3F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9" w:hRule="atLeast"/>
          <w:jc w:val="center"/>
        </w:trPr>
        <w:tc>
          <w:tcPr>
            <w:tcW w:w="871" w:type="dxa"/>
            <w:vAlign w:val="center"/>
          </w:tcPr>
          <w:p w14:paraId="7A582F1E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724" w:type="dxa"/>
            <w:vAlign w:val="center"/>
          </w:tcPr>
          <w:p w14:paraId="53AFC03E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设备名称</w:t>
            </w:r>
          </w:p>
        </w:tc>
        <w:tc>
          <w:tcPr>
            <w:tcW w:w="676" w:type="dxa"/>
            <w:vAlign w:val="center"/>
          </w:tcPr>
          <w:p w14:paraId="3D9C4294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1204" w:type="dxa"/>
            <w:vAlign w:val="center"/>
          </w:tcPr>
          <w:p w14:paraId="4502C339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2864" w:type="dxa"/>
            <w:vAlign w:val="center"/>
          </w:tcPr>
          <w:p w14:paraId="4EB0EB56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备注</w:t>
            </w:r>
          </w:p>
        </w:tc>
      </w:tr>
      <w:tr w14:paraId="7895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7" w:hRule="atLeast"/>
          <w:jc w:val="center"/>
        </w:trPr>
        <w:tc>
          <w:tcPr>
            <w:tcW w:w="871" w:type="dxa"/>
            <w:shd w:val="clear" w:color="auto" w:fill="DEEBF6" w:themeFill="accent1" w:themeFillTint="32"/>
            <w:vAlign w:val="center"/>
          </w:tcPr>
          <w:p w14:paraId="6B776424">
            <w:pPr>
              <w:pStyle w:val="34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一</w:t>
            </w:r>
          </w:p>
        </w:tc>
        <w:tc>
          <w:tcPr>
            <w:tcW w:w="2724" w:type="dxa"/>
            <w:shd w:val="clear" w:color="auto" w:fill="DEEBF6" w:themeFill="accent1" w:themeFillTint="32"/>
            <w:vAlign w:val="center"/>
          </w:tcPr>
          <w:p w14:paraId="220C9582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系统硬件</w:t>
            </w:r>
          </w:p>
        </w:tc>
        <w:tc>
          <w:tcPr>
            <w:tcW w:w="676" w:type="dxa"/>
            <w:shd w:val="clear" w:color="auto" w:fill="DEEBF6" w:themeFill="accent1" w:themeFillTint="32"/>
            <w:vAlign w:val="center"/>
          </w:tcPr>
          <w:p w14:paraId="4E4CE303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DEEBF6" w:themeFill="accent1" w:themeFillTint="32"/>
            <w:vAlign w:val="center"/>
          </w:tcPr>
          <w:p w14:paraId="2E5F469B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DEEBF6" w:themeFill="accent1" w:themeFillTint="32"/>
            <w:vAlign w:val="center"/>
          </w:tcPr>
          <w:p w14:paraId="6016A642">
            <w:pPr>
              <w:pStyle w:val="34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0E9F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7" w:hRule="atLeast"/>
          <w:jc w:val="center"/>
        </w:trPr>
        <w:tc>
          <w:tcPr>
            <w:tcW w:w="871" w:type="dxa"/>
            <w:vAlign w:val="center"/>
          </w:tcPr>
          <w:p w14:paraId="6F813A1A">
            <w:pPr>
              <w:pStyle w:val="34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724" w:type="dxa"/>
            <w:vAlign w:val="center"/>
          </w:tcPr>
          <w:p w14:paraId="524870F4">
            <w:pPr>
              <w:pStyle w:val="34"/>
              <w:ind w:firstLine="0" w:firstLineChars="0"/>
              <w:jc w:val="center"/>
              <w:rPr>
                <w:rFonts w:hint="default" w:ascii="宋体" w:hAnsi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医用图形工作站</w:t>
            </w:r>
          </w:p>
        </w:tc>
        <w:tc>
          <w:tcPr>
            <w:tcW w:w="676" w:type="dxa"/>
            <w:vAlign w:val="center"/>
          </w:tcPr>
          <w:p w14:paraId="171CEF54">
            <w:pPr>
              <w:pStyle w:val="34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04" w:type="dxa"/>
            <w:vAlign w:val="center"/>
          </w:tcPr>
          <w:p w14:paraId="35C30138">
            <w:pPr>
              <w:pStyle w:val="34"/>
              <w:ind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2864" w:type="dxa"/>
            <w:vAlign w:val="center"/>
          </w:tcPr>
          <w:p w14:paraId="78E46054">
            <w:pPr>
              <w:pStyle w:val="34"/>
              <w:ind w:firstLine="0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详见三、硬件参数1医用图形工作站</w:t>
            </w:r>
          </w:p>
        </w:tc>
      </w:tr>
    </w:tbl>
    <w:p w14:paraId="7A604EA7">
      <w:pPr>
        <w:rPr>
          <w:szCs w:val="21"/>
        </w:rPr>
      </w:pPr>
    </w:p>
    <w:p w14:paraId="3D4D05DE">
      <w:pPr>
        <w:pStyle w:val="2"/>
        <w:numPr>
          <w:ilvl w:val="0"/>
          <w:numId w:val="2"/>
        </w:numPr>
      </w:pPr>
      <w:r>
        <w:rPr>
          <w:rFonts w:hint="eastAsia"/>
          <w:lang w:val="en-US" w:eastAsia="zh-CN"/>
        </w:rPr>
        <w:t>硬件</w:t>
      </w:r>
      <w:r>
        <w:rPr>
          <w:rFonts w:hint="eastAsia"/>
        </w:rPr>
        <w:t>参数</w:t>
      </w:r>
    </w:p>
    <w:p w14:paraId="6855D017">
      <w:pPr>
        <w:jc w:val="center"/>
        <w:rPr>
          <w:rFonts w:ascii="宋体" w:hAnsi="宋体"/>
          <w:b/>
          <w:szCs w:val="21"/>
        </w:rPr>
      </w:pPr>
    </w:p>
    <w:tbl>
      <w:tblPr>
        <w:tblStyle w:val="24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637"/>
        <w:gridCol w:w="6193"/>
      </w:tblGrid>
      <w:tr w14:paraId="1007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6" w:type="dxa"/>
            <w:vAlign w:val="center"/>
          </w:tcPr>
          <w:p w14:paraId="4396CFDA"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bookmarkStart w:id="0" w:name="_Hlk42872391"/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637" w:type="dxa"/>
            <w:vAlign w:val="center"/>
          </w:tcPr>
          <w:p w14:paraId="31006452"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名称</w:t>
            </w:r>
          </w:p>
        </w:tc>
        <w:tc>
          <w:tcPr>
            <w:tcW w:w="6193" w:type="dxa"/>
            <w:vAlign w:val="center"/>
          </w:tcPr>
          <w:p w14:paraId="1969B3B9"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硬件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配置说明</w:t>
            </w:r>
          </w:p>
        </w:tc>
      </w:tr>
      <w:tr w14:paraId="44FD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66" w:type="dxa"/>
            <w:vAlign w:val="center"/>
          </w:tcPr>
          <w:p w14:paraId="3B05F0DC">
            <w:pPr>
              <w:numPr>
                <w:ilvl w:val="0"/>
                <w:numId w:val="3"/>
              </w:num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615E4EB3"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医用图形工作站</w:t>
            </w:r>
          </w:p>
        </w:tc>
        <w:tc>
          <w:tcPr>
            <w:tcW w:w="6193" w:type="dxa"/>
            <w:vAlign w:val="center"/>
          </w:tcPr>
          <w:p w14:paraId="45764742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一、设备兼容性要求</w:t>
            </w:r>
          </w:p>
          <w:p w14:paraId="3B7355C8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1. 可无缝对接耳鼻喉科现有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耳鼻喉镜</w:t>
            </w: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设备主机。</w:t>
            </w:r>
          </w:p>
          <w:p w14:paraId="5156943F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2. 兼容进口及国产各类型品牌设备接入，包含但不限于XION、康基、台江、东舟、恒波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、STORZ</w:t>
            </w: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等主流品牌。</w:t>
            </w:r>
          </w:p>
          <w:p w14:paraId="695450E9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二、信号接入与处理</w:t>
            </w:r>
          </w:p>
          <w:p w14:paraId="6441F061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1. 支持各种高清信号接入，包含SDI、DVI等。</w:t>
            </w:r>
          </w:p>
          <w:p w14:paraId="621E493D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2.  视频预览与控制：提供预览视频的任意缩放和全屏方式，允许用户自定义视频输出尺寸；支持亮度、对比度、饱和度、色度参数调节；图像存为JPEG/BMP文件。</w:t>
            </w:r>
          </w:p>
          <w:p w14:paraId="4DBECE5A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4. 高级采集功能：实现自定义区域抓拍；支持单场、单帧、连续帧、间隔帧采集，精确到帧级；完全兼容DirectX和VFW标准视频开发工具。</w:t>
            </w:r>
          </w:p>
          <w:p w14:paraId="00F6A42F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三、采集卡配置</w:t>
            </w:r>
          </w:p>
          <w:p w14:paraId="04FCA0F5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每台工作站配备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块高性能内置采集卡，单卡参数如下：</w:t>
            </w:r>
          </w:p>
          <w:p w14:paraId="64BD96FC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•信号兼容性：支持DVI、SDI接口，具备AUT适应视频通道。</w:t>
            </w:r>
          </w:p>
          <w:p w14:paraId="3A5F4E30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•色彩格式：支持YUY2、UYVY、RGB24、RGB32图像格式，保证影像色彩还原度。</w:t>
            </w:r>
          </w:p>
          <w:p w14:paraId="0F5C782B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四、专用配件要求</w:t>
            </w:r>
          </w:p>
          <w:p w14:paraId="091E326E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1. 脚踏开关</w:t>
            </w:r>
          </w:p>
          <w:p w14:paraId="53DDA9B7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随机配备原装脚踏开关，符合以下标准：</w:t>
            </w:r>
          </w:p>
          <w:p w14:paraId="1C853492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•电气负载类型：AC-15</w:t>
            </w:r>
          </w:p>
          <w:p w14:paraId="2C892BBE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•防护等级：IP40外壳防护，具备防护罩设计可藏入床身凹入部分。</w:t>
            </w:r>
          </w:p>
          <w:p w14:paraId="097264C9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•连接线：COM插头5米以上2芯屏蔽线，符合GB/T14048.5国标要求。</w:t>
            </w:r>
          </w:p>
          <w:p w14:paraId="68AB34A5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五、主机核心配置</w:t>
            </w:r>
          </w:p>
          <w:p w14:paraId="634ABC9F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•处理器：12代Intel Core i7及以上，支持多线程影像处理。</w:t>
            </w:r>
          </w:p>
          <w:p w14:paraId="438B89F1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•内存：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16</w:t>
            </w: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GB及以上DDR4内存，频率3200MHz及以上，支持双通道扩展。</w:t>
            </w:r>
          </w:p>
          <w:p w14:paraId="1766A71E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•系统硬盘：256GB及以上固态硬盘（SSD），保证系统启动与软件运行速度。</w:t>
            </w:r>
          </w:p>
          <w:p w14:paraId="4995B391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•数据硬盘：2TB及以上机械硬盘（HDD），转速7200转/分。</w:t>
            </w:r>
          </w:p>
          <w:p w14:paraId="6674FCC4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六、显示设备</w:t>
            </w:r>
          </w:p>
          <w:p w14:paraId="24841302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配置23寸及以上高清显示器，满足以下要求：</w:t>
            </w:r>
          </w:p>
          <w:p w14:paraId="1EE69327">
            <w:pPr>
              <w:numPr>
                <w:ilvl w:val="0"/>
                <w:numId w:val="0"/>
              </w:numPr>
              <w:spacing w:line="460" w:lineRule="exact"/>
              <w:ind w:leftChars="0"/>
              <w:jc w:val="lef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•分辨率：最高支持1920×1080。</w:t>
            </w:r>
          </w:p>
        </w:tc>
      </w:tr>
      <w:bookmarkEnd w:id="0"/>
    </w:tbl>
    <w:p w14:paraId="4860A302">
      <w:pPr>
        <w:pStyle w:val="17"/>
        <w:spacing w:after="0" w:line="240" w:lineRule="auto"/>
        <w:ind w:left="0" w:leftChars="0"/>
        <w:rPr>
          <w:rFonts w:ascii="宋体" w:hAnsi="宋体"/>
          <w:szCs w:val="21"/>
        </w:rPr>
      </w:pPr>
    </w:p>
    <w:p w14:paraId="1E0BBC2E">
      <w:pPr>
        <w:pStyle w:val="2"/>
        <w:numPr>
          <w:ilvl w:val="0"/>
          <w:numId w:val="2"/>
        </w:numPr>
      </w:pPr>
      <w:r>
        <w:rPr>
          <w:rFonts w:hint="eastAsia"/>
        </w:rPr>
        <w:t>项目工期及实施要求</w:t>
      </w:r>
    </w:p>
    <w:p w14:paraId="07CE4D6D">
      <w:pPr>
        <w:spacing w:line="360" w:lineRule="auto"/>
        <w:ind w:firstLine="480" w:firstLineChars="200"/>
        <w:rPr>
          <w:rFonts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承诺采购人</w:t>
      </w:r>
      <w:r>
        <w:rPr>
          <w:rFonts w:hint="eastAsia" w:ascii="宋体" w:hAnsi="宋体" w:cs="宋体"/>
          <w:sz w:val="24"/>
          <w:szCs w:val="32"/>
        </w:rPr>
        <w:t>通知乙方（中标人）供货之日起，</w:t>
      </w:r>
      <w:r>
        <w:rPr>
          <w:rFonts w:hint="eastAsia" w:ascii="宋体" w:hAnsi="宋体" w:cs="宋体"/>
          <w:sz w:val="24"/>
          <w:szCs w:val="32"/>
          <w:lang w:val="en-US" w:eastAsia="zh-CN"/>
        </w:rPr>
        <w:t>30</w:t>
      </w:r>
      <w:r>
        <w:rPr>
          <w:rFonts w:hint="eastAsia" w:ascii="宋体" w:hAnsi="宋体" w:cs="宋体"/>
          <w:sz w:val="24"/>
          <w:szCs w:val="32"/>
        </w:rPr>
        <w:t>天内完成本项目的安装、调试及交付工作。</w:t>
      </w:r>
    </w:p>
    <w:p w14:paraId="572F52BB">
      <w:pPr>
        <w:ind w:firstLine="420" w:firstLineChars="200"/>
      </w:pPr>
    </w:p>
    <w:p w14:paraId="7ED2682C">
      <w:pPr>
        <w:pStyle w:val="2"/>
        <w:numPr>
          <w:ilvl w:val="0"/>
          <w:numId w:val="2"/>
        </w:numPr>
      </w:pPr>
      <w:r>
        <w:rPr>
          <w:rFonts w:hint="eastAsia"/>
        </w:rPr>
        <w:t>商务要求</w:t>
      </w:r>
    </w:p>
    <w:p w14:paraId="55360ADC">
      <w:pPr>
        <w:numPr>
          <w:ilvl w:val="0"/>
          <w:numId w:val="4"/>
        </w:num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投标人或系统厂家具有近三年以来，不低于3家三级甲等医院的内镜信息化项目在广东省内的建设经验，提供合同（复印件加盖公章，原件备查）及验收凭证等相关照片为证；</w:t>
      </w:r>
    </w:p>
    <w:p w14:paraId="0408C921">
      <w:pPr>
        <w:numPr>
          <w:ilvl w:val="0"/>
          <w:numId w:val="4"/>
        </w:num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培训及售后服务要求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系统免费保修2年；保修期内无偿维护系统的正常运转，无偿提供软硬件的更换、修理；接到客户服务通知后，不能远程或电话解决的，4小时内到达现场，24小时内解决。</w:t>
      </w:r>
    </w:p>
    <w:p w14:paraId="588A00E7">
      <w:pPr>
        <w:numPr>
          <w:ilvl w:val="0"/>
          <w:numId w:val="4"/>
        </w:num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提供详细的培训及售后服务计划；</w:t>
      </w:r>
    </w:p>
    <w:p w14:paraId="4F1B338F">
      <w:pPr>
        <w:numPr>
          <w:ilvl w:val="0"/>
          <w:numId w:val="4"/>
        </w:num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在广东省内有常驻服务机构；</w:t>
      </w:r>
    </w:p>
    <w:p w14:paraId="4B7B3A16">
      <w:pPr>
        <w:numPr>
          <w:ilvl w:val="0"/>
          <w:numId w:val="4"/>
        </w:num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交货期：签订合同后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0天内，完成安装验收；</w:t>
      </w:r>
    </w:p>
    <w:p w14:paraId="26EB1194">
      <w:pPr>
        <w:numPr>
          <w:ilvl w:val="0"/>
          <w:numId w:val="4"/>
        </w:num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交货地点：广东省人民医院</w:t>
      </w:r>
    </w:p>
    <w:p w14:paraId="128E1AD2">
      <w:pPr>
        <w:ind w:firstLine="420" w:firstLineChars="200"/>
      </w:pPr>
    </w:p>
    <w:p w14:paraId="48AC0543">
      <w:pPr>
        <w:pStyle w:val="2"/>
        <w:numPr>
          <w:ilvl w:val="0"/>
          <w:numId w:val="2"/>
        </w:numPr>
      </w:pPr>
      <w:r>
        <w:rPr>
          <w:rFonts w:hint="eastAsia"/>
        </w:rPr>
        <w:t>保修要求</w:t>
      </w:r>
    </w:p>
    <w:p w14:paraId="3D5DBDC0">
      <w:pPr>
        <w:spacing w:line="360" w:lineRule="auto"/>
        <w:ind w:firstLine="480" w:firstLineChars="200"/>
        <w:rPr>
          <w:rFonts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软硬件免费维护期从合同标的验收合格之日算起，软件期限为24个月，硬件期限为36个月，在免费维护期内，承建商提供技术支持和指导，以及软件的局部改进完善以及故障情况下的现场问题解决。</w:t>
      </w:r>
    </w:p>
    <w:p w14:paraId="7BC2AB6C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超过免费维护期的，双方另行协商签订维护合同，硬件的维护报价不超过合同硬件部分金额的5%。软件的维护报价不超过合同软件部分金额的8%。</w:t>
      </w:r>
    </w:p>
    <w:p w14:paraId="0F759C7F">
      <w:pPr>
        <w:pStyle w:val="2"/>
        <w:numPr>
          <w:ilvl w:val="0"/>
          <w:numId w:val="0"/>
        </w:numPr>
        <w:spacing w:before="0" w:after="0"/>
        <w:ind w:leftChars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七、</w:t>
      </w:r>
      <w:r>
        <w:rPr>
          <w:rFonts w:hint="eastAsia" w:ascii="宋体" w:hAnsi="宋体"/>
          <w:sz w:val="32"/>
          <w:szCs w:val="32"/>
        </w:rPr>
        <w:t>合同款支付方式</w:t>
      </w:r>
    </w:p>
    <w:p w14:paraId="52FF2D7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甲方将按如下方式向乙方支付合同费用：</w:t>
      </w:r>
    </w:p>
    <w:p w14:paraId="4A9CB06A">
      <w:pPr>
        <w:spacing w:line="360" w:lineRule="auto"/>
        <w:ind w:firstLine="360" w:firstLineChars="1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TW"/>
        </w:rPr>
        <w:t>（1）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TW" w:eastAsia="zh-TW"/>
        </w:rPr>
        <w:t>合同签订后，在收到承建商开具相应金额正式发票后，支付合同总金额的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30%。</w:t>
      </w:r>
    </w:p>
    <w:p w14:paraId="26C0ACBB">
      <w:pPr>
        <w:spacing w:line="360" w:lineRule="auto"/>
        <w:ind w:firstLine="360" w:firstLineChars="1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验收完成后，在收到承建商开具相应金额正式发票后，支付合同总金额的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0%。</w:t>
      </w:r>
    </w:p>
    <w:p w14:paraId="19D89DC0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32"/>
        </w:rPr>
      </w:pPr>
    </w:p>
    <w:p w14:paraId="64E5E7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09A65"/>
    <w:multiLevelType w:val="multilevel"/>
    <w:tmpl w:val="DDB09A6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-403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-403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53634075"/>
    <w:multiLevelType w:val="multilevel"/>
    <w:tmpl w:val="53634075"/>
    <w:lvl w:ilvl="0" w:tentative="0">
      <w:start w:val="1"/>
      <w:numFmt w:val="chineseCounting"/>
      <w:suff w:val="nothing"/>
      <w:lvlText w:val="%1、"/>
      <w:lvlJc w:val="left"/>
      <w:pPr>
        <w:ind w:left="-40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-40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-40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-40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-40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-40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-40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-40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-400" w:firstLine="402"/>
      </w:pPr>
      <w:rPr>
        <w:rFonts w:hint="eastAsia"/>
      </w:rPr>
    </w:lvl>
  </w:abstractNum>
  <w:abstractNum w:abstractNumId="2">
    <w:nsid w:val="6EC40BF9"/>
    <w:multiLevelType w:val="singleLevel"/>
    <w:tmpl w:val="6EC40BF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D7378DD"/>
    <w:multiLevelType w:val="singleLevel"/>
    <w:tmpl w:val="7D7378DD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WQ4ZDMyMDU2MTY4ZmY4YjFhYjNkNzYxMTI0OWEifQ=="/>
    <w:docVar w:name="KSO_WPS_MARK_KEY" w:val="9f6d9ed3-c4a1-4418-a7ea-964a610d9f8b"/>
  </w:docVars>
  <w:rsids>
    <w:rsidRoot w:val="00192262"/>
    <w:rsid w:val="00192262"/>
    <w:rsid w:val="005A757C"/>
    <w:rsid w:val="008B01F3"/>
    <w:rsid w:val="00AB166A"/>
    <w:rsid w:val="00C84D94"/>
    <w:rsid w:val="01040A48"/>
    <w:rsid w:val="01687988"/>
    <w:rsid w:val="01706EDD"/>
    <w:rsid w:val="017A009C"/>
    <w:rsid w:val="01FE48CE"/>
    <w:rsid w:val="02761061"/>
    <w:rsid w:val="02AE0293"/>
    <w:rsid w:val="02C05CFA"/>
    <w:rsid w:val="03BC0971"/>
    <w:rsid w:val="04251425"/>
    <w:rsid w:val="04280C52"/>
    <w:rsid w:val="042943D1"/>
    <w:rsid w:val="042B6130"/>
    <w:rsid w:val="04826108"/>
    <w:rsid w:val="04995D3A"/>
    <w:rsid w:val="04A96579"/>
    <w:rsid w:val="0521388A"/>
    <w:rsid w:val="05B93216"/>
    <w:rsid w:val="05D62CE6"/>
    <w:rsid w:val="064A5F93"/>
    <w:rsid w:val="06532730"/>
    <w:rsid w:val="06832DBD"/>
    <w:rsid w:val="06BE345A"/>
    <w:rsid w:val="06D422E1"/>
    <w:rsid w:val="071C0E4D"/>
    <w:rsid w:val="07AD1BB5"/>
    <w:rsid w:val="07C85294"/>
    <w:rsid w:val="07CC05E5"/>
    <w:rsid w:val="07DA4A69"/>
    <w:rsid w:val="08224695"/>
    <w:rsid w:val="08341844"/>
    <w:rsid w:val="08B614C2"/>
    <w:rsid w:val="08E93E6A"/>
    <w:rsid w:val="0964077B"/>
    <w:rsid w:val="09854A56"/>
    <w:rsid w:val="09EE4B52"/>
    <w:rsid w:val="09FE3FEA"/>
    <w:rsid w:val="0A5351F1"/>
    <w:rsid w:val="0A7A79C2"/>
    <w:rsid w:val="0AA43DC8"/>
    <w:rsid w:val="0AB363EF"/>
    <w:rsid w:val="0AC41E5C"/>
    <w:rsid w:val="0AE45E28"/>
    <w:rsid w:val="0B445AA4"/>
    <w:rsid w:val="0B694DC5"/>
    <w:rsid w:val="0B7C764F"/>
    <w:rsid w:val="0B830948"/>
    <w:rsid w:val="0B9B3DDB"/>
    <w:rsid w:val="0C0105FA"/>
    <w:rsid w:val="0C08719F"/>
    <w:rsid w:val="0C516549"/>
    <w:rsid w:val="0CC5064F"/>
    <w:rsid w:val="0D33122B"/>
    <w:rsid w:val="0D532BC5"/>
    <w:rsid w:val="0DB67B8B"/>
    <w:rsid w:val="0E470192"/>
    <w:rsid w:val="0E48368B"/>
    <w:rsid w:val="0E5D3C60"/>
    <w:rsid w:val="0EA86D7E"/>
    <w:rsid w:val="0EEE6F06"/>
    <w:rsid w:val="0F08040D"/>
    <w:rsid w:val="0F3C0B84"/>
    <w:rsid w:val="104B00A3"/>
    <w:rsid w:val="104C2755"/>
    <w:rsid w:val="10851C37"/>
    <w:rsid w:val="109D7E62"/>
    <w:rsid w:val="10AC6DD7"/>
    <w:rsid w:val="11152206"/>
    <w:rsid w:val="11342D82"/>
    <w:rsid w:val="113B4D78"/>
    <w:rsid w:val="116C272D"/>
    <w:rsid w:val="11F43821"/>
    <w:rsid w:val="122F7D32"/>
    <w:rsid w:val="1307472E"/>
    <w:rsid w:val="135B5D51"/>
    <w:rsid w:val="13762F5A"/>
    <w:rsid w:val="13804DA1"/>
    <w:rsid w:val="13980163"/>
    <w:rsid w:val="14793141"/>
    <w:rsid w:val="1488431B"/>
    <w:rsid w:val="14A260CC"/>
    <w:rsid w:val="14C0221F"/>
    <w:rsid w:val="14E10BAB"/>
    <w:rsid w:val="14E476FA"/>
    <w:rsid w:val="15291F53"/>
    <w:rsid w:val="15CA0271"/>
    <w:rsid w:val="15F63169"/>
    <w:rsid w:val="15FE0A42"/>
    <w:rsid w:val="16613AE2"/>
    <w:rsid w:val="167A76DC"/>
    <w:rsid w:val="16AE40F4"/>
    <w:rsid w:val="16DA3BCA"/>
    <w:rsid w:val="17095353"/>
    <w:rsid w:val="172A75E5"/>
    <w:rsid w:val="17495DA4"/>
    <w:rsid w:val="17497ED9"/>
    <w:rsid w:val="1798507A"/>
    <w:rsid w:val="17B63A65"/>
    <w:rsid w:val="181B5F1D"/>
    <w:rsid w:val="18214779"/>
    <w:rsid w:val="18254508"/>
    <w:rsid w:val="18390976"/>
    <w:rsid w:val="18A8737C"/>
    <w:rsid w:val="18E71174"/>
    <w:rsid w:val="190D3735"/>
    <w:rsid w:val="19237672"/>
    <w:rsid w:val="194E461B"/>
    <w:rsid w:val="198742F4"/>
    <w:rsid w:val="19AA4539"/>
    <w:rsid w:val="1A1F41D0"/>
    <w:rsid w:val="1A211221"/>
    <w:rsid w:val="1A23432E"/>
    <w:rsid w:val="1B3E70B3"/>
    <w:rsid w:val="1BD7264A"/>
    <w:rsid w:val="1C1B332C"/>
    <w:rsid w:val="1C5C3C4D"/>
    <w:rsid w:val="1C887EF3"/>
    <w:rsid w:val="1C8D6CAF"/>
    <w:rsid w:val="1CF64331"/>
    <w:rsid w:val="1D6A0129"/>
    <w:rsid w:val="1E2F236C"/>
    <w:rsid w:val="1E325A3F"/>
    <w:rsid w:val="1E5B643D"/>
    <w:rsid w:val="1E892405"/>
    <w:rsid w:val="1EA26A2B"/>
    <w:rsid w:val="1EFE282B"/>
    <w:rsid w:val="1F63358C"/>
    <w:rsid w:val="1F89131B"/>
    <w:rsid w:val="1FBF1135"/>
    <w:rsid w:val="1FCD1C24"/>
    <w:rsid w:val="1FF46288"/>
    <w:rsid w:val="1FFF6CC7"/>
    <w:rsid w:val="202506FF"/>
    <w:rsid w:val="203C7008"/>
    <w:rsid w:val="20610934"/>
    <w:rsid w:val="206548B6"/>
    <w:rsid w:val="2083271B"/>
    <w:rsid w:val="20834701"/>
    <w:rsid w:val="210C6B03"/>
    <w:rsid w:val="213A14A9"/>
    <w:rsid w:val="214345AD"/>
    <w:rsid w:val="21A6088D"/>
    <w:rsid w:val="21CA0CDE"/>
    <w:rsid w:val="21F86A48"/>
    <w:rsid w:val="231D6DE8"/>
    <w:rsid w:val="23875648"/>
    <w:rsid w:val="23974F38"/>
    <w:rsid w:val="23B3628C"/>
    <w:rsid w:val="23F646D5"/>
    <w:rsid w:val="241F4F4D"/>
    <w:rsid w:val="244E7E9C"/>
    <w:rsid w:val="24572415"/>
    <w:rsid w:val="247D5070"/>
    <w:rsid w:val="252C22C2"/>
    <w:rsid w:val="252D39FD"/>
    <w:rsid w:val="255E64C4"/>
    <w:rsid w:val="25C92E7A"/>
    <w:rsid w:val="25C97109"/>
    <w:rsid w:val="25D67634"/>
    <w:rsid w:val="26022290"/>
    <w:rsid w:val="26241155"/>
    <w:rsid w:val="26467763"/>
    <w:rsid w:val="273B01E1"/>
    <w:rsid w:val="27A636B6"/>
    <w:rsid w:val="27AC1B9F"/>
    <w:rsid w:val="27E44D05"/>
    <w:rsid w:val="28017E11"/>
    <w:rsid w:val="283B1738"/>
    <w:rsid w:val="287508E6"/>
    <w:rsid w:val="288A7DDB"/>
    <w:rsid w:val="29254783"/>
    <w:rsid w:val="29850EA8"/>
    <w:rsid w:val="299D2414"/>
    <w:rsid w:val="29C94301"/>
    <w:rsid w:val="2A11675D"/>
    <w:rsid w:val="2A2B40D9"/>
    <w:rsid w:val="2A4866A5"/>
    <w:rsid w:val="2A6967A9"/>
    <w:rsid w:val="2AAE38EC"/>
    <w:rsid w:val="2AB47391"/>
    <w:rsid w:val="2ACC6194"/>
    <w:rsid w:val="2AE8774B"/>
    <w:rsid w:val="2AF75E88"/>
    <w:rsid w:val="2AFE7555"/>
    <w:rsid w:val="2AFF1C79"/>
    <w:rsid w:val="2B14257A"/>
    <w:rsid w:val="2B183CD9"/>
    <w:rsid w:val="2B282726"/>
    <w:rsid w:val="2BC05622"/>
    <w:rsid w:val="2BC149CB"/>
    <w:rsid w:val="2BC3635D"/>
    <w:rsid w:val="2BDD3F77"/>
    <w:rsid w:val="2BE30088"/>
    <w:rsid w:val="2C081777"/>
    <w:rsid w:val="2C0D21B1"/>
    <w:rsid w:val="2C264CCC"/>
    <w:rsid w:val="2C295DFB"/>
    <w:rsid w:val="2C462F77"/>
    <w:rsid w:val="2C6C0949"/>
    <w:rsid w:val="2C9A56A1"/>
    <w:rsid w:val="2CDE3681"/>
    <w:rsid w:val="2CF720A5"/>
    <w:rsid w:val="2CF73A3E"/>
    <w:rsid w:val="2DF91785"/>
    <w:rsid w:val="2DFD0834"/>
    <w:rsid w:val="2E6F78C1"/>
    <w:rsid w:val="2ECA56B7"/>
    <w:rsid w:val="2EEA0593"/>
    <w:rsid w:val="2F3963ED"/>
    <w:rsid w:val="2F4D68C5"/>
    <w:rsid w:val="2FD55D84"/>
    <w:rsid w:val="306D22D8"/>
    <w:rsid w:val="307A488D"/>
    <w:rsid w:val="30A0011C"/>
    <w:rsid w:val="30CF72DD"/>
    <w:rsid w:val="30FD3D3F"/>
    <w:rsid w:val="313F7D86"/>
    <w:rsid w:val="314947DA"/>
    <w:rsid w:val="314957DA"/>
    <w:rsid w:val="315B5794"/>
    <w:rsid w:val="31800DCC"/>
    <w:rsid w:val="320C748C"/>
    <w:rsid w:val="322433B9"/>
    <w:rsid w:val="33447797"/>
    <w:rsid w:val="33F01F77"/>
    <w:rsid w:val="341D33E7"/>
    <w:rsid w:val="34455D06"/>
    <w:rsid w:val="344E739B"/>
    <w:rsid w:val="344F1735"/>
    <w:rsid w:val="346C3C91"/>
    <w:rsid w:val="34C922FE"/>
    <w:rsid w:val="36332B96"/>
    <w:rsid w:val="36703F22"/>
    <w:rsid w:val="36827619"/>
    <w:rsid w:val="3691392B"/>
    <w:rsid w:val="3742495D"/>
    <w:rsid w:val="382F0FB3"/>
    <w:rsid w:val="386E4942"/>
    <w:rsid w:val="3881077D"/>
    <w:rsid w:val="38840085"/>
    <w:rsid w:val="38A91583"/>
    <w:rsid w:val="38D451FC"/>
    <w:rsid w:val="38F042D3"/>
    <w:rsid w:val="39A576BA"/>
    <w:rsid w:val="39C91A85"/>
    <w:rsid w:val="39EE5F38"/>
    <w:rsid w:val="3A2B4615"/>
    <w:rsid w:val="3AA94491"/>
    <w:rsid w:val="3B702163"/>
    <w:rsid w:val="3BAC032E"/>
    <w:rsid w:val="3BCB37E4"/>
    <w:rsid w:val="3BE929A7"/>
    <w:rsid w:val="3C215808"/>
    <w:rsid w:val="3CA62409"/>
    <w:rsid w:val="3CA65DAF"/>
    <w:rsid w:val="3CBE7614"/>
    <w:rsid w:val="3CC71C25"/>
    <w:rsid w:val="3CF801F9"/>
    <w:rsid w:val="3D711F66"/>
    <w:rsid w:val="3D794E5D"/>
    <w:rsid w:val="3DF062BF"/>
    <w:rsid w:val="3E251669"/>
    <w:rsid w:val="3E417DCF"/>
    <w:rsid w:val="3E4C36EE"/>
    <w:rsid w:val="3E611128"/>
    <w:rsid w:val="3E8371CF"/>
    <w:rsid w:val="3E9048AD"/>
    <w:rsid w:val="3E931AB8"/>
    <w:rsid w:val="3ED50A12"/>
    <w:rsid w:val="3EE2726E"/>
    <w:rsid w:val="3F2E6ABF"/>
    <w:rsid w:val="3F2E7F32"/>
    <w:rsid w:val="3F36326D"/>
    <w:rsid w:val="3F463D1B"/>
    <w:rsid w:val="3F6345CF"/>
    <w:rsid w:val="3F647619"/>
    <w:rsid w:val="3FA471EA"/>
    <w:rsid w:val="3FCB0095"/>
    <w:rsid w:val="3FD779FE"/>
    <w:rsid w:val="3FDF3872"/>
    <w:rsid w:val="40343567"/>
    <w:rsid w:val="40491ED2"/>
    <w:rsid w:val="405246D0"/>
    <w:rsid w:val="4083236F"/>
    <w:rsid w:val="40CE74E2"/>
    <w:rsid w:val="40FE4BEC"/>
    <w:rsid w:val="417022B7"/>
    <w:rsid w:val="41737B55"/>
    <w:rsid w:val="422F59DF"/>
    <w:rsid w:val="424F19F5"/>
    <w:rsid w:val="425A3900"/>
    <w:rsid w:val="42834072"/>
    <w:rsid w:val="429013CC"/>
    <w:rsid w:val="42A96E2C"/>
    <w:rsid w:val="42BF6D6E"/>
    <w:rsid w:val="42FC1805"/>
    <w:rsid w:val="43320CF3"/>
    <w:rsid w:val="43454C66"/>
    <w:rsid w:val="438A7056"/>
    <w:rsid w:val="438D4536"/>
    <w:rsid w:val="439A7D31"/>
    <w:rsid w:val="43BC5539"/>
    <w:rsid w:val="44161C31"/>
    <w:rsid w:val="44245978"/>
    <w:rsid w:val="44896446"/>
    <w:rsid w:val="44D24BB5"/>
    <w:rsid w:val="44F81599"/>
    <w:rsid w:val="45192E60"/>
    <w:rsid w:val="45643C33"/>
    <w:rsid w:val="456E7402"/>
    <w:rsid w:val="45A74709"/>
    <w:rsid w:val="45F97D27"/>
    <w:rsid w:val="46001E6E"/>
    <w:rsid w:val="462D6C1B"/>
    <w:rsid w:val="46727BB4"/>
    <w:rsid w:val="46952D8F"/>
    <w:rsid w:val="46CF592B"/>
    <w:rsid w:val="476850DB"/>
    <w:rsid w:val="47C47B5E"/>
    <w:rsid w:val="487263ED"/>
    <w:rsid w:val="48825173"/>
    <w:rsid w:val="494B3260"/>
    <w:rsid w:val="49676965"/>
    <w:rsid w:val="49687E15"/>
    <w:rsid w:val="49882F15"/>
    <w:rsid w:val="4A1F1ED8"/>
    <w:rsid w:val="4AAD0552"/>
    <w:rsid w:val="4B0B7ACA"/>
    <w:rsid w:val="4B106632"/>
    <w:rsid w:val="4B234341"/>
    <w:rsid w:val="4B292D0A"/>
    <w:rsid w:val="4B616AFD"/>
    <w:rsid w:val="4B824BA3"/>
    <w:rsid w:val="4B855909"/>
    <w:rsid w:val="4B9F272A"/>
    <w:rsid w:val="4BB40984"/>
    <w:rsid w:val="4C455C43"/>
    <w:rsid w:val="4C75114F"/>
    <w:rsid w:val="4CB12F6A"/>
    <w:rsid w:val="4D216F7B"/>
    <w:rsid w:val="4D5D0EA7"/>
    <w:rsid w:val="4DD947BC"/>
    <w:rsid w:val="4E397B62"/>
    <w:rsid w:val="4E3B3392"/>
    <w:rsid w:val="4EC11424"/>
    <w:rsid w:val="4EEF2AAB"/>
    <w:rsid w:val="4EF11FE6"/>
    <w:rsid w:val="4FB00D43"/>
    <w:rsid w:val="4FDF224D"/>
    <w:rsid w:val="50824921"/>
    <w:rsid w:val="508647D7"/>
    <w:rsid w:val="50D71E11"/>
    <w:rsid w:val="510F21E4"/>
    <w:rsid w:val="51446DE1"/>
    <w:rsid w:val="51693DBC"/>
    <w:rsid w:val="51977BAD"/>
    <w:rsid w:val="51AA2A1B"/>
    <w:rsid w:val="51DF2696"/>
    <w:rsid w:val="5204701C"/>
    <w:rsid w:val="52687F07"/>
    <w:rsid w:val="52982CD7"/>
    <w:rsid w:val="533F3F25"/>
    <w:rsid w:val="534A2E21"/>
    <w:rsid w:val="537919FA"/>
    <w:rsid w:val="546316F1"/>
    <w:rsid w:val="549571B8"/>
    <w:rsid w:val="54AB40EA"/>
    <w:rsid w:val="54CA3C11"/>
    <w:rsid w:val="555222D6"/>
    <w:rsid w:val="55B17114"/>
    <w:rsid w:val="562A45DB"/>
    <w:rsid w:val="56405C78"/>
    <w:rsid w:val="56985DCD"/>
    <w:rsid w:val="56F83434"/>
    <w:rsid w:val="56FE0D72"/>
    <w:rsid w:val="570C13A4"/>
    <w:rsid w:val="57261ECC"/>
    <w:rsid w:val="57403A2F"/>
    <w:rsid w:val="5785380D"/>
    <w:rsid w:val="579D0380"/>
    <w:rsid w:val="579E6341"/>
    <w:rsid w:val="57AA6529"/>
    <w:rsid w:val="582D1248"/>
    <w:rsid w:val="584F7492"/>
    <w:rsid w:val="588B5FCD"/>
    <w:rsid w:val="58C06CAA"/>
    <w:rsid w:val="58E03592"/>
    <w:rsid w:val="58E1276C"/>
    <w:rsid w:val="58E46929"/>
    <w:rsid w:val="593C4923"/>
    <w:rsid w:val="59A94768"/>
    <w:rsid w:val="5A995DFE"/>
    <w:rsid w:val="5AFC0B93"/>
    <w:rsid w:val="5B18494E"/>
    <w:rsid w:val="5B42011D"/>
    <w:rsid w:val="5B6D6F97"/>
    <w:rsid w:val="5C5161C6"/>
    <w:rsid w:val="5C7419FB"/>
    <w:rsid w:val="5C7D6786"/>
    <w:rsid w:val="5D0424AB"/>
    <w:rsid w:val="5D503F20"/>
    <w:rsid w:val="5DA77FF1"/>
    <w:rsid w:val="5DD75871"/>
    <w:rsid w:val="5E2F3662"/>
    <w:rsid w:val="5E694076"/>
    <w:rsid w:val="5EF756C0"/>
    <w:rsid w:val="5F11698F"/>
    <w:rsid w:val="5F832683"/>
    <w:rsid w:val="60935106"/>
    <w:rsid w:val="61356691"/>
    <w:rsid w:val="61472448"/>
    <w:rsid w:val="616A7C0E"/>
    <w:rsid w:val="616D579F"/>
    <w:rsid w:val="6174795E"/>
    <w:rsid w:val="61E270A9"/>
    <w:rsid w:val="621B4B5F"/>
    <w:rsid w:val="622810C8"/>
    <w:rsid w:val="62967742"/>
    <w:rsid w:val="62E418BB"/>
    <w:rsid w:val="6356129F"/>
    <w:rsid w:val="637F595F"/>
    <w:rsid w:val="638809BE"/>
    <w:rsid w:val="63901371"/>
    <w:rsid w:val="63B23B01"/>
    <w:rsid w:val="64156F33"/>
    <w:rsid w:val="641C6B60"/>
    <w:rsid w:val="64393330"/>
    <w:rsid w:val="646B37C4"/>
    <w:rsid w:val="64961064"/>
    <w:rsid w:val="64D2036D"/>
    <w:rsid w:val="659C031D"/>
    <w:rsid w:val="662A1F26"/>
    <w:rsid w:val="66374F8F"/>
    <w:rsid w:val="663D4EF4"/>
    <w:rsid w:val="66B30F07"/>
    <w:rsid w:val="66EF6F32"/>
    <w:rsid w:val="66FA123A"/>
    <w:rsid w:val="66FD05DE"/>
    <w:rsid w:val="66FF39B6"/>
    <w:rsid w:val="672119E5"/>
    <w:rsid w:val="674D0E50"/>
    <w:rsid w:val="67720801"/>
    <w:rsid w:val="67901D3B"/>
    <w:rsid w:val="679678AD"/>
    <w:rsid w:val="67D4762C"/>
    <w:rsid w:val="67E61EAB"/>
    <w:rsid w:val="681A77FC"/>
    <w:rsid w:val="68265C4B"/>
    <w:rsid w:val="684C7C15"/>
    <w:rsid w:val="688C777F"/>
    <w:rsid w:val="689251EE"/>
    <w:rsid w:val="68C42F9F"/>
    <w:rsid w:val="68E36170"/>
    <w:rsid w:val="68E41E4D"/>
    <w:rsid w:val="693F70D8"/>
    <w:rsid w:val="69657A07"/>
    <w:rsid w:val="69A26B59"/>
    <w:rsid w:val="69ED4DD4"/>
    <w:rsid w:val="6A5C4EF0"/>
    <w:rsid w:val="6A9F735E"/>
    <w:rsid w:val="6AC25490"/>
    <w:rsid w:val="6AFE7836"/>
    <w:rsid w:val="6B3E099E"/>
    <w:rsid w:val="6B4227D3"/>
    <w:rsid w:val="6B7936D9"/>
    <w:rsid w:val="6C087FB4"/>
    <w:rsid w:val="6C9034B1"/>
    <w:rsid w:val="6CB258E8"/>
    <w:rsid w:val="6D002AFB"/>
    <w:rsid w:val="6D0F4D11"/>
    <w:rsid w:val="6D186900"/>
    <w:rsid w:val="6D260B90"/>
    <w:rsid w:val="6D4437AE"/>
    <w:rsid w:val="6D9C0AD4"/>
    <w:rsid w:val="6DC1452D"/>
    <w:rsid w:val="6DE36966"/>
    <w:rsid w:val="6DE77F34"/>
    <w:rsid w:val="6E17216A"/>
    <w:rsid w:val="6E3349C8"/>
    <w:rsid w:val="6E5F56B0"/>
    <w:rsid w:val="6ECA528A"/>
    <w:rsid w:val="6F2C7BBD"/>
    <w:rsid w:val="6FC249B4"/>
    <w:rsid w:val="70457D2F"/>
    <w:rsid w:val="706A6AE4"/>
    <w:rsid w:val="70D43E15"/>
    <w:rsid w:val="70E4517B"/>
    <w:rsid w:val="70E94BBA"/>
    <w:rsid w:val="71100593"/>
    <w:rsid w:val="713952F1"/>
    <w:rsid w:val="71454C52"/>
    <w:rsid w:val="71494E37"/>
    <w:rsid w:val="71BE305B"/>
    <w:rsid w:val="7304598C"/>
    <w:rsid w:val="73423063"/>
    <w:rsid w:val="73BD558A"/>
    <w:rsid w:val="73C9129D"/>
    <w:rsid w:val="73D424DB"/>
    <w:rsid w:val="73E641DD"/>
    <w:rsid w:val="73F05F12"/>
    <w:rsid w:val="7429460E"/>
    <w:rsid w:val="743719FA"/>
    <w:rsid w:val="750C0765"/>
    <w:rsid w:val="750F5FD8"/>
    <w:rsid w:val="75294E81"/>
    <w:rsid w:val="753B1657"/>
    <w:rsid w:val="756524AB"/>
    <w:rsid w:val="759E104E"/>
    <w:rsid w:val="75B35142"/>
    <w:rsid w:val="75B86386"/>
    <w:rsid w:val="75DD7F88"/>
    <w:rsid w:val="76045011"/>
    <w:rsid w:val="76155804"/>
    <w:rsid w:val="76853B74"/>
    <w:rsid w:val="76AF635E"/>
    <w:rsid w:val="76F85698"/>
    <w:rsid w:val="772B0242"/>
    <w:rsid w:val="774E1DD6"/>
    <w:rsid w:val="77515D16"/>
    <w:rsid w:val="77604072"/>
    <w:rsid w:val="77661554"/>
    <w:rsid w:val="77856B72"/>
    <w:rsid w:val="778859F0"/>
    <w:rsid w:val="77BC6478"/>
    <w:rsid w:val="77C16FD5"/>
    <w:rsid w:val="79173FB8"/>
    <w:rsid w:val="7979247F"/>
    <w:rsid w:val="798C3A11"/>
    <w:rsid w:val="79962D54"/>
    <w:rsid w:val="79A85561"/>
    <w:rsid w:val="79E42E44"/>
    <w:rsid w:val="7A3431E6"/>
    <w:rsid w:val="7A6E7713"/>
    <w:rsid w:val="7A794E3B"/>
    <w:rsid w:val="7B1C38E8"/>
    <w:rsid w:val="7B366FD3"/>
    <w:rsid w:val="7B5C66D6"/>
    <w:rsid w:val="7BB60C75"/>
    <w:rsid w:val="7BC604E7"/>
    <w:rsid w:val="7BFC4DCF"/>
    <w:rsid w:val="7C246D2E"/>
    <w:rsid w:val="7C6331AC"/>
    <w:rsid w:val="7C7D4805"/>
    <w:rsid w:val="7C9751A8"/>
    <w:rsid w:val="7CA552F2"/>
    <w:rsid w:val="7CE4086D"/>
    <w:rsid w:val="7CE4229A"/>
    <w:rsid w:val="7CEB7BEB"/>
    <w:rsid w:val="7D110379"/>
    <w:rsid w:val="7D2568F5"/>
    <w:rsid w:val="7DA728D4"/>
    <w:rsid w:val="7DBB3FE6"/>
    <w:rsid w:val="7DBC25A9"/>
    <w:rsid w:val="7DCD4B59"/>
    <w:rsid w:val="7E051794"/>
    <w:rsid w:val="7E05201C"/>
    <w:rsid w:val="7E0B5114"/>
    <w:rsid w:val="7E3B6AF0"/>
    <w:rsid w:val="7E4B28BD"/>
    <w:rsid w:val="7EF807BB"/>
    <w:rsid w:val="7F2E7FD6"/>
    <w:rsid w:val="7F8B48C5"/>
    <w:rsid w:val="7FA52390"/>
    <w:rsid w:val="7FB14435"/>
    <w:rsid w:val="7FE3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numPr>
        <w:ilvl w:val="0"/>
        <w:numId w:val="1"/>
      </w:numPr>
      <w:tabs>
        <w:tab w:val="left" w:pos="0"/>
      </w:tabs>
      <w:spacing w:before="200" w:after="160"/>
      <w:jc w:val="left"/>
      <w:outlineLvl w:val="0"/>
    </w:pPr>
    <w:rPr>
      <w:rFonts w:asciiTheme="minorHAnsi" w:hAnsiTheme="minorHAns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8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left"/>
      <w:outlineLvl w:val="1"/>
    </w:pPr>
    <w:rPr>
      <w:rFonts w:ascii="宋体" w:hAnsi="宋体" w:cs="Arial"/>
      <w:b/>
      <w:sz w:val="28"/>
    </w:rPr>
  </w:style>
  <w:style w:type="paragraph" w:styleId="4">
    <w:name w:val="heading 3"/>
    <w:basedOn w:val="1"/>
    <w:next w:val="1"/>
    <w:link w:val="27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720"/>
      <w:jc w:val="center"/>
      <w:outlineLvl w:val="2"/>
    </w:pPr>
    <w:rPr>
      <w:rFonts w:ascii="黑体" w:hAnsi="黑体" w:cstheme="minorBidi"/>
      <w:b/>
      <w:sz w:val="24"/>
      <w:szCs w:val="22"/>
    </w:rPr>
  </w:style>
  <w:style w:type="paragraph" w:styleId="5">
    <w:name w:val="heading 4"/>
    <w:basedOn w:val="1"/>
    <w:next w:val="1"/>
    <w:link w:val="29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cs="Arial"/>
      <w:b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140" w:after="140" w:line="360" w:lineRule="auto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31"/>
    <w:autoRedefine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867"/>
      </w:tabs>
      <w:spacing w:before="240" w:after="64" w:line="320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5">
    <w:name w:val="Default Paragraph Font"/>
    <w:autoRedefine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autoRedefine/>
    <w:qFormat/>
    <w:uiPriority w:val="0"/>
    <w:pPr>
      <w:adjustRightInd w:val="0"/>
      <w:spacing w:after="180" w:line="300" w:lineRule="auto"/>
      <w:ind w:left="1134"/>
    </w:pPr>
    <w:rPr>
      <w:rFonts w:ascii="Times New Roman" w:hAnsi="Times New Roman"/>
    </w:rPr>
  </w:style>
  <w:style w:type="paragraph" w:styleId="12">
    <w:name w:val="caption"/>
    <w:basedOn w:val="1"/>
    <w:next w:val="1"/>
    <w:autoRedefine/>
    <w:semiHidden/>
    <w:unhideWhenUsed/>
    <w:qFormat/>
    <w:uiPriority w:val="0"/>
    <w:pPr>
      <w:spacing w:before="120" w:after="180"/>
      <w:jc w:val="center"/>
    </w:pPr>
    <w:rPr>
      <w:rFonts w:ascii="Times New Roman" w:hAnsi="Times New Roman"/>
      <w:smallCaps/>
    </w:r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Body Text"/>
    <w:basedOn w:val="1"/>
    <w:next w:val="1"/>
    <w:link w:val="33"/>
    <w:autoRedefine/>
    <w:qFormat/>
    <w:uiPriority w:val="0"/>
    <w:pPr>
      <w:widowControl/>
      <w:spacing w:after="120"/>
      <w:jc w:val="left"/>
    </w:pPr>
    <w:rPr>
      <w:rFonts w:asciiTheme="minorHAnsi" w:hAnsiTheme="minorHAnsi" w:cstheme="minorBidi"/>
      <w:kern w:val="0"/>
      <w:szCs w:val="20"/>
    </w:rPr>
  </w:style>
  <w:style w:type="paragraph" w:styleId="15">
    <w:name w:val="Body Text Indent"/>
    <w:basedOn w:val="1"/>
    <w:next w:val="16"/>
    <w:autoRedefine/>
    <w:qFormat/>
    <w:uiPriority w:val="0"/>
    <w:pPr>
      <w:spacing w:after="120"/>
      <w:ind w:left="420" w:leftChars="200"/>
    </w:pPr>
  </w:style>
  <w:style w:type="paragraph" w:styleId="16">
    <w:name w:val="envelope return"/>
    <w:basedOn w:val="1"/>
    <w:qFormat/>
    <w:uiPriority w:val="0"/>
    <w:pPr>
      <w:adjustRightInd w:val="0"/>
      <w:snapToGrid w:val="0"/>
      <w:textAlignment w:val="baseline"/>
    </w:pPr>
    <w:rPr>
      <w:rFonts w:ascii="Arial" w:hAnsi="Arial" w:eastAsia="仿宋" w:cs="Arial"/>
      <w:kern w:val="0"/>
      <w:sz w:val="28"/>
      <w:szCs w:val="21"/>
    </w:rPr>
  </w:style>
  <w:style w:type="paragraph" w:styleId="1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8">
    <w:name w:val="footer"/>
    <w:basedOn w:val="1"/>
    <w:autoRedefine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9">
    <w:name w:val="toc 1"/>
    <w:basedOn w:val="1"/>
    <w:next w:val="1"/>
    <w:autoRedefine/>
    <w:qFormat/>
    <w:uiPriority w:val="0"/>
    <w:pPr>
      <w:spacing w:before="18"/>
      <w:ind w:left="1678" w:right="178" w:hanging="1679"/>
      <w:jc w:val="right"/>
    </w:pPr>
    <w:rPr>
      <w:rFonts w:ascii="宋体" w:hAnsi="宋体"/>
      <w:szCs w:val="21"/>
    </w:rPr>
  </w:style>
  <w:style w:type="paragraph" w:styleId="20">
    <w:name w:val="toc 2"/>
    <w:basedOn w:val="1"/>
    <w:next w:val="1"/>
    <w:autoRedefine/>
    <w:qFormat/>
    <w:uiPriority w:val="0"/>
    <w:pPr>
      <w:spacing w:line="371" w:lineRule="exact"/>
      <w:ind w:left="687" w:hanging="428"/>
    </w:pPr>
    <w:rPr>
      <w:rFonts w:ascii="Microsoft JhengHei" w:hAnsi="Microsoft JhengHei" w:cs="Microsoft JhengHei"/>
      <w:b/>
      <w:bCs/>
      <w:szCs w:val="21"/>
    </w:rPr>
  </w:style>
  <w:style w:type="paragraph" w:styleId="21">
    <w:name w:val="Normal (Web)"/>
    <w:basedOn w:val="1"/>
    <w:next w:val="1"/>
    <w:qFormat/>
    <w:uiPriority w:val="0"/>
    <w:pPr>
      <w:spacing w:before="120" w:after="120" w:line="360" w:lineRule="auto"/>
    </w:pPr>
    <w:rPr>
      <w:rFonts w:asciiTheme="minorHAnsi" w:hAnsiTheme="minorHAnsi"/>
      <w:sz w:val="24"/>
    </w:rPr>
  </w:style>
  <w:style w:type="paragraph" w:styleId="22">
    <w:name w:val="Body Text First Indent"/>
    <w:basedOn w:val="14"/>
    <w:next w:val="14"/>
    <w:autoRedefine/>
    <w:qFormat/>
    <w:uiPriority w:val="0"/>
    <w:pPr>
      <w:widowControl w:val="0"/>
      <w:adjustRightInd w:val="0"/>
      <w:spacing w:line="360" w:lineRule="atLeast"/>
      <w:ind w:firstLine="420" w:firstLineChars="100"/>
      <w:jc w:val="both"/>
      <w:textAlignment w:val="baseline"/>
    </w:pPr>
    <w:rPr>
      <w:rFonts w:ascii="Tahoma" w:hAnsi="Tahoma" w:cs="Times New Roman"/>
      <w:szCs w:val="24"/>
    </w:rPr>
  </w:style>
  <w:style w:type="paragraph" w:styleId="23">
    <w:name w:val="Body Text First Indent 2"/>
    <w:basedOn w:val="15"/>
    <w:next w:val="22"/>
    <w:qFormat/>
    <w:uiPriority w:val="0"/>
    <w:pPr>
      <w:ind w:firstLine="420" w:firstLineChars="200"/>
      <w:jc w:val="left"/>
    </w:pPr>
    <w:rPr>
      <w:rFonts w:ascii="Times New Roman" w:hAnsi="Times New Roman"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26">
    <w:name w:val="标题 1 字符"/>
    <w:basedOn w:val="25"/>
    <w:link w:val="2"/>
    <w:autoRedefine/>
    <w:qFormat/>
    <w:uiPriority w:val="9"/>
    <w:rPr>
      <w:rFonts w:eastAsia="宋体" w:asciiTheme="minorHAnsi" w:hAnsiTheme="minorHAnsi"/>
      <w:b/>
      <w:bCs/>
      <w:kern w:val="44"/>
      <w:sz w:val="32"/>
      <w:szCs w:val="44"/>
    </w:rPr>
  </w:style>
  <w:style w:type="character" w:customStyle="1" w:styleId="27">
    <w:name w:val="标题 3 字符"/>
    <w:basedOn w:val="25"/>
    <w:link w:val="4"/>
    <w:qFormat/>
    <w:uiPriority w:val="0"/>
    <w:rPr>
      <w:rFonts w:ascii="黑体" w:hAnsi="黑体" w:eastAsia="宋体" w:cstheme="minorBidi"/>
      <w:b/>
      <w:bCs/>
      <w:sz w:val="28"/>
      <w:szCs w:val="22"/>
    </w:rPr>
  </w:style>
  <w:style w:type="character" w:customStyle="1" w:styleId="28">
    <w:name w:val="标题 2 字符"/>
    <w:basedOn w:val="25"/>
    <w:link w:val="3"/>
    <w:autoRedefine/>
    <w:qFormat/>
    <w:uiPriority w:val="9"/>
    <w:rPr>
      <w:rFonts w:ascii="宋体" w:hAnsi="宋体" w:eastAsia="宋体" w:cs="Arial"/>
      <w:b/>
      <w:bCs/>
      <w:sz w:val="30"/>
      <w:szCs w:val="24"/>
    </w:rPr>
  </w:style>
  <w:style w:type="character" w:customStyle="1" w:styleId="29">
    <w:name w:val="标题 4 字符"/>
    <w:basedOn w:val="25"/>
    <w:link w:val="5"/>
    <w:autoRedefine/>
    <w:qFormat/>
    <w:uiPriority w:val="0"/>
    <w:rPr>
      <w:rFonts w:ascii="Arial" w:hAnsi="Arial" w:eastAsia="宋体" w:cs="Arial"/>
      <w:b/>
      <w:kern w:val="2"/>
      <w:sz w:val="24"/>
    </w:rPr>
  </w:style>
  <w:style w:type="paragraph" w:customStyle="1" w:styleId="30">
    <w:name w:val="列出段落1"/>
    <w:basedOn w:val="1"/>
    <w:next w:val="1"/>
    <w:autoRedefine/>
    <w:qFormat/>
    <w:uiPriority w:val="34"/>
    <w:pPr>
      <w:ind w:firstLine="420" w:firstLineChars="200"/>
    </w:pPr>
    <w:rPr>
      <w:sz w:val="24"/>
      <w:szCs w:val="22"/>
    </w:rPr>
  </w:style>
  <w:style w:type="character" w:customStyle="1" w:styleId="31">
    <w:name w:val="标题 8 字符"/>
    <w:link w:val="9"/>
    <w:autoRedefine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32">
    <w:name w:val="NormalCharacter"/>
    <w:autoRedefine/>
    <w:qFormat/>
    <w:uiPriority w:val="0"/>
  </w:style>
  <w:style w:type="character" w:customStyle="1" w:styleId="33">
    <w:name w:val="正文文本 字符"/>
    <w:link w:val="14"/>
    <w:autoRedefine/>
    <w:qFormat/>
    <w:uiPriority w:val="0"/>
    <w:rPr>
      <w:rFonts w:ascii="宋体" w:hAnsi="宋体" w:eastAsia="宋体" w:cstheme="minorBidi"/>
      <w:kern w:val="2"/>
      <w:sz w:val="21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1206</Words>
  <Characters>1329</Characters>
  <Lines>42</Lines>
  <Paragraphs>11</Paragraphs>
  <TotalTime>6</TotalTime>
  <ScaleCrop>false</ScaleCrop>
  <LinksUpToDate>false</LinksUpToDate>
  <CharactersWithSpaces>1338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2024-07-24T05:40:00Z</dcterms:created>
  <dc:creator>Administrator</dc:creator>
  <cp:lastModifiedBy>赵杰</cp:lastModifiedBy>
  <dcterms:modified xsi:type="dcterms:W3CDTF">2025-11-26T05:11:16Z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A5B8E503513548CDAE14853FB6CB6193_13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