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A88E0">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14:paraId="6F457E43">
      <w:pPr>
        <w:pStyle w:val="2"/>
        <w:rPr>
          <w:rFonts w:hint="eastAsia"/>
          <w:lang w:eastAsia="zh-CN"/>
        </w:rPr>
      </w:pPr>
    </w:p>
    <w:p w14:paraId="0FFC9320">
      <w:pPr>
        <w:tabs>
          <w:tab w:val="left" w:pos="8364"/>
        </w:tabs>
        <w:snapToGrid w:val="0"/>
        <w:ind w:right="-58"/>
        <w:rPr>
          <w:rFonts w:hint="eastAsia"/>
          <w:sz w:val="28"/>
          <w:szCs w:val="28"/>
        </w:rPr>
      </w:pPr>
      <w:r>
        <w:rPr>
          <w:rFonts w:hint="eastAsia"/>
          <w:sz w:val="28"/>
          <w:szCs w:val="28"/>
        </w:rPr>
        <w:t>项目名称：</w:t>
      </w:r>
      <w:r>
        <w:rPr>
          <w:rFonts w:hint="default" w:ascii="Times New Roman" w:hAnsi="Times New Roman" w:cs="Times New Roman"/>
          <w:sz w:val="28"/>
          <w:szCs w:val="28"/>
        </w:rPr>
        <w:t>广东省人民医院工会</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元旦</w:t>
      </w:r>
      <w:r>
        <w:rPr>
          <w:rFonts w:hint="default" w:ascii="Times New Roman" w:hAnsi="Times New Roman" w:cs="Times New Roman"/>
          <w:sz w:val="28"/>
          <w:szCs w:val="28"/>
          <w:lang w:eastAsia="zh-CN"/>
        </w:rPr>
        <w:t>慰问品</w:t>
      </w:r>
      <w:r>
        <w:rPr>
          <w:rFonts w:hint="default" w:ascii="Times New Roman" w:hAnsi="Times New Roman" w:cs="Times New Roman"/>
          <w:sz w:val="28"/>
          <w:szCs w:val="28"/>
        </w:rPr>
        <w:t>采购项</w:t>
      </w:r>
      <w:r>
        <w:rPr>
          <w:rFonts w:hint="eastAsia"/>
          <w:sz w:val="28"/>
          <w:szCs w:val="28"/>
        </w:rPr>
        <w:t>目</w:t>
      </w:r>
    </w:p>
    <w:p w14:paraId="603A072B">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bookmarkStart w:id="0" w:name="_GoBack"/>
      <w:bookmarkEnd w:id="0"/>
    </w:p>
    <w:p w14:paraId="4749E9CD">
      <w:pPr>
        <w:tabs>
          <w:tab w:val="left" w:pos="8364"/>
        </w:tabs>
        <w:snapToGrid w:val="0"/>
        <w:ind w:right="-58"/>
        <w:rPr>
          <w:rFonts w:hint="eastAsia" w:ascii="宋体" w:hAnsi="宋体"/>
          <w:color w:val="auto"/>
          <w:szCs w:val="21"/>
          <w:highlight w:val="none"/>
        </w:rPr>
      </w:pPr>
      <w:r>
        <w:rPr>
          <w:rFonts w:hint="eastAsia"/>
          <w:sz w:val="28"/>
          <w:szCs w:val="28"/>
          <w:lang w:eastAsia="zh-CN"/>
        </w:rPr>
        <w:t>供应商</w:t>
      </w:r>
      <w:r>
        <w:rPr>
          <w:rFonts w:hint="eastAsia"/>
          <w:sz w:val="28"/>
          <w:szCs w:val="28"/>
        </w:rPr>
        <w:t>名称：</w:t>
      </w: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p w14:paraId="628D58EB">
      <w:pPr>
        <w:tabs>
          <w:tab w:val="left" w:pos="8364"/>
        </w:tabs>
        <w:snapToGrid w:val="0"/>
        <w:ind w:right="-58"/>
        <w:rPr>
          <w:rFonts w:hint="eastAsia" w:ascii="宋体" w:hAnsi="宋体"/>
          <w:color w:val="auto"/>
          <w:highlight w:val="none"/>
        </w:rPr>
      </w:pPr>
      <w:r>
        <w:rPr>
          <w:rFonts w:hint="eastAsia" w:ascii="宋体" w:hAnsi="宋体"/>
          <w:color w:val="auto"/>
          <w:szCs w:val="21"/>
          <w:highlight w:val="none"/>
        </w:rPr>
        <w:t xml:space="preserve">                                   </w:t>
      </w:r>
    </w:p>
    <w:tbl>
      <w:tblPr>
        <w:tblStyle w:val="4"/>
        <w:tblW w:w="995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395"/>
        <w:gridCol w:w="1360"/>
        <w:gridCol w:w="1573"/>
        <w:gridCol w:w="2307"/>
        <w:gridCol w:w="1746"/>
        <w:gridCol w:w="1574"/>
      </w:tblGrid>
      <w:tr w14:paraId="373C02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395" w:type="dxa"/>
            <w:noWrap w:val="0"/>
            <w:vAlign w:val="center"/>
          </w:tcPr>
          <w:p w14:paraId="01173257">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360" w:type="dxa"/>
            <w:noWrap w:val="0"/>
            <w:vAlign w:val="center"/>
          </w:tcPr>
          <w:p w14:paraId="75FD9750">
            <w:pPr>
              <w:tabs>
                <w:tab w:val="left" w:pos="8364"/>
              </w:tabs>
              <w:snapToGrid w:val="0"/>
              <w:ind w:right="-58"/>
              <w:jc w:val="center"/>
              <w:rPr>
                <w:rFonts w:ascii="宋体" w:hAnsi="宋体"/>
                <w:b/>
                <w:sz w:val="24"/>
                <w:szCs w:val="24"/>
              </w:rPr>
            </w:pPr>
            <w:r>
              <w:rPr>
                <w:rFonts w:hint="eastAsia" w:ascii="宋体" w:hAnsi="宋体"/>
                <w:b/>
                <w:sz w:val="24"/>
                <w:szCs w:val="24"/>
              </w:rPr>
              <w:t>产</w:t>
            </w:r>
            <w:r>
              <w:rPr>
                <w:rFonts w:hint="eastAsia" w:ascii="宋体" w:hAnsi="宋体"/>
                <w:b/>
                <w:sz w:val="24"/>
                <w:szCs w:val="24"/>
                <w:lang w:eastAsia="zh-CN"/>
              </w:rPr>
              <w:t>品内容</w:t>
            </w:r>
            <w:r>
              <w:rPr>
                <w:rFonts w:hint="eastAsia" w:ascii="宋体" w:hAnsi="宋体"/>
                <w:b/>
                <w:sz w:val="24"/>
                <w:szCs w:val="24"/>
                <w:lang w:val="en-US" w:eastAsia="zh-CN"/>
              </w:rPr>
              <w:t>/</w:t>
            </w:r>
            <w:r>
              <w:rPr>
                <w:rFonts w:hint="eastAsia" w:ascii="宋体" w:hAnsi="宋体"/>
                <w:b/>
                <w:sz w:val="24"/>
                <w:szCs w:val="24"/>
              </w:rPr>
              <w:t>品牌</w:t>
            </w:r>
          </w:p>
        </w:tc>
        <w:tc>
          <w:tcPr>
            <w:tcW w:w="1573" w:type="dxa"/>
            <w:noWrap w:val="0"/>
            <w:vAlign w:val="center"/>
          </w:tcPr>
          <w:p w14:paraId="501AC957">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2307" w:type="dxa"/>
            <w:noWrap w:val="0"/>
            <w:vAlign w:val="center"/>
          </w:tcPr>
          <w:p w14:paraId="126F8638">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1746" w:type="dxa"/>
            <w:noWrap w:val="0"/>
            <w:vAlign w:val="center"/>
          </w:tcPr>
          <w:p w14:paraId="5DB67529">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val="en-US" w:eastAsia="zh-CN"/>
              </w:rPr>
              <w:t>市场</w:t>
            </w:r>
            <w:r>
              <w:rPr>
                <w:rFonts w:hint="eastAsia" w:ascii="宋体" w:hAnsi="宋体"/>
                <w:b/>
                <w:sz w:val="24"/>
                <w:szCs w:val="24"/>
                <w:lang w:eastAsia="zh-CN"/>
              </w:rPr>
              <w:t>单价</w:t>
            </w:r>
          </w:p>
          <w:p w14:paraId="772D298B">
            <w:pPr>
              <w:tabs>
                <w:tab w:val="left" w:pos="8364"/>
              </w:tabs>
              <w:snapToGrid w:val="0"/>
              <w:ind w:right="-58"/>
              <w:jc w:val="center"/>
              <w:rPr>
                <w:rFonts w:hint="eastAsia"/>
                <w:lang w:eastAsia="zh-CN"/>
              </w:rPr>
            </w:pPr>
            <w:r>
              <w:rPr>
                <w:rFonts w:hint="eastAsia" w:ascii="宋体" w:hAnsi="宋体"/>
                <w:b/>
                <w:sz w:val="24"/>
                <w:szCs w:val="24"/>
                <w:lang w:eastAsia="zh-CN"/>
              </w:rPr>
              <w:t>（人民币）</w:t>
            </w:r>
          </w:p>
        </w:tc>
        <w:tc>
          <w:tcPr>
            <w:tcW w:w="1574" w:type="dxa"/>
            <w:noWrap w:val="0"/>
            <w:vAlign w:val="center"/>
          </w:tcPr>
          <w:p w14:paraId="1848154E">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套餐报价</w:t>
            </w:r>
          </w:p>
          <w:p w14:paraId="32D8C3E7">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（人民币）</w:t>
            </w:r>
          </w:p>
        </w:tc>
      </w:tr>
      <w:tr w14:paraId="7F3786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86" w:hRule="exact"/>
        </w:trPr>
        <w:tc>
          <w:tcPr>
            <w:tcW w:w="1395" w:type="dxa"/>
            <w:vMerge w:val="restart"/>
            <w:noWrap w:val="0"/>
            <w:vAlign w:val="center"/>
          </w:tcPr>
          <w:p w14:paraId="0A4651C8">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eastAsia" w:ascii="宋体" w:hAnsi="宋体"/>
                <w:b w:val="0"/>
                <w:bCs/>
                <w:sz w:val="24"/>
                <w:szCs w:val="24"/>
                <w:lang w:eastAsia="zh-CN"/>
              </w:rPr>
            </w:pPr>
            <w:r>
              <w:rPr>
                <w:rFonts w:hint="eastAsia" w:ascii="宋体" w:hAnsi="宋体"/>
                <w:b w:val="0"/>
                <w:bCs/>
                <w:sz w:val="24"/>
                <w:szCs w:val="24"/>
                <w:lang w:eastAsia="zh-CN"/>
              </w:rPr>
              <w:t>套餐一</w:t>
            </w:r>
          </w:p>
          <w:p w14:paraId="7E6A298C">
            <w:pPr>
              <w:pStyle w:val="2"/>
              <w:jc w:val="center"/>
              <w:rPr>
                <w:rFonts w:hint="eastAsia"/>
                <w:lang w:eastAsia="zh-CN"/>
              </w:rPr>
            </w:pPr>
            <w:r>
              <w:rPr>
                <w:rFonts w:hint="eastAsia" w:ascii="宋体" w:hAnsi="宋体"/>
                <w:b w:val="0"/>
                <w:bCs/>
                <w:sz w:val="24"/>
                <w:szCs w:val="24"/>
                <w:lang w:eastAsia="zh-CN"/>
              </w:rPr>
              <w:t>（食品类）</w:t>
            </w:r>
          </w:p>
        </w:tc>
        <w:tc>
          <w:tcPr>
            <w:tcW w:w="1360" w:type="dxa"/>
            <w:tcBorders>
              <w:bottom w:val="single" w:color="auto" w:sz="4" w:space="0"/>
            </w:tcBorders>
            <w:noWrap w:val="0"/>
            <w:vAlign w:val="center"/>
          </w:tcPr>
          <w:p w14:paraId="6C0E5EC4">
            <w:pPr>
              <w:jc w:val="center"/>
              <w:rPr>
                <w:rFonts w:ascii="宋体" w:hAnsi="宋体"/>
                <w:b w:val="0"/>
                <w:bCs/>
                <w:sz w:val="24"/>
                <w:szCs w:val="24"/>
              </w:rPr>
            </w:pPr>
          </w:p>
        </w:tc>
        <w:tc>
          <w:tcPr>
            <w:tcW w:w="1573" w:type="dxa"/>
            <w:tcBorders>
              <w:bottom w:val="single" w:color="auto" w:sz="4" w:space="0"/>
            </w:tcBorders>
            <w:noWrap w:val="0"/>
            <w:vAlign w:val="center"/>
          </w:tcPr>
          <w:p w14:paraId="0C201D03">
            <w:pPr>
              <w:jc w:val="center"/>
              <w:rPr>
                <w:rFonts w:ascii="宋体" w:hAnsi="宋体"/>
                <w:b w:val="0"/>
                <w:bCs/>
                <w:sz w:val="24"/>
                <w:szCs w:val="24"/>
              </w:rPr>
            </w:pPr>
          </w:p>
        </w:tc>
        <w:tc>
          <w:tcPr>
            <w:tcW w:w="2307" w:type="dxa"/>
            <w:tcBorders>
              <w:bottom w:val="single" w:color="auto" w:sz="4" w:space="0"/>
            </w:tcBorders>
            <w:noWrap w:val="0"/>
            <w:vAlign w:val="center"/>
          </w:tcPr>
          <w:p w14:paraId="0CE2E877">
            <w:pPr>
              <w:jc w:val="center"/>
              <w:rPr>
                <w:rFonts w:ascii="宋体" w:hAnsi="宋体"/>
                <w:b w:val="0"/>
                <w:bCs/>
                <w:sz w:val="24"/>
                <w:szCs w:val="24"/>
              </w:rPr>
            </w:pPr>
          </w:p>
        </w:tc>
        <w:tc>
          <w:tcPr>
            <w:tcW w:w="1746" w:type="dxa"/>
            <w:tcBorders>
              <w:bottom w:val="single" w:color="auto" w:sz="4" w:space="0"/>
            </w:tcBorders>
            <w:noWrap w:val="0"/>
            <w:vAlign w:val="center"/>
          </w:tcPr>
          <w:p w14:paraId="1D086F41">
            <w:pPr>
              <w:spacing w:line="380" w:lineRule="exact"/>
              <w:jc w:val="center"/>
              <w:rPr>
                <w:rFonts w:hint="eastAsia" w:ascii="宋体" w:hAnsi="宋体"/>
                <w:b w:val="0"/>
                <w:bCs/>
                <w:sz w:val="24"/>
                <w:szCs w:val="24"/>
              </w:rPr>
            </w:pPr>
          </w:p>
        </w:tc>
        <w:tc>
          <w:tcPr>
            <w:tcW w:w="1574" w:type="dxa"/>
            <w:vMerge w:val="restart"/>
            <w:noWrap w:val="0"/>
            <w:vAlign w:val="center"/>
          </w:tcPr>
          <w:p w14:paraId="3A926085">
            <w:pPr>
              <w:spacing w:line="380" w:lineRule="exact"/>
              <w:jc w:val="center"/>
              <w:rPr>
                <w:rFonts w:hint="default" w:ascii="宋体" w:hAnsi="宋体" w:eastAsiaTheme="minorEastAsia"/>
                <w:b w:val="0"/>
                <w:bCs/>
                <w:sz w:val="24"/>
                <w:szCs w:val="24"/>
                <w:lang w:val="en-US" w:eastAsia="zh-CN"/>
              </w:rPr>
            </w:pPr>
            <w:r>
              <w:rPr>
                <w:rFonts w:hint="eastAsia" w:ascii="宋体" w:hAnsi="宋体"/>
                <w:b w:val="0"/>
                <w:bCs/>
                <w:sz w:val="24"/>
                <w:szCs w:val="24"/>
                <w:lang w:val="en-US" w:eastAsia="zh-CN"/>
              </w:rPr>
              <w:t>150元</w:t>
            </w:r>
          </w:p>
        </w:tc>
      </w:tr>
      <w:tr w14:paraId="5BB848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86" w:hRule="exact"/>
        </w:trPr>
        <w:tc>
          <w:tcPr>
            <w:tcW w:w="1395" w:type="dxa"/>
            <w:vMerge w:val="continue"/>
            <w:noWrap w:val="0"/>
            <w:vAlign w:val="center"/>
          </w:tcPr>
          <w:p w14:paraId="43C46B4B">
            <w:pPr>
              <w:pStyle w:val="2"/>
              <w:jc w:val="center"/>
              <w:rPr>
                <w:rFonts w:hint="eastAsia" w:ascii="宋体" w:hAnsi="宋体"/>
                <w:b w:val="0"/>
                <w:bCs/>
                <w:sz w:val="24"/>
                <w:szCs w:val="24"/>
                <w:lang w:eastAsia="zh-CN"/>
              </w:rPr>
            </w:pPr>
          </w:p>
        </w:tc>
        <w:tc>
          <w:tcPr>
            <w:tcW w:w="1360" w:type="dxa"/>
            <w:tcBorders>
              <w:top w:val="single" w:color="auto" w:sz="4" w:space="0"/>
              <w:bottom w:val="single" w:color="auto" w:sz="4" w:space="0"/>
            </w:tcBorders>
            <w:noWrap w:val="0"/>
            <w:vAlign w:val="center"/>
          </w:tcPr>
          <w:p w14:paraId="25F140F4">
            <w:pPr>
              <w:jc w:val="center"/>
              <w:rPr>
                <w:rFonts w:ascii="宋体" w:hAnsi="宋体"/>
                <w:b w:val="0"/>
                <w:bCs/>
                <w:sz w:val="24"/>
                <w:szCs w:val="24"/>
              </w:rPr>
            </w:pPr>
          </w:p>
        </w:tc>
        <w:tc>
          <w:tcPr>
            <w:tcW w:w="1573" w:type="dxa"/>
            <w:tcBorders>
              <w:top w:val="single" w:color="auto" w:sz="4" w:space="0"/>
              <w:bottom w:val="single" w:color="auto" w:sz="4" w:space="0"/>
            </w:tcBorders>
            <w:noWrap w:val="0"/>
            <w:vAlign w:val="center"/>
          </w:tcPr>
          <w:p w14:paraId="3A9249AE">
            <w:pPr>
              <w:jc w:val="center"/>
              <w:rPr>
                <w:rFonts w:ascii="宋体" w:hAnsi="宋体"/>
                <w:b w:val="0"/>
                <w:bCs/>
                <w:sz w:val="24"/>
                <w:szCs w:val="24"/>
              </w:rPr>
            </w:pPr>
          </w:p>
        </w:tc>
        <w:tc>
          <w:tcPr>
            <w:tcW w:w="2307" w:type="dxa"/>
            <w:tcBorders>
              <w:top w:val="single" w:color="auto" w:sz="4" w:space="0"/>
              <w:bottom w:val="single" w:color="auto" w:sz="4" w:space="0"/>
            </w:tcBorders>
            <w:noWrap w:val="0"/>
            <w:vAlign w:val="center"/>
          </w:tcPr>
          <w:p w14:paraId="70631236">
            <w:pPr>
              <w:jc w:val="center"/>
              <w:rPr>
                <w:rFonts w:ascii="宋体" w:hAnsi="宋体"/>
                <w:b w:val="0"/>
                <w:bCs/>
                <w:sz w:val="24"/>
                <w:szCs w:val="24"/>
              </w:rPr>
            </w:pPr>
          </w:p>
        </w:tc>
        <w:tc>
          <w:tcPr>
            <w:tcW w:w="1746" w:type="dxa"/>
            <w:tcBorders>
              <w:top w:val="single" w:color="auto" w:sz="4" w:space="0"/>
              <w:bottom w:val="single" w:color="auto" w:sz="4" w:space="0"/>
            </w:tcBorders>
            <w:noWrap w:val="0"/>
            <w:vAlign w:val="center"/>
          </w:tcPr>
          <w:p w14:paraId="15EA8420">
            <w:pPr>
              <w:spacing w:line="380" w:lineRule="exact"/>
              <w:jc w:val="center"/>
              <w:rPr>
                <w:rFonts w:hint="eastAsia" w:ascii="宋体" w:hAnsi="宋体"/>
                <w:b w:val="0"/>
                <w:bCs/>
                <w:sz w:val="24"/>
                <w:szCs w:val="24"/>
              </w:rPr>
            </w:pPr>
          </w:p>
        </w:tc>
        <w:tc>
          <w:tcPr>
            <w:tcW w:w="1574" w:type="dxa"/>
            <w:vMerge w:val="continue"/>
            <w:tcBorders>
              <w:bottom w:val="single" w:color="auto" w:sz="4" w:space="0"/>
            </w:tcBorders>
            <w:noWrap w:val="0"/>
            <w:vAlign w:val="center"/>
          </w:tcPr>
          <w:p w14:paraId="253EF770">
            <w:pPr>
              <w:spacing w:line="380" w:lineRule="exact"/>
              <w:jc w:val="center"/>
              <w:rPr>
                <w:rFonts w:hint="eastAsia" w:ascii="宋体" w:hAnsi="宋体"/>
                <w:b w:val="0"/>
                <w:bCs/>
                <w:sz w:val="24"/>
                <w:szCs w:val="24"/>
              </w:rPr>
            </w:pPr>
          </w:p>
        </w:tc>
      </w:tr>
      <w:tr w14:paraId="4C7EFD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86" w:hRule="exact"/>
        </w:trPr>
        <w:tc>
          <w:tcPr>
            <w:tcW w:w="1395" w:type="dxa"/>
            <w:vMerge w:val="restart"/>
            <w:noWrap w:val="0"/>
            <w:vAlign w:val="center"/>
          </w:tcPr>
          <w:p w14:paraId="4F5B92E4">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eastAsia" w:ascii="宋体" w:hAnsi="宋体"/>
                <w:b w:val="0"/>
                <w:bCs/>
                <w:sz w:val="24"/>
                <w:szCs w:val="24"/>
                <w:lang w:eastAsia="zh-CN"/>
              </w:rPr>
            </w:pPr>
            <w:r>
              <w:rPr>
                <w:rFonts w:hint="eastAsia" w:ascii="宋体" w:hAnsi="宋体"/>
                <w:b w:val="0"/>
                <w:bCs/>
                <w:sz w:val="24"/>
                <w:szCs w:val="24"/>
                <w:lang w:eastAsia="zh-CN"/>
              </w:rPr>
              <w:t>套餐二</w:t>
            </w:r>
          </w:p>
          <w:p w14:paraId="6B20FF8C">
            <w:pPr>
              <w:pStyle w:val="2"/>
              <w:jc w:val="center"/>
              <w:rPr>
                <w:rFonts w:hint="eastAsia"/>
                <w:lang w:eastAsia="zh-CN"/>
              </w:rPr>
            </w:pPr>
            <w:r>
              <w:rPr>
                <w:rFonts w:hint="eastAsia" w:ascii="宋体" w:hAnsi="宋体"/>
                <w:b w:val="0"/>
                <w:bCs/>
                <w:sz w:val="24"/>
                <w:szCs w:val="24"/>
                <w:lang w:eastAsia="zh-CN"/>
              </w:rPr>
              <w:t>（日用品类）</w:t>
            </w:r>
          </w:p>
        </w:tc>
        <w:tc>
          <w:tcPr>
            <w:tcW w:w="1360" w:type="dxa"/>
            <w:tcBorders>
              <w:bottom w:val="single" w:color="auto" w:sz="4" w:space="0"/>
            </w:tcBorders>
            <w:noWrap w:val="0"/>
            <w:vAlign w:val="center"/>
          </w:tcPr>
          <w:p w14:paraId="555FB1DB">
            <w:pPr>
              <w:jc w:val="center"/>
              <w:rPr>
                <w:rFonts w:ascii="宋体" w:hAnsi="宋体"/>
                <w:b w:val="0"/>
                <w:bCs/>
                <w:sz w:val="24"/>
                <w:szCs w:val="24"/>
              </w:rPr>
            </w:pPr>
          </w:p>
        </w:tc>
        <w:tc>
          <w:tcPr>
            <w:tcW w:w="1573" w:type="dxa"/>
            <w:tcBorders>
              <w:bottom w:val="single" w:color="auto" w:sz="4" w:space="0"/>
            </w:tcBorders>
            <w:noWrap w:val="0"/>
            <w:vAlign w:val="center"/>
          </w:tcPr>
          <w:p w14:paraId="7E13F9E8">
            <w:pPr>
              <w:jc w:val="center"/>
              <w:rPr>
                <w:rFonts w:ascii="宋体" w:hAnsi="宋体"/>
                <w:b w:val="0"/>
                <w:bCs/>
                <w:sz w:val="24"/>
                <w:szCs w:val="24"/>
              </w:rPr>
            </w:pPr>
          </w:p>
        </w:tc>
        <w:tc>
          <w:tcPr>
            <w:tcW w:w="2307" w:type="dxa"/>
            <w:tcBorders>
              <w:bottom w:val="single" w:color="auto" w:sz="4" w:space="0"/>
            </w:tcBorders>
            <w:noWrap w:val="0"/>
            <w:vAlign w:val="center"/>
          </w:tcPr>
          <w:p w14:paraId="61EEBCE3">
            <w:pPr>
              <w:jc w:val="center"/>
              <w:rPr>
                <w:rFonts w:ascii="宋体" w:hAnsi="宋体"/>
                <w:b w:val="0"/>
                <w:bCs/>
                <w:sz w:val="24"/>
                <w:szCs w:val="24"/>
              </w:rPr>
            </w:pPr>
          </w:p>
        </w:tc>
        <w:tc>
          <w:tcPr>
            <w:tcW w:w="1746" w:type="dxa"/>
            <w:tcBorders>
              <w:bottom w:val="single" w:color="auto" w:sz="4" w:space="0"/>
            </w:tcBorders>
            <w:noWrap w:val="0"/>
            <w:vAlign w:val="center"/>
          </w:tcPr>
          <w:p w14:paraId="5F56EF92">
            <w:pPr>
              <w:spacing w:line="380" w:lineRule="exact"/>
              <w:jc w:val="center"/>
              <w:rPr>
                <w:rFonts w:hint="eastAsia" w:ascii="宋体" w:hAnsi="宋体"/>
                <w:b w:val="0"/>
                <w:bCs/>
                <w:sz w:val="24"/>
                <w:szCs w:val="24"/>
              </w:rPr>
            </w:pPr>
          </w:p>
        </w:tc>
        <w:tc>
          <w:tcPr>
            <w:tcW w:w="1574" w:type="dxa"/>
            <w:vMerge w:val="restart"/>
            <w:noWrap w:val="0"/>
            <w:vAlign w:val="center"/>
          </w:tcPr>
          <w:p w14:paraId="084D0B06">
            <w:pPr>
              <w:spacing w:line="380" w:lineRule="exact"/>
              <w:jc w:val="center"/>
              <w:rPr>
                <w:rFonts w:hint="default" w:ascii="宋体" w:hAnsi="宋体" w:eastAsiaTheme="minorEastAsia"/>
                <w:b w:val="0"/>
                <w:bCs/>
                <w:sz w:val="24"/>
                <w:szCs w:val="24"/>
                <w:lang w:val="en-US" w:eastAsia="zh-CN"/>
              </w:rPr>
            </w:pPr>
            <w:r>
              <w:rPr>
                <w:rFonts w:hint="eastAsia" w:ascii="宋体" w:hAnsi="宋体"/>
                <w:b w:val="0"/>
                <w:bCs/>
                <w:sz w:val="24"/>
                <w:szCs w:val="24"/>
                <w:lang w:val="en-US" w:eastAsia="zh-CN"/>
              </w:rPr>
              <w:t>150元</w:t>
            </w:r>
          </w:p>
        </w:tc>
      </w:tr>
      <w:tr w14:paraId="712DE7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86" w:hRule="exact"/>
        </w:trPr>
        <w:tc>
          <w:tcPr>
            <w:tcW w:w="1395" w:type="dxa"/>
            <w:vMerge w:val="continue"/>
            <w:noWrap w:val="0"/>
            <w:vAlign w:val="center"/>
          </w:tcPr>
          <w:p w14:paraId="22BDE0C0">
            <w:pPr>
              <w:pStyle w:val="2"/>
              <w:jc w:val="center"/>
              <w:rPr>
                <w:rFonts w:hint="eastAsia" w:ascii="宋体" w:hAnsi="宋体"/>
                <w:b w:val="0"/>
                <w:bCs/>
                <w:sz w:val="24"/>
                <w:szCs w:val="24"/>
                <w:lang w:eastAsia="zh-CN"/>
              </w:rPr>
            </w:pPr>
          </w:p>
        </w:tc>
        <w:tc>
          <w:tcPr>
            <w:tcW w:w="1360" w:type="dxa"/>
            <w:tcBorders>
              <w:top w:val="single" w:color="auto" w:sz="4" w:space="0"/>
              <w:bottom w:val="single" w:color="auto" w:sz="4" w:space="0"/>
            </w:tcBorders>
            <w:noWrap w:val="0"/>
            <w:vAlign w:val="center"/>
          </w:tcPr>
          <w:p w14:paraId="6DC70FCE">
            <w:pPr>
              <w:jc w:val="center"/>
              <w:rPr>
                <w:rFonts w:ascii="宋体" w:hAnsi="宋体"/>
                <w:b w:val="0"/>
                <w:bCs/>
                <w:sz w:val="24"/>
                <w:szCs w:val="24"/>
              </w:rPr>
            </w:pPr>
          </w:p>
        </w:tc>
        <w:tc>
          <w:tcPr>
            <w:tcW w:w="1573" w:type="dxa"/>
            <w:tcBorders>
              <w:top w:val="single" w:color="auto" w:sz="4" w:space="0"/>
              <w:bottom w:val="single" w:color="auto" w:sz="4" w:space="0"/>
            </w:tcBorders>
            <w:noWrap w:val="0"/>
            <w:vAlign w:val="center"/>
          </w:tcPr>
          <w:p w14:paraId="74C3BE92">
            <w:pPr>
              <w:jc w:val="center"/>
              <w:rPr>
                <w:rFonts w:ascii="宋体" w:hAnsi="宋体"/>
                <w:b w:val="0"/>
                <w:bCs/>
                <w:sz w:val="24"/>
                <w:szCs w:val="24"/>
              </w:rPr>
            </w:pPr>
          </w:p>
        </w:tc>
        <w:tc>
          <w:tcPr>
            <w:tcW w:w="2307" w:type="dxa"/>
            <w:tcBorders>
              <w:top w:val="single" w:color="auto" w:sz="4" w:space="0"/>
              <w:bottom w:val="single" w:color="auto" w:sz="4" w:space="0"/>
            </w:tcBorders>
            <w:noWrap w:val="0"/>
            <w:vAlign w:val="center"/>
          </w:tcPr>
          <w:p w14:paraId="4FF2739F">
            <w:pPr>
              <w:jc w:val="center"/>
              <w:rPr>
                <w:rFonts w:ascii="宋体" w:hAnsi="宋体"/>
                <w:b w:val="0"/>
                <w:bCs/>
                <w:sz w:val="24"/>
                <w:szCs w:val="24"/>
              </w:rPr>
            </w:pPr>
          </w:p>
        </w:tc>
        <w:tc>
          <w:tcPr>
            <w:tcW w:w="1746" w:type="dxa"/>
            <w:tcBorders>
              <w:top w:val="single" w:color="auto" w:sz="4" w:space="0"/>
              <w:bottom w:val="single" w:color="auto" w:sz="4" w:space="0"/>
            </w:tcBorders>
            <w:noWrap w:val="0"/>
            <w:vAlign w:val="center"/>
          </w:tcPr>
          <w:p w14:paraId="1E90BD65">
            <w:pPr>
              <w:spacing w:line="380" w:lineRule="exact"/>
              <w:jc w:val="center"/>
              <w:rPr>
                <w:rFonts w:hint="eastAsia" w:ascii="宋体" w:hAnsi="宋体"/>
                <w:b w:val="0"/>
                <w:bCs/>
                <w:sz w:val="24"/>
                <w:szCs w:val="24"/>
              </w:rPr>
            </w:pPr>
          </w:p>
        </w:tc>
        <w:tc>
          <w:tcPr>
            <w:tcW w:w="1574" w:type="dxa"/>
            <w:vMerge w:val="continue"/>
            <w:tcBorders>
              <w:bottom w:val="single" w:color="auto" w:sz="4" w:space="0"/>
            </w:tcBorders>
            <w:noWrap w:val="0"/>
            <w:vAlign w:val="center"/>
          </w:tcPr>
          <w:p w14:paraId="51C52B87">
            <w:pPr>
              <w:spacing w:line="380" w:lineRule="exact"/>
              <w:jc w:val="center"/>
              <w:rPr>
                <w:rFonts w:hint="eastAsia" w:ascii="宋体" w:hAnsi="宋体"/>
                <w:b w:val="0"/>
                <w:bCs/>
                <w:sz w:val="24"/>
                <w:szCs w:val="24"/>
              </w:rPr>
            </w:pPr>
          </w:p>
        </w:tc>
      </w:tr>
      <w:tr w14:paraId="6D123E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395" w:type="dxa"/>
            <w:noWrap w:val="0"/>
            <w:vAlign w:val="center"/>
          </w:tcPr>
          <w:p w14:paraId="40A44D94">
            <w:pPr>
              <w:tabs>
                <w:tab w:val="left" w:pos="8364"/>
              </w:tabs>
              <w:snapToGrid w:val="0"/>
              <w:ind w:right="-58"/>
              <w:jc w:val="center"/>
              <w:rPr>
                <w:sz w:val="24"/>
                <w:szCs w:val="24"/>
              </w:rPr>
            </w:pPr>
            <w:r>
              <w:rPr>
                <w:rFonts w:hint="eastAsia" w:ascii="宋体" w:hAnsi="宋体"/>
                <w:b/>
                <w:sz w:val="24"/>
                <w:szCs w:val="24"/>
              </w:rPr>
              <w:t>备注</w:t>
            </w:r>
          </w:p>
        </w:tc>
        <w:tc>
          <w:tcPr>
            <w:tcW w:w="8560" w:type="dxa"/>
            <w:gridSpan w:val="5"/>
            <w:noWrap w:val="0"/>
            <w:vAlign w:val="center"/>
          </w:tcPr>
          <w:p w14:paraId="1F837D5E">
            <w:pPr>
              <w:numPr>
                <w:ilvl w:val="0"/>
                <w:numId w:val="1"/>
              </w:numPr>
              <w:rPr>
                <w:rFonts w:ascii="宋体" w:hAnsi="宋体"/>
                <w:b w:val="0"/>
                <w:bCs w:val="0"/>
                <w:sz w:val="24"/>
                <w:szCs w:val="24"/>
              </w:rPr>
            </w:pPr>
            <w:r>
              <w:rPr>
                <w:rFonts w:hint="eastAsia" w:ascii="宋体" w:hAnsi="宋体"/>
                <w:b w:val="0"/>
                <w:bCs w:val="0"/>
                <w:sz w:val="24"/>
                <w:szCs w:val="24"/>
                <w:lang w:val="en-US" w:eastAsia="zh-CN"/>
              </w:rPr>
              <w:t>单品市场价格以京东、天猫或大型商超零售价为参考。</w:t>
            </w:r>
            <w:r>
              <w:rPr>
                <w:rFonts w:hint="eastAsia" w:ascii="宋体" w:hAnsi="宋体"/>
                <w:b w:val="0"/>
                <w:bCs w:val="0"/>
                <w:sz w:val="24"/>
                <w:szCs w:val="24"/>
                <w:lang w:eastAsia="zh-CN"/>
              </w:rPr>
              <w:t>本项目</w:t>
            </w:r>
            <w:r>
              <w:rPr>
                <w:rFonts w:hint="eastAsia" w:ascii="宋体" w:hAnsi="宋体"/>
                <w:b w:val="0"/>
                <w:bCs w:val="0"/>
                <w:sz w:val="24"/>
                <w:szCs w:val="24"/>
                <w:lang w:val="en-US" w:eastAsia="zh-CN"/>
              </w:rPr>
              <w:t>套餐</w:t>
            </w:r>
            <w:r>
              <w:rPr>
                <w:rFonts w:hint="eastAsia" w:ascii="宋体" w:hAnsi="宋体"/>
                <w:b w:val="0"/>
                <w:bCs w:val="0"/>
                <w:sz w:val="24"/>
                <w:szCs w:val="24"/>
              </w:rPr>
              <w:t>限价为</w:t>
            </w:r>
            <w:r>
              <w:rPr>
                <w:rFonts w:hint="eastAsia" w:ascii="宋体" w:hAnsi="宋体"/>
                <w:b w:val="0"/>
                <w:bCs w:val="0"/>
                <w:sz w:val="24"/>
                <w:szCs w:val="24"/>
                <w:lang w:val="en-US" w:eastAsia="zh-CN"/>
              </w:rPr>
              <w:t>150元</w:t>
            </w:r>
            <w:r>
              <w:rPr>
                <w:rFonts w:hint="eastAsia" w:ascii="宋体" w:hAnsi="宋体"/>
                <w:b w:val="0"/>
                <w:bCs w:val="0"/>
                <w:sz w:val="24"/>
                <w:szCs w:val="24"/>
              </w:rPr>
              <w:t>/份</w:t>
            </w:r>
            <w:r>
              <w:rPr>
                <w:rFonts w:hint="eastAsia" w:ascii="宋体" w:hAnsi="宋体"/>
                <w:b w:val="0"/>
                <w:bCs w:val="0"/>
                <w:sz w:val="24"/>
                <w:szCs w:val="24"/>
                <w:lang w:eastAsia="zh-CN"/>
              </w:rPr>
              <w:t>，一次性报价。</w:t>
            </w:r>
          </w:p>
          <w:p w14:paraId="3427E659">
            <w:pPr>
              <w:numPr>
                <w:ilvl w:val="0"/>
                <w:numId w:val="1"/>
              </w:numPr>
              <w:rPr>
                <w:rFonts w:ascii="宋体" w:hAnsi="宋体"/>
                <w:sz w:val="24"/>
                <w:szCs w:val="24"/>
              </w:rPr>
            </w:pPr>
            <w:r>
              <w:rPr>
                <w:rFonts w:hint="eastAsia" w:ascii="宋体" w:hAnsi="宋体"/>
                <w:b w:val="0"/>
                <w:bCs w:val="0"/>
                <w:sz w:val="24"/>
                <w:szCs w:val="24"/>
                <w:lang w:eastAsia="zh-CN"/>
              </w:rPr>
              <w:t>供应商</w:t>
            </w:r>
            <w:r>
              <w:rPr>
                <w:rFonts w:hint="eastAsia" w:ascii="宋体" w:hAnsi="宋体"/>
                <w:b w:val="0"/>
                <w:bCs w:val="0"/>
                <w:sz w:val="24"/>
                <w:szCs w:val="24"/>
              </w:rPr>
              <w:t>须按要求填写所有信息，不得随意更改本表格式</w:t>
            </w:r>
            <w:r>
              <w:rPr>
                <w:rFonts w:hint="eastAsia" w:ascii="宋体" w:hAnsi="宋体"/>
                <w:b w:val="0"/>
                <w:bCs w:val="0"/>
                <w:sz w:val="24"/>
                <w:szCs w:val="24"/>
                <w:lang w:eastAsia="zh-CN"/>
              </w:rPr>
              <w:t>，填写后打印</w:t>
            </w:r>
            <w:r>
              <w:rPr>
                <w:rFonts w:hint="eastAsia" w:ascii="宋体" w:hAnsi="宋体"/>
                <w:sz w:val="24"/>
                <w:szCs w:val="24"/>
              </w:rPr>
              <w:t>。</w:t>
            </w:r>
          </w:p>
          <w:p w14:paraId="5EF6F2F3">
            <w:pPr>
              <w:numPr>
                <w:ilvl w:val="0"/>
                <w:numId w:val="1"/>
              </w:numPr>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14:paraId="2C49EBC9">
      <w:pPr>
        <w:tabs>
          <w:tab w:val="left" w:pos="8364"/>
        </w:tabs>
        <w:snapToGrid w:val="0"/>
        <w:spacing w:line="360" w:lineRule="auto"/>
        <w:ind w:right="-58"/>
        <w:jc w:val="both"/>
        <w:rPr>
          <w:rFonts w:hint="eastAsia"/>
          <w:sz w:val="24"/>
          <w:szCs w:val="24"/>
          <w:lang w:val="en-US" w:eastAsia="zh-CN"/>
        </w:rPr>
      </w:pPr>
      <w:r>
        <w:rPr>
          <w:rFonts w:hint="eastAsia"/>
          <w:sz w:val="24"/>
          <w:szCs w:val="24"/>
          <w:lang w:val="en-US" w:eastAsia="zh-CN"/>
        </w:rPr>
        <w:t xml:space="preserve"> </w:t>
      </w:r>
    </w:p>
    <w:p w14:paraId="1C51AB9F">
      <w:pPr>
        <w:tabs>
          <w:tab w:val="left" w:pos="8364"/>
        </w:tabs>
        <w:snapToGrid w:val="0"/>
        <w:spacing w:line="48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14:paraId="0C7593EB">
      <w:pPr>
        <w:tabs>
          <w:tab w:val="left" w:pos="8364"/>
        </w:tabs>
        <w:snapToGrid w:val="0"/>
        <w:spacing w:line="48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14:paraId="2AC586A4">
      <w:pPr>
        <w:tabs>
          <w:tab w:val="left" w:pos="8364"/>
        </w:tabs>
        <w:snapToGrid w:val="0"/>
        <w:spacing w:line="480" w:lineRule="auto"/>
        <w:ind w:right="-58"/>
        <w:jc w:val="cente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r>
        <w:rPr>
          <w:rFonts w:hint="eastAsia" w:ascii="方正小标宋简体" w:hAnsi="方正小标宋简体" w:eastAsia="方正小标宋简体" w:cs="方正小标宋简体"/>
          <w:b/>
          <w:color w:val="auto"/>
          <w:sz w:val="44"/>
          <w:szCs w:val="44"/>
          <w:highlight w:val="none"/>
          <w:lang w:val="en-US" w:eastAsia="zh-CN"/>
        </w:rPr>
        <w:t xml:space="preserve">                                                                                                                                                                                                                                </w:t>
      </w:r>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4BD1D17"/>
    <w:rsid w:val="150C319F"/>
    <w:rsid w:val="1CC873BE"/>
    <w:rsid w:val="1DAF6371"/>
    <w:rsid w:val="1E614F94"/>
    <w:rsid w:val="2359622F"/>
    <w:rsid w:val="26F676D3"/>
    <w:rsid w:val="2AE82B97"/>
    <w:rsid w:val="2C646F67"/>
    <w:rsid w:val="2F5B3CF2"/>
    <w:rsid w:val="3926226F"/>
    <w:rsid w:val="3DF21692"/>
    <w:rsid w:val="40093884"/>
    <w:rsid w:val="48C77E38"/>
    <w:rsid w:val="49562D17"/>
    <w:rsid w:val="49812404"/>
    <w:rsid w:val="4B2871C4"/>
    <w:rsid w:val="59B0188F"/>
    <w:rsid w:val="5A0154AD"/>
    <w:rsid w:val="5A386F34"/>
    <w:rsid w:val="5F3C1128"/>
    <w:rsid w:val="5F9E741F"/>
    <w:rsid w:val="76DB5A5B"/>
    <w:rsid w:val="7A897349"/>
    <w:rsid w:val="7EFF4F7E"/>
    <w:rsid w:val="7F0A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289</Words>
  <Characters>294</Characters>
  <Lines>0</Lines>
  <Paragraphs>0</Paragraphs>
  <TotalTime>2</TotalTime>
  <ScaleCrop>false</ScaleCrop>
  <LinksUpToDate>false</LinksUpToDate>
  <CharactersWithSpaces>620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2025-12-16T07:43:07Z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93DA8C2A751148E581789A7A61B87DF9</vt:lpwstr>
  </property>
  <property fmtid="{D5CDD505-2E9C-101B-9397-08002B2CF9AE}" pid="4" name="KSOTemplateDocerSaveRecord">
    <vt:lpwstr>eyJoZGlkIjoiOTIyY2I3Nzc0YWM1MWMxNmU0MDdjMDhiYTNhMmY1YmIiLCJ1c2VySWQiOiI0MjA2NzA2NTYifQ==</vt:lpwstr>
  </property>
</Properties>
</file>