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A0B0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  <w:highlight w:val="none"/>
        </w:rPr>
      </w:pPr>
      <w:r>
        <w:rPr>
          <w:rFonts w:hint="eastAsia" w:ascii="宋体" w:hAnsi="宋体"/>
          <w:b/>
          <w:sz w:val="44"/>
          <w:szCs w:val="30"/>
          <w:highlight w:val="none"/>
        </w:rPr>
        <w:t>互联网医院能力提升及基础保障项目需求</w:t>
      </w:r>
    </w:p>
    <w:p w14:paraId="7F9B3C11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项目名称</w:t>
      </w:r>
      <w:bookmarkStart w:id="5" w:name="_GoBack"/>
      <w:bookmarkEnd w:id="5"/>
    </w:p>
    <w:p w14:paraId="1C99AF17">
      <w:pPr>
        <w:spacing w:line="360" w:lineRule="auto"/>
        <w:ind w:left="432"/>
        <w:rPr>
          <w:rFonts w:hint="eastAsia" w:ascii="宋体" w:hAnsi="宋体"/>
          <w:sz w:val="22"/>
          <w:highlight w:val="none"/>
        </w:rPr>
      </w:pPr>
      <w:r>
        <w:rPr>
          <w:rFonts w:hint="eastAsia" w:ascii="宋体" w:hAnsi="宋体"/>
          <w:sz w:val="22"/>
          <w:highlight w:val="none"/>
        </w:rPr>
        <w:t>互联网医院能力提升及基础保障项目</w:t>
      </w:r>
    </w:p>
    <w:p w14:paraId="788A6CEF">
      <w:pPr>
        <w:spacing w:line="360" w:lineRule="auto"/>
        <w:ind w:left="432"/>
        <w:rPr>
          <w:rFonts w:hint="eastAsia" w:ascii="宋体" w:hAnsi="宋体"/>
          <w:sz w:val="22"/>
          <w:highlight w:val="none"/>
        </w:rPr>
      </w:pPr>
    </w:p>
    <w:p w14:paraId="178DD978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项目</w:t>
      </w:r>
      <w:r>
        <w:rPr>
          <w:rFonts w:hint="eastAsia" w:ascii="宋体" w:hAnsi="宋体"/>
          <w:sz w:val="32"/>
          <w:szCs w:val="32"/>
          <w:highlight w:val="none"/>
          <w:lang w:val="en-US"/>
        </w:rPr>
        <w:t>采购清单</w:t>
      </w:r>
    </w:p>
    <w:p w14:paraId="1694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为规避重复建设、保障业务闭环落地，本项目基于现有互联网医院微信小程序开展新增功能开发，复用小程序现有患者端、医护端及后台管理系统，共享数据库并实现全流程业务协同。</w:t>
      </w:r>
    </w:p>
    <w:p w14:paraId="0022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建设内容</w:t>
      </w:r>
      <w:r>
        <w:rPr>
          <w:rFonts w:hint="eastAsia" w:ascii="Times New Roman" w:hAnsi="Times New Roman" w:eastAsia="宋体" w:cs="Times New Roman"/>
          <w:highlight w:val="none"/>
        </w:rPr>
        <w:t>如下：</w:t>
      </w:r>
    </w:p>
    <w:tbl>
      <w:tblPr>
        <w:tblStyle w:val="20"/>
        <w:tblW w:w="48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1"/>
        <w:gridCol w:w="6705"/>
      </w:tblGrid>
      <w:tr w14:paraId="6905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068FBB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903" w:type="pct"/>
            <w:vAlign w:val="center"/>
          </w:tcPr>
          <w:p w14:paraId="4E0AC506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功能</w:t>
            </w:r>
          </w:p>
        </w:tc>
        <w:tc>
          <w:tcPr>
            <w:tcW w:w="3735" w:type="pct"/>
            <w:vAlign w:val="center"/>
          </w:tcPr>
          <w:p w14:paraId="26B0DEB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功能描述</w:t>
            </w:r>
          </w:p>
        </w:tc>
      </w:tr>
      <w:tr w14:paraId="10C8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217328B2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903" w:type="pct"/>
            <w:vAlign w:val="center"/>
          </w:tcPr>
          <w:p w14:paraId="5A7081C2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体检相关功能</w:t>
            </w:r>
          </w:p>
        </w:tc>
        <w:tc>
          <w:tcPr>
            <w:tcW w:w="3735" w:type="pct"/>
            <w:vAlign w:val="center"/>
          </w:tcPr>
          <w:p w14:paraId="6106EA28">
            <w:pPr>
              <w:spacing w:line="360" w:lineRule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支持个检 / 团检套餐购买、预约及加减项，提供虚拟体检卡、AI 报告解读、健康医生咨询等服务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；与现有小程序共用数据库、业务协同。</w:t>
            </w:r>
          </w:p>
        </w:tc>
      </w:tr>
      <w:tr w14:paraId="62C0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0624E53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903" w:type="pct"/>
            <w:vAlign w:val="center"/>
          </w:tcPr>
          <w:p w14:paraId="20A4C061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全病程管理模块</w:t>
            </w:r>
          </w:p>
        </w:tc>
        <w:tc>
          <w:tcPr>
            <w:tcW w:w="3735" w:type="pct"/>
            <w:vAlign w:val="center"/>
          </w:tcPr>
          <w:p w14:paraId="1260DF16">
            <w:pPr>
              <w:spacing w:line="360" w:lineRule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打通院内外服务，为出院患者搭建健康档案系统，集成诊疗随访、健康计划制定、线上沟通等功能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与现有小程序共用数据库、业务协同。</w:t>
            </w:r>
          </w:p>
        </w:tc>
      </w:tr>
      <w:tr w14:paraId="710A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4CAFC4FC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903" w:type="pct"/>
            <w:vAlign w:val="center"/>
          </w:tcPr>
          <w:p w14:paraId="121A4AB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特医食品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功能</w:t>
            </w:r>
          </w:p>
        </w:tc>
        <w:tc>
          <w:tcPr>
            <w:tcW w:w="3735" w:type="pct"/>
            <w:vAlign w:val="center"/>
          </w:tcPr>
          <w:p w14:paraId="301C41EE"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患者完成营养风险筛查后，可查看营养评估信息，并发起相关问诊需求，由医生根据营养评估结果开具特医食品，在患者缴费完成后，可对接第三方配送，提供配送服务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与现有小程序共用数据库、业务协同。</w:t>
            </w:r>
          </w:p>
        </w:tc>
      </w:tr>
      <w:tr w14:paraId="2BE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A3E311C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903" w:type="pct"/>
            <w:vAlign w:val="center"/>
          </w:tcPr>
          <w:p w14:paraId="0923E677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线上心理量表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功能</w:t>
            </w:r>
          </w:p>
        </w:tc>
        <w:tc>
          <w:tcPr>
            <w:tcW w:w="3735" w:type="pct"/>
            <w:vAlign w:val="center"/>
          </w:tcPr>
          <w:p w14:paraId="281EA87A"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医生在线开具抑郁、焦虑等量表，患者线上完成测评后，系统自动生成报告，助力医生快速诊疗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与现有小程序共用数据库、业务协同。</w:t>
            </w:r>
          </w:p>
        </w:tc>
      </w:tr>
      <w:tr w14:paraId="6906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595D05D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903" w:type="pct"/>
            <w:vAlign w:val="center"/>
          </w:tcPr>
          <w:p w14:paraId="45C20797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中药茶包推广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功能</w:t>
            </w:r>
          </w:p>
        </w:tc>
        <w:tc>
          <w:tcPr>
            <w:tcW w:w="3735" w:type="pct"/>
            <w:vAlign w:val="center"/>
          </w:tcPr>
          <w:p w14:paraId="62ED73A4"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支持茶包介绍、处方开具（患者自助或医生问诊开具）、减免诊查费，对接第三方配送，提供配送服务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与现有小程序共用数据库、业务协同。</w:t>
            </w:r>
          </w:p>
        </w:tc>
      </w:tr>
      <w:tr w14:paraId="31E7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5252AD99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</w:t>
            </w:r>
          </w:p>
        </w:tc>
        <w:tc>
          <w:tcPr>
            <w:tcW w:w="903" w:type="pct"/>
            <w:vAlign w:val="center"/>
          </w:tcPr>
          <w:p w14:paraId="3ECF19D6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线上康复随访包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功能</w:t>
            </w:r>
          </w:p>
        </w:tc>
        <w:tc>
          <w:tcPr>
            <w:tcW w:w="3735" w:type="pct"/>
            <w:vAlign w:val="center"/>
          </w:tcPr>
          <w:p w14:paraId="357771F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介绍康复项目及适用人群，支持医生 / 团队评估指导、制定计划；提供康复师图文 / 视频指导（限定时长），支持按特需医疗单次或包次收费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与现有小程序共用数据库、业务协同。</w:t>
            </w:r>
          </w:p>
        </w:tc>
      </w:tr>
      <w:tr w14:paraId="248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2B1C337F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7</w:t>
            </w:r>
          </w:p>
        </w:tc>
        <w:tc>
          <w:tcPr>
            <w:tcW w:w="903" w:type="pct"/>
            <w:vAlign w:val="center"/>
          </w:tcPr>
          <w:p w14:paraId="26C5105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客服团队建设</w:t>
            </w:r>
          </w:p>
        </w:tc>
        <w:tc>
          <w:tcPr>
            <w:tcW w:w="3735" w:type="pct"/>
            <w:vAlign w:val="center"/>
          </w:tcPr>
          <w:p w14:paraId="4428A821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新增 3 名专职客服，聚焦用户咨询响应、问题跟踪及解决进度，从而增强患者信任度。</w:t>
            </w:r>
          </w:p>
        </w:tc>
      </w:tr>
      <w:tr w14:paraId="376D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30AF0DEA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8</w:t>
            </w:r>
          </w:p>
        </w:tc>
        <w:tc>
          <w:tcPr>
            <w:tcW w:w="903" w:type="pct"/>
            <w:vAlign w:val="center"/>
          </w:tcPr>
          <w:p w14:paraId="7FE005C4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视讯服务</w:t>
            </w:r>
          </w:p>
        </w:tc>
        <w:tc>
          <w:tcPr>
            <w:tcW w:w="3735" w:type="pct"/>
            <w:vAlign w:val="center"/>
          </w:tcPr>
          <w:p w14:paraId="022237EA"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(1)音视频服务支持多种协议，媒体服务器可与多种客户端配合使用，具备流的接收和分发能力，支持音视频协议转换，可进行音视频录制回放，能在多个平台运行。</w:t>
            </w:r>
          </w:p>
          <w:p w14:paraId="25735D86"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(2)支持微信小程序、支付宝小程序、粤智助、Web 等应用场景，适配多种客户端的音视频服务，可与互联网医院即时通信 IM 协同使用，扩展更多业务场景。</w:t>
            </w:r>
          </w:p>
        </w:tc>
      </w:tr>
    </w:tbl>
    <w:p w14:paraId="7B9E5FE1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  <w:highlight w:val="none"/>
        </w:rPr>
      </w:pPr>
    </w:p>
    <w:p w14:paraId="0F7BA18D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  <w:highlight w:val="none"/>
        </w:rPr>
      </w:pPr>
    </w:p>
    <w:p w14:paraId="01401EC5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  <w:highlight w:val="none"/>
        </w:rPr>
      </w:pPr>
    </w:p>
    <w:p w14:paraId="53666EA6"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  <w:highlight w:val="none"/>
        </w:rPr>
      </w:pPr>
    </w:p>
    <w:p w14:paraId="64A9740B">
      <w:pPr>
        <w:rPr>
          <w:sz w:val="32"/>
          <w:szCs w:val="32"/>
          <w:highlight w:val="none"/>
        </w:rPr>
      </w:pPr>
      <w:bookmarkStart w:id="0" w:name="_6.1.2、容器服务器"/>
      <w:bookmarkEnd w:id="0"/>
      <w:bookmarkStart w:id="1" w:name="_6.1.1、大数据服务器"/>
      <w:bookmarkEnd w:id="1"/>
    </w:p>
    <w:p w14:paraId="28A03941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sz w:val="32"/>
          <w:szCs w:val="32"/>
          <w:highlight w:val="none"/>
          <w:lang w:val="en-US"/>
        </w:rPr>
        <w:t>项目工期</w:t>
      </w:r>
    </w:p>
    <w:p w14:paraId="7E5F61B6"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  <w:highlight w:val="none"/>
        </w:rPr>
      </w:pPr>
      <w:bookmarkStart w:id="2" w:name="_Hlk213096689"/>
      <w:r>
        <w:rPr>
          <w:rFonts w:hint="eastAsia" w:ascii="宋体" w:hAnsi="宋体" w:cs="宋体"/>
          <w:szCs w:val="21"/>
          <w:highlight w:val="none"/>
        </w:rPr>
        <w:t>自合同签订日起，须在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  <w:highlight w:val="none"/>
        </w:rPr>
        <w:t>个工作日内对《用户需求说明书》进行补充、确认或提出意见。</w:t>
      </w:r>
    </w:p>
    <w:p w14:paraId="2FA6F75D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highlight w:val="none"/>
          <w:u w:val="single"/>
        </w:rPr>
        <w:t>0</w:t>
      </w:r>
      <w:r>
        <w:rPr>
          <w:rFonts w:hint="eastAsia" w:ascii="宋体" w:hAnsi="宋体" w:cs="宋体"/>
          <w:szCs w:val="21"/>
          <w:highlight w:val="none"/>
        </w:rPr>
        <w:t>个工作日内确认《需求规格说明书》。</w:t>
      </w:r>
    </w:p>
    <w:p w14:paraId="7F2205A5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须在《需求规格说明书》确认后的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szCs w:val="21"/>
          <w:highlight w:val="none"/>
          <w:u w:val="single"/>
        </w:rPr>
        <w:t>0</w:t>
      </w:r>
      <w:r>
        <w:rPr>
          <w:rFonts w:hint="eastAsia" w:ascii="宋体" w:hAnsi="宋体" w:cs="宋体"/>
          <w:szCs w:val="21"/>
          <w:highlight w:val="none"/>
        </w:rPr>
        <w:t>个工作日内完成实施导入和保证系统正常工作。</w:t>
      </w:r>
    </w:p>
    <w:p w14:paraId="1E47FDD9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完成软件实施，并根据院方提出的新需求完成修改后，系统运行</w:t>
      </w:r>
      <w:r>
        <w:rPr>
          <w:rFonts w:hint="eastAsia" w:ascii="宋体" w:hAnsi="宋体" w:cs="宋体"/>
          <w:szCs w:val="21"/>
          <w:highlight w:val="none"/>
          <w:u w:val="single"/>
        </w:rPr>
        <w:t>1</w:t>
      </w:r>
      <w:r>
        <w:rPr>
          <w:rFonts w:hint="eastAsia" w:ascii="宋体" w:hAnsi="宋体" w:cs="宋体"/>
          <w:szCs w:val="21"/>
          <w:highlight w:val="none"/>
        </w:rPr>
        <w:t>个月以上无软件故障出现，则向院方申请验收。</w:t>
      </w:r>
    </w:p>
    <w:bookmarkEnd w:id="2"/>
    <w:p w14:paraId="14291242">
      <w:pPr>
        <w:rPr>
          <w:highlight w:val="none"/>
          <w:lang w:val="zh-CN"/>
        </w:rPr>
      </w:pPr>
    </w:p>
    <w:p w14:paraId="3716D9BE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sz w:val="32"/>
          <w:szCs w:val="32"/>
          <w:highlight w:val="none"/>
          <w:lang w:val="en-US"/>
        </w:rPr>
        <w:t>实施服务要求</w:t>
      </w:r>
    </w:p>
    <w:p w14:paraId="137E172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highlight w:val="none"/>
        </w:rPr>
      </w:pPr>
      <w:r>
        <w:rPr>
          <w:rFonts w:hint="eastAsia"/>
          <w:highlight w:val="none"/>
        </w:rPr>
        <w:t>项目实为现场实施，工作时间与院方工作时间一致，并且提供7*24小时响应服务。</w:t>
      </w:r>
    </w:p>
    <w:p w14:paraId="42DAAEB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3B3C1E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43D7C5E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项目承建商需根据院方的详细需求，提交项目系统的安装、调试及培训实施方案，方案得到院方确认后实施，保证系统按时、正常地投入运行。</w:t>
      </w:r>
    </w:p>
    <w:p w14:paraId="55982BD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592B435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验收由承建商给出具体的验收计划、测试的内容和方法，经院方审核通过后，方可进行验收测试。</w:t>
      </w:r>
    </w:p>
    <w:p w14:paraId="592586C5">
      <w:pPr>
        <w:rPr>
          <w:highlight w:val="none"/>
        </w:rPr>
      </w:pPr>
    </w:p>
    <w:p w14:paraId="582413F7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sz w:val="32"/>
          <w:szCs w:val="32"/>
          <w:highlight w:val="none"/>
          <w:lang w:val="en-US"/>
        </w:rPr>
        <w:t>后续维护服务</w:t>
      </w:r>
    </w:p>
    <w:p w14:paraId="78D94C7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szCs w:val="21"/>
          <w:highlight w:val="none"/>
        </w:rPr>
        <w:t>个月。在维护期内，承建商提供技术支持和指导，以及功能的局部改进完善、故障情况下的现场问题解决。</w:t>
      </w:r>
    </w:p>
    <w:p w14:paraId="0DAAB1B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维保期内承建商为院方提供专职技术人员进行维护服务，工作时间与院方工作时间一致，并且提供7*24小时响应服务。</w:t>
      </w:r>
    </w:p>
    <w:p w14:paraId="7ED7EC6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54853FE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bookmarkStart w:id="3" w:name="_Hlk213095073"/>
      <w:r>
        <w:rPr>
          <w:rFonts w:hint="eastAsia" w:ascii="宋体" w:hAnsi="宋体" w:cs="宋体"/>
          <w:szCs w:val="21"/>
          <w:highlight w:val="none"/>
        </w:rPr>
        <w:t>超过维护期的，双方另行协商签订维护合同，其中软件部分年维护费不超过合同软件部分金额的</w:t>
      </w:r>
      <w:r>
        <w:rPr>
          <w:rFonts w:hint="eastAsia" w:ascii="宋体" w:hAnsi="宋体" w:cs="宋体"/>
          <w:szCs w:val="21"/>
          <w:highlight w:val="none"/>
          <w:u w:val="single"/>
        </w:rPr>
        <w:t>8%</w:t>
      </w:r>
      <w:bookmarkEnd w:id="3"/>
      <w:r>
        <w:rPr>
          <w:rFonts w:hint="eastAsia" w:ascii="宋体" w:hAnsi="宋体" w:cs="宋体"/>
          <w:szCs w:val="21"/>
          <w:highlight w:val="none"/>
        </w:rPr>
        <w:t>。</w:t>
      </w:r>
    </w:p>
    <w:p w14:paraId="4B8053FB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sz w:val="32"/>
          <w:szCs w:val="32"/>
          <w:highlight w:val="none"/>
          <w:lang w:val="en-US"/>
        </w:rPr>
        <w:t>合同款支付方式</w:t>
      </w:r>
    </w:p>
    <w:p w14:paraId="2037ECD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bookmarkStart w:id="4" w:name="_Hlk213096782"/>
      <w:r>
        <w:rPr>
          <w:rFonts w:hint="eastAsia" w:ascii="宋体" w:hAnsi="宋体" w:cs="宋体"/>
          <w:szCs w:val="21"/>
          <w:highlight w:val="none"/>
        </w:rPr>
        <w:t>(一)合同签订后，在收到承建商开具相应金额正式发票后，支付合同总金额的</w:t>
      </w:r>
      <w:r>
        <w:rPr>
          <w:rFonts w:hint="eastAsia" w:ascii="宋体" w:hAnsi="宋体" w:cs="宋体"/>
          <w:szCs w:val="21"/>
          <w:highlight w:val="none"/>
          <w:u w:val="single"/>
        </w:rPr>
        <w:t>30%</w:t>
      </w:r>
      <w:r>
        <w:rPr>
          <w:rFonts w:hint="eastAsia" w:ascii="宋体" w:hAnsi="宋体" w:cs="宋体"/>
          <w:szCs w:val="21"/>
          <w:highlight w:val="none"/>
        </w:rPr>
        <w:t>。</w:t>
      </w:r>
    </w:p>
    <w:p w14:paraId="6B5BF53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(二)项目验收通过后，在收到承建商开具相应金额正式发票以及《售后服务履约承诺函》后，支付合同总金额的</w:t>
      </w:r>
      <w:r>
        <w:rPr>
          <w:rFonts w:hint="eastAsia" w:ascii="宋体" w:hAnsi="宋体" w:cs="宋体"/>
          <w:szCs w:val="21"/>
          <w:highlight w:val="none"/>
          <w:u w:val="single"/>
        </w:rPr>
        <w:t>70%</w:t>
      </w:r>
      <w:r>
        <w:rPr>
          <w:rFonts w:hint="eastAsia" w:ascii="宋体" w:hAnsi="宋体" w:cs="宋体"/>
          <w:szCs w:val="21"/>
          <w:highlight w:val="none"/>
        </w:rPr>
        <w:t>。</w:t>
      </w:r>
    </w:p>
    <w:bookmarkEnd w:id="4"/>
    <w:p w14:paraId="608B45A4">
      <w:pPr>
        <w:spacing w:line="360" w:lineRule="auto"/>
        <w:ind w:firstLine="904" w:firstLineChars="300"/>
        <w:rPr>
          <w:rFonts w:hint="eastAsia" w:ascii="宋体" w:hAnsi="宋体" w:cs="宋体"/>
          <w:b/>
          <w:color w:val="FF0000"/>
          <w:sz w:val="30"/>
          <w:szCs w:val="30"/>
          <w:highlight w:val="none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449A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4201FF12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52D5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1613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303EB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17836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9691F"/>
    <w:rsid w:val="00FA0574"/>
    <w:rsid w:val="00FB68D3"/>
    <w:rsid w:val="00FC4B75"/>
    <w:rsid w:val="00FD7263"/>
    <w:rsid w:val="00FE7554"/>
    <w:rsid w:val="00FF17FE"/>
    <w:rsid w:val="0187404E"/>
    <w:rsid w:val="07164B68"/>
    <w:rsid w:val="0C7F74B5"/>
    <w:rsid w:val="10085F0D"/>
    <w:rsid w:val="114145F4"/>
    <w:rsid w:val="11B76459"/>
    <w:rsid w:val="1C235A80"/>
    <w:rsid w:val="1E73464E"/>
    <w:rsid w:val="21A13E53"/>
    <w:rsid w:val="21DD7995"/>
    <w:rsid w:val="239F0923"/>
    <w:rsid w:val="2891635B"/>
    <w:rsid w:val="28E36947"/>
    <w:rsid w:val="28EB582E"/>
    <w:rsid w:val="29A15698"/>
    <w:rsid w:val="30A103A7"/>
    <w:rsid w:val="36250729"/>
    <w:rsid w:val="363E6979"/>
    <w:rsid w:val="3D0C1731"/>
    <w:rsid w:val="3D2832C7"/>
    <w:rsid w:val="42002A81"/>
    <w:rsid w:val="42200080"/>
    <w:rsid w:val="488C513A"/>
    <w:rsid w:val="48BA673F"/>
    <w:rsid w:val="4B395682"/>
    <w:rsid w:val="4B5317A1"/>
    <w:rsid w:val="501F3FF2"/>
    <w:rsid w:val="519D3E2C"/>
    <w:rsid w:val="55621614"/>
    <w:rsid w:val="564E3947"/>
    <w:rsid w:val="5B8C1F9E"/>
    <w:rsid w:val="5E0D2E64"/>
    <w:rsid w:val="5FE15948"/>
    <w:rsid w:val="615C5D3F"/>
    <w:rsid w:val="686C6D31"/>
    <w:rsid w:val="69AD5607"/>
    <w:rsid w:val="69B65B1F"/>
    <w:rsid w:val="6C7C4D28"/>
    <w:rsid w:val="6D295051"/>
    <w:rsid w:val="6D81543E"/>
    <w:rsid w:val="6E285C33"/>
    <w:rsid w:val="6F345978"/>
    <w:rsid w:val="795F6197"/>
    <w:rsid w:val="7A841828"/>
    <w:rsid w:val="7AF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12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7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8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3"/>
    <w:qFormat/>
    <w:uiPriority w:val="0"/>
    <w:rPr>
      <w:szCs w:val="24"/>
    </w:rPr>
  </w:style>
  <w:style w:type="character" w:customStyle="1" w:styleId="37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9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表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1856</Words>
  <Characters>1878</Characters>
  <Lines>12</Lines>
  <Paragraphs>3</Paragraphs>
  <TotalTime>4</TotalTime>
  <ScaleCrop>false</ScaleCrop>
  <LinksUpToDate>false</LinksUpToDate>
  <CharactersWithSpaces>1890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赵杰</cp:lastModifiedBy>
  <dcterms:modified xsi:type="dcterms:W3CDTF">2026-02-12T03:26:37Z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BEDE13AAF6564424A78C389D12102AC5_13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