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DA0B0"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color w:val="000000" w:themeColor="text1"/>
          <w:sz w:val="44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30"/>
          <w:highlight w:val="none"/>
          <w14:textFill>
            <w14:solidFill>
              <w14:schemeClr w14:val="tx1"/>
            </w14:solidFill>
          </w14:textFill>
        </w:rPr>
        <w:t>互联网医院能力提升及基础保障项目需求</w:t>
      </w:r>
    </w:p>
    <w:p w14:paraId="7F9B3C11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项目名称</w:t>
      </w:r>
    </w:p>
    <w:p w14:paraId="1C99AF17">
      <w:pPr>
        <w:spacing w:line="360" w:lineRule="auto"/>
        <w:ind w:left="432"/>
        <w:rPr>
          <w:rFonts w:hint="eastAsia" w:ascii="宋体" w:hAnsi="宋体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互联网医院能力提升及基础保障项目</w:t>
      </w:r>
    </w:p>
    <w:p w14:paraId="788A6CEF">
      <w:pPr>
        <w:spacing w:line="360" w:lineRule="auto"/>
        <w:ind w:left="432"/>
        <w:rPr>
          <w:rFonts w:hint="eastAsia" w:ascii="宋体" w:hAnsi="宋体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</w:pPr>
    </w:p>
    <w:p w14:paraId="178DD978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采购清单</w:t>
      </w:r>
    </w:p>
    <w:p w14:paraId="16946C7E">
      <w:pPr>
        <w:tabs>
          <w:tab w:val="left" w:pos="780"/>
        </w:tabs>
        <w:spacing w:before="156" w:beforeLines="50" w:line="360" w:lineRule="auto"/>
        <w:ind w:firstLine="480" w:firstLineChars="200"/>
        <w:outlineLvl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为规避重复建设、保障业务闭环落地，本项目基于现有广东省人民医院互</w:t>
      </w:r>
      <w:bookmarkStart w:id="5" w:name="_GoBack"/>
      <w:bookmarkEnd w:id="5"/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网医院微信小程序开展新增功能开发，复用小程序现有患者端、医护端及后台管理系统，共享数据库并实现全流程业务协同，针对互联网医院已有的相关模块，若需配套改造，供应商不得拒绝院方合理要求，需积极配合完成改造工作，产生的相关费用已包含在本次项目报价中。</w:t>
      </w:r>
    </w:p>
    <w:p w14:paraId="0022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建设内容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如下：</w:t>
      </w:r>
    </w:p>
    <w:tbl>
      <w:tblPr>
        <w:tblStyle w:val="20"/>
        <w:tblW w:w="48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21"/>
        <w:gridCol w:w="6705"/>
      </w:tblGrid>
      <w:tr w14:paraId="6905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6068FBB1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3" w:type="pct"/>
            <w:vAlign w:val="center"/>
          </w:tcPr>
          <w:p w14:paraId="4E0AC506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3735" w:type="pct"/>
            <w:vAlign w:val="center"/>
          </w:tcPr>
          <w:p w14:paraId="26B0DEB1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功能描述</w:t>
            </w:r>
          </w:p>
        </w:tc>
      </w:tr>
      <w:tr w14:paraId="10C8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217328B2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3" w:type="pct"/>
            <w:vAlign w:val="center"/>
          </w:tcPr>
          <w:p w14:paraId="5A7081C2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体检相关功能</w:t>
            </w:r>
          </w:p>
        </w:tc>
        <w:tc>
          <w:tcPr>
            <w:tcW w:w="3735" w:type="pct"/>
            <w:vAlign w:val="center"/>
          </w:tcPr>
          <w:p w14:paraId="3BD91868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(1)支持个检 / 团检套餐购买、预约及加减项，提供虚拟体检卡、AI 报告解读、健康医生咨询等服务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106EA28">
            <w:pPr>
              <w:spacing w:line="360" w:lineRule="auto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开发的体检功能与现有小程序共用数据库、业务协同。</w:t>
            </w:r>
          </w:p>
        </w:tc>
      </w:tr>
      <w:tr w14:paraId="62C0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0624E531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3" w:type="pct"/>
            <w:vAlign w:val="center"/>
          </w:tcPr>
          <w:p w14:paraId="20A4C061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全病程管理模块</w:t>
            </w:r>
          </w:p>
        </w:tc>
        <w:tc>
          <w:tcPr>
            <w:tcW w:w="3735" w:type="pct"/>
            <w:vAlign w:val="center"/>
          </w:tcPr>
          <w:p w14:paraId="1260DF16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(1)打通院内外服务，为出院患者搭建健康档案系统，集成诊疗随访、健康计划制定、线上沟通等功能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B7D8699">
            <w:pPr>
              <w:pStyle w:val="2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开发的全病程管理模块与现有小程序共用数据库、业务协同。</w:t>
            </w:r>
          </w:p>
        </w:tc>
      </w:tr>
      <w:tr w14:paraId="710A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4CAFC4FC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3" w:type="pct"/>
            <w:vAlign w:val="center"/>
          </w:tcPr>
          <w:p w14:paraId="121A4AB8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特医食品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3735" w:type="pct"/>
            <w:vAlign w:val="center"/>
          </w:tcPr>
          <w:p w14:paraId="301C41EE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(1)患者完成营养风险筛查后，可查看营养评估信息，并发起相关问诊需求，由医生根据营养评估结果开具特医食品，在患者缴费完成后，可对接第三方配送，提供配送服务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214E536"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开发的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特医食品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功能与现有小程序共用数据库、业务协同。</w:t>
            </w:r>
          </w:p>
        </w:tc>
      </w:tr>
      <w:tr w14:paraId="2BEF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6A3E311C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3" w:type="pct"/>
            <w:vAlign w:val="center"/>
          </w:tcPr>
          <w:p w14:paraId="0923E677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线上心理量表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3735" w:type="pct"/>
            <w:vAlign w:val="center"/>
          </w:tcPr>
          <w:p w14:paraId="281EA87A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(1)医生在线开具抑郁、焦虑等量表，患者线上完成测评后，系统自动生成报告，助力医生快速诊疗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422F878"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开发的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线上心理量表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功能与现有小程序共用数据库、业务协同。</w:t>
            </w:r>
          </w:p>
        </w:tc>
      </w:tr>
      <w:tr w14:paraId="6906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6595D05D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3" w:type="pct"/>
            <w:vAlign w:val="center"/>
          </w:tcPr>
          <w:p w14:paraId="45C20797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中药茶包推广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3735" w:type="pct"/>
            <w:vAlign w:val="center"/>
          </w:tcPr>
          <w:p w14:paraId="62ED73A4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(1)支持茶包介绍、处方开具（患者自助或医生问诊开具）、减免诊查费，对接第三方配送，提供配送服务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CDB4962"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开发的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中药茶包推广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功能与现有小程序共用数据库、业务协同。</w:t>
            </w:r>
          </w:p>
        </w:tc>
      </w:tr>
      <w:tr w14:paraId="31E7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5252AD99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3" w:type="pct"/>
            <w:vAlign w:val="center"/>
          </w:tcPr>
          <w:p w14:paraId="3ECF19D6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线上康复随访包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3735" w:type="pct"/>
            <w:vAlign w:val="center"/>
          </w:tcPr>
          <w:p w14:paraId="34F93258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(1)介绍康复项目及适用人群，支持医生 / 团队评估指导、制定计划；提供康复师图文 / 视频指导（限定时长），支持按特需医疗单次或包次收费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57771F8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开发的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线上康复随访包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功能与现有小程序共用数据库、业务协同。</w:t>
            </w:r>
          </w:p>
        </w:tc>
      </w:tr>
      <w:tr w14:paraId="248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2B1C337F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3" w:type="pct"/>
            <w:vAlign w:val="center"/>
          </w:tcPr>
          <w:p w14:paraId="26C51058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客服团队建设</w:t>
            </w:r>
          </w:p>
        </w:tc>
        <w:tc>
          <w:tcPr>
            <w:tcW w:w="3735" w:type="pct"/>
            <w:vAlign w:val="center"/>
          </w:tcPr>
          <w:p w14:paraId="4428A821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3 名专职客服，聚焦用户咨询响应、问题跟踪及解决进度，从而增强患者信任度。</w:t>
            </w:r>
          </w:p>
        </w:tc>
      </w:tr>
      <w:tr w14:paraId="376D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1" w:type="pct"/>
            <w:vAlign w:val="center"/>
          </w:tcPr>
          <w:p w14:paraId="30AF0DEA">
            <w:pPr>
              <w:tabs>
                <w:tab w:val="left" w:pos="780"/>
              </w:tabs>
              <w:spacing w:before="156" w:beforeLines="50" w:line="360" w:lineRule="auto"/>
              <w:jc w:val="center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3" w:type="pct"/>
            <w:vAlign w:val="center"/>
          </w:tcPr>
          <w:p w14:paraId="7FE005C4">
            <w:pPr>
              <w:tabs>
                <w:tab w:val="left" w:pos="780"/>
              </w:tabs>
              <w:spacing w:before="156" w:beforeLines="50" w:line="360" w:lineRule="auto"/>
              <w:outlineLvl w:val="0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视讯服务</w:t>
            </w:r>
          </w:p>
        </w:tc>
        <w:tc>
          <w:tcPr>
            <w:tcW w:w="3735" w:type="pct"/>
            <w:vAlign w:val="center"/>
          </w:tcPr>
          <w:p w14:paraId="12F65FE6">
            <w:pPr>
              <w:spacing w:line="360" w:lineRule="auto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包含以下内容：</w:t>
            </w:r>
          </w:p>
          <w:p w14:paraId="022237EA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(1)音视频服务支持多种协议，媒体服务器可与多种客户端配合使用，具备流的接收和分发能力，支持音视频协议转换，可进行音视频录制回放，能在多个平台运行。</w:t>
            </w:r>
          </w:p>
          <w:p w14:paraId="25735D86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(2)支持微信小程序、支付宝小程序、粤智助、Web 等应用场景，适配多种客户端的音视频服务，可与互联网医院即时通信 IM 协同使用，扩展更多业务场景。</w:t>
            </w:r>
          </w:p>
          <w:p w14:paraId="3DED688A">
            <w:pPr>
              <w:spacing w:line="360" w:lineRule="auto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(3)本项目报价已包含首年服务费用，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后续若需对接其他不同第三方视讯服务，供应商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无条件配合完成对接工作。</w:t>
            </w:r>
          </w:p>
        </w:tc>
      </w:tr>
    </w:tbl>
    <w:p w14:paraId="7B9E5FE1"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color w:val="000000" w:themeColor="text1"/>
          <w:kern w:val="44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0F7BA18D"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color w:val="000000" w:themeColor="text1"/>
          <w:kern w:val="44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01401EC5">
      <w:pPr>
        <w:pStyle w:val="50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color w:val="000000" w:themeColor="text1"/>
          <w:kern w:val="44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53666EA6">
      <w:pPr>
        <w:pStyle w:val="50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color w:val="000000" w:themeColor="text1"/>
          <w:kern w:val="44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64A9740B">
      <w:pP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6.1.2、容器服务器"/>
      <w:bookmarkEnd w:id="0"/>
      <w:bookmarkStart w:id="1" w:name="_6.1.1、大数据服务器"/>
      <w:bookmarkEnd w:id="1"/>
    </w:p>
    <w:p w14:paraId="28A03941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项目工期</w:t>
      </w:r>
    </w:p>
    <w:p w14:paraId="7E5F61B6">
      <w:pPr>
        <w:numPr>
          <w:ilvl w:val="0"/>
          <w:numId w:val="4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2" w:name="_Hlk213096689"/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自合同签订日起，须在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个工作日内对《用户需求说明书》进行补充、确认或提出意见。</w:t>
      </w:r>
    </w:p>
    <w:p w14:paraId="2FA6F75D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个工作日内确认《需求规格说明书》。</w:t>
      </w:r>
    </w:p>
    <w:p w14:paraId="7F2205A5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须在《需求规格说明书》确认后的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0个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自然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日内完成实施导入和保证系统正常工作。</w:t>
      </w:r>
    </w:p>
    <w:p w14:paraId="1E47FDD9">
      <w:pPr>
        <w:numPr>
          <w:ilvl w:val="0"/>
          <w:numId w:val="4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完成软件实施，并根据院方提出的新需求完成修改后，系统运行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个月以上无软件故障出现，则向院方申请验收。</w:t>
      </w:r>
    </w:p>
    <w:bookmarkEnd w:id="2"/>
    <w:p w14:paraId="14291242">
      <w:pP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716D9BE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实施服务要求</w:t>
      </w:r>
    </w:p>
    <w:p w14:paraId="137E1722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项目实为现场实施，工作时间与院方工作时间一致，并且提供7*24小时响应服务。</w:t>
      </w:r>
    </w:p>
    <w:p w14:paraId="42DAAEB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 w14:paraId="3B3C1EF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43D7C5ED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项目承建商需根据院方的详细需求，提交项目系统的安装、调试及培训实施方案，方案得到院方确认后实施，保证系统按时、正常地投入运行。</w:t>
      </w:r>
    </w:p>
    <w:p w14:paraId="55982BD0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592B435A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验收由承建商给出具体的验收计划、测试的内容和方法，经院方审核通过后，方可进行验收测试。</w:t>
      </w:r>
    </w:p>
    <w:p w14:paraId="592586C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82413F7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后续维护服务</w:t>
      </w:r>
    </w:p>
    <w:p w14:paraId="78D94C72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本项目软件维护期从软件验收合格之日算起，期限为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个月。在维护期内，承建商提供技术支持和指导，以及功能的局部改进完善、故障情况下的现场问题解决。</w:t>
      </w:r>
    </w:p>
    <w:p w14:paraId="0DAAB1BC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维保期内承建商为院方提供专职技术人员进行维护服务，工作时间与院方工作时间一致，并且提供7*24小时响应服务。</w:t>
      </w:r>
    </w:p>
    <w:p w14:paraId="7ED7EC65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54853FE1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3" w:name="_Hlk213095073"/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超过维护期的，双方另行协商签订维护合同，其中软件部分年维护费不超过合同软件部分金额的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5%</w:t>
      </w:r>
      <w:bookmarkEnd w:id="3"/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8053FB">
      <w:pPr>
        <w:pStyle w:val="3"/>
        <w:numPr>
          <w:ilvl w:val="0"/>
          <w:numId w:val="3"/>
        </w:numPr>
        <w:spacing w:before="0" w:after="0"/>
        <w:rPr>
          <w:rFonts w:hint="eastAsia" w:ascii="宋体" w:hAnsi="宋体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合同款支付方式</w:t>
      </w:r>
    </w:p>
    <w:p w14:paraId="2037ECDC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4" w:name="_Hlk213096782"/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(一)合同签订后，在收到承建商开具相应金额正式发票后，支付合同总金额的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10%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B5BF53C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(二)项目验收通过后，在收到承建商开具相应金额正式发票以及《售后服务履约承诺函》后，支付合同总金额的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bookmarkEnd w:id="4"/>
    <w:p w14:paraId="608B45A4">
      <w:pPr>
        <w:spacing w:line="360" w:lineRule="auto"/>
        <w:ind w:firstLine="904" w:firstLineChars="300"/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7449A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4201FF12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9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2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8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7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2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52D5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1613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303EB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63B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17836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9691F"/>
    <w:rsid w:val="00FA0574"/>
    <w:rsid w:val="00FB68D3"/>
    <w:rsid w:val="00FC4B75"/>
    <w:rsid w:val="00FD7263"/>
    <w:rsid w:val="00FE7554"/>
    <w:rsid w:val="00FF17FE"/>
    <w:rsid w:val="0187404E"/>
    <w:rsid w:val="07164B68"/>
    <w:rsid w:val="0C7F74B5"/>
    <w:rsid w:val="10085F0D"/>
    <w:rsid w:val="114145F4"/>
    <w:rsid w:val="11B76459"/>
    <w:rsid w:val="1AFD02D3"/>
    <w:rsid w:val="1C235A80"/>
    <w:rsid w:val="1E150C8E"/>
    <w:rsid w:val="1E73464E"/>
    <w:rsid w:val="21A13E53"/>
    <w:rsid w:val="21DD7995"/>
    <w:rsid w:val="239F0923"/>
    <w:rsid w:val="2891635B"/>
    <w:rsid w:val="28E36947"/>
    <w:rsid w:val="28EB582E"/>
    <w:rsid w:val="29A15698"/>
    <w:rsid w:val="30A103A7"/>
    <w:rsid w:val="31651323"/>
    <w:rsid w:val="36250729"/>
    <w:rsid w:val="363E6979"/>
    <w:rsid w:val="37257C04"/>
    <w:rsid w:val="382A251E"/>
    <w:rsid w:val="3D0C1731"/>
    <w:rsid w:val="3D2832C7"/>
    <w:rsid w:val="42002A81"/>
    <w:rsid w:val="42200080"/>
    <w:rsid w:val="473368A1"/>
    <w:rsid w:val="488C513A"/>
    <w:rsid w:val="48BA673F"/>
    <w:rsid w:val="4B395682"/>
    <w:rsid w:val="4B5317A1"/>
    <w:rsid w:val="4DBD6CA7"/>
    <w:rsid w:val="519D3E2C"/>
    <w:rsid w:val="5371089E"/>
    <w:rsid w:val="55621614"/>
    <w:rsid w:val="564E3947"/>
    <w:rsid w:val="59936587"/>
    <w:rsid w:val="5B8C1F9E"/>
    <w:rsid w:val="5E0D2E64"/>
    <w:rsid w:val="5FE15948"/>
    <w:rsid w:val="615C5D3F"/>
    <w:rsid w:val="66651756"/>
    <w:rsid w:val="68492384"/>
    <w:rsid w:val="686C6D31"/>
    <w:rsid w:val="69AD5607"/>
    <w:rsid w:val="69B65B1F"/>
    <w:rsid w:val="6C7C4D28"/>
    <w:rsid w:val="6D295051"/>
    <w:rsid w:val="6D81543E"/>
    <w:rsid w:val="6E285C33"/>
    <w:rsid w:val="6E64041C"/>
    <w:rsid w:val="6F345978"/>
    <w:rsid w:val="7907149F"/>
    <w:rsid w:val="795F6197"/>
    <w:rsid w:val="7A841828"/>
    <w:rsid w:val="7AF4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5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6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9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0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1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12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3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4">
    <w:name w:val="Plain Text"/>
    <w:basedOn w:val="1"/>
    <w:link w:val="37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8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5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link w:val="3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字符"/>
    <w:link w:val="4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字符"/>
    <w:link w:val="5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字符"/>
    <w:link w:val="6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5 字符"/>
    <w:link w:val="7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6 字符"/>
    <w:link w:val="8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9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10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1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2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3"/>
    <w:qFormat/>
    <w:uiPriority w:val="0"/>
    <w:rPr>
      <w:szCs w:val="24"/>
    </w:rPr>
  </w:style>
  <w:style w:type="character" w:customStyle="1" w:styleId="37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8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39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0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1">
    <w:name w:val="已访问的超链接1"/>
    <w:qFormat/>
    <w:uiPriority w:val="0"/>
    <w:rPr>
      <w:color w:val="800080"/>
      <w:u w:val="single"/>
    </w:rPr>
  </w:style>
  <w:style w:type="character" w:customStyle="1" w:styleId="42">
    <w:name w:val="正文（首行缩进2字符） Char"/>
    <w:link w:val="43"/>
    <w:qFormat/>
    <w:uiPriority w:val="0"/>
    <w:rPr>
      <w:kern w:val="2"/>
      <w:sz w:val="24"/>
      <w:szCs w:val="24"/>
    </w:rPr>
  </w:style>
  <w:style w:type="paragraph" w:customStyle="1" w:styleId="43">
    <w:name w:val="正文（首行缩进2字符）"/>
    <w:basedOn w:val="1"/>
    <w:link w:val="42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4">
    <w:name w:val="段落 Char1"/>
    <w:link w:val="45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5">
    <w:name w:val="段落"/>
    <w:link w:val="44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6">
    <w:name w:val="正文（安华金和） Char"/>
    <w:link w:val="47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7">
    <w:name w:val="正文（安华金和）"/>
    <w:link w:val="46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8">
    <w:name w:val="页脚 字符"/>
    <w:qFormat/>
    <w:uiPriority w:val="99"/>
  </w:style>
  <w:style w:type="character" w:customStyle="1" w:styleId="49">
    <w:name w:val="列表段落 字符"/>
    <w:link w:val="50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0">
    <w:name w:val="List Paragraph"/>
    <w:basedOn w:val="1"/>
    <w:link w:val="49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1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2">
    <w:name w:val="标题 2（DBSec）"/>
    <w:basedOn w:val="4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4">
    <w:name w:val="_Style 27"/>
    <w:basedOn w:val="1"/>
    <w:next w:val="50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7">
    <w:name w:val="标题 4（DBSec）"/>
    <w:basedOn w:val="6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3（DBSec）"/>
    <w:basedOn w:val="5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1（DBSec）"/>
    <w:basedOn w:val="3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0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1">
    <w:name w:val="表格标注（安华金和）"/>
    <w:basedOn w:val="51"/>
    <w:next w:val="1"/>
    <w:qFormat/>
    <w:uiPriority w:val="0"/>
    <w:pPr>
      <w:numPr>
        <w:ilvl w:val="7"/>
      </w:numPr>
    </w:pPr>
  </w:style>
  <w:style w:type="paragraph" w:customStyle="1" w:styleId="62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3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4">
    <w:name w:val="批注文字 字符"/>
    <w:qFormat/>
    <w:uiPriority w:val="99"/>
    <w:rPr>
      <w:kern w:val="2"/>
      <w:sz w:val="21"/>
      <w:szCs w:val="24"/>
    </w:rPr>
  </w:style>
  <w:style w:type="character" w:customStyle="1" w:styleId="65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2076</Words>
  <Characters>2124</Characters>
  <Lines>12</Lines>
  <Paragraphs>3</Paragraphs>
  <TotalTime>2</TotalTime>
  <ScaleCrop>false</ScaleCrop>
  <LinksUpToDate>false</LinksUpToDate>
  <CharactersWithSpaces>2150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陈永辉</dc:creator>
  <cp:lastModifiedBy>赵杰</cp:lastModifiedBy>
  <dcterms:modified xsi:type="dcterms:W3CDTF">2026-03-23T07:06:41Z</dcterms:modified>
  <dc:title>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DF23C8A3B89249C2801D0EA76BA0AC1A_13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