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C47B1">
      <w:pPr>
        <w:jc w:val="center"/>
        <w:rPr>
          <w:rFonts w:ascii="Times New Roman" w:hAnsi="Times New Roman" w:eastAsiaTheme="majorEastAsia"/>
          <w:b/>
          <w:bCs/>
          <w:sz w:val="30"/>
          <w:szCs w:val="30"/>
        </w:rPr>
      </w:pPr>
      <w:bookmarkStart w:id="0" w:name="_GoBack"/>
      <w:bookmarkEnd w:id="0"/>
      <w:r>
        <w:rPr>
          <w:rFonts w:ascii="Times New Roman" w:hAnsi="Times New Roman" w:eastAsiaTheme="majorEastAsia"/>
          <w:b/>
          <w:bCs/>
          <w:sz w:val="30"/>
          <w:szCs w:val="30"/>
        </w:rPr>
        <w:t>招募特发性震颤患者</w:t>
      </w:r>
    </w:p>
    <w:p w14:paraId="045B1736">
      <w:pPr>
        <w:jc w:val="center"/>
        <w:rPr>
          <w:rFonts w:ascii="Times New Roman" w:hAnsi="Times New Roman" w:eastAsiaTheme="majorEastAsia"/>
          <w:b/>
          <w:sz w:val="30"/>
          <w:szCs w:val="30"/>
        </w:rPr>
      </w:pPr>
    </w:p>
    <w:p w14:paraId="45FC47B3">
      <w:pPr>
        <w:spacing w:line="360" w:lineRule="auto"/>
        <w:ind w:firstLine="420"/>
        <w:rPr>
          <w:rFonts w:ascii="宋体" w:hAnsi="宋体"/>
          <w:sz w:val="24"/>
          <w:szCs w:val="24"/>
        </w:rPr>
      </w:pPr>
      <w:r>
        <w:rPr>
          <w:rFonts w:ascii="宋体" w:hAnsi="宋体"/>
          <w:sz w:val="24"/>
          <w:szCs w:val="24"/>
        </w:rPr>
        <w:t>目前，我院正在进行</w:t>
      </w:r>
      <w:r>
        <w:rPr>
          <w:rFonts w:ascii="宋体" w:hAnsi="宋体"/>
          <w:color w:val="333333"/>
          <w:sz w:val="24"/>
          <w:szCs w:val="24"/>
          <w:shd w:val="clear" w:color="auto" w:fill="FFFFFF"/>
        </w:rPr>
        <w:t xml:space="preserve"> </w:t>
      </w:r>
      <w:r>
        <w:rPr>
          <w:rFonts w:hint="eastAsia" w:ascii="宋体" w:hAnsi="宋体"/>
          <w:sz w:val="24"/>
          <w:szCs w:val="24"/>
        </w:rPr>
        <w:t>“</w:t>
      </w:r>
      <w:r>
        <w:rPr>
          <w:rFonts w:hint="eastAsia" w:ascii="宋体" w:hAnsi="宋体" w:cs="Calibri"/>
          <w:sz w:val="24"/>
          <w:szCs w:val="24"/>
        </w:rPr>
        <w:t xml:space="preserve">一项在特发性震颤成人患者中评价 </w:t>
      </w:r>
      <w:r>
        <w:rPr>
          <w:rFonts w:ascii="Times New Roman" w:hAnsi="Times New Roman"/>
          <w:sz w:val="24"/>
          <w:szCs w:val="24"/>
        </w:rPr>
        <w:t>Ulixacaltamide</w:t>
      </w:r>
      <w:r>
        <w:rPr>
          <w:rFonts w:ascii="宋体" w:hAnsi="宋体" w:cs="Calibri"/>
          <w:sz w:val="24"/>
          <w:szCs w:val="24"/>
        </w:rPr>
        <w:t xml:space="preserve"> </w:t>
      </w:r>
      <w:r>
        <w:rPr>
          <w:rFonts w:hint="eastAsia" w:ascii="宋体" w:hAnsi="宋体" w:cs="Calibri"/>
          <w:sz w:val="24"/>
          <w:szCs w:val="24"/>
        </w:rPr>
        <w:t>有效性和安全性的随机、双盲、安慰剂对照和长期安全性</w:t>
      </w:r>
      <w:r>
        <w:rPr>
          <w:rFonts w:ascii="宋体" w:hAnsi="宋体" w:cs="Calibri"/>
          <w:sz w:val="24"/>
          <w:szCs w:val="24"/>
        </w:rPr>
        <w:t>III</w:t>
      </w:r>
      <w:r>
        <w:rPr>
          <w:rFonts w:hint="eastAsia" w:ascii="宋体" w:hAnsi="宋体" w:cs="Calibri"/>
          <w:sz w:val="24"/>
          <w:szCs w:val="24"/>
        </w:rPr>
        <w:t>期研究</w:t>
      </w:r>
      <w:r>
        <w:rPr>
          <w:rFonts w:hint="eastAsia" w:ascii="宋体" w:hAnsi="宋体"/>
          <w:sz w:val="24"/>
          <w:szCs w:val="24"/>
        </w:rPr>
        <w:t>”</w:t>
      </w:r>
      <w:r>
        <w:rPr>
          <w:rFonts w:ascii="宋体" w:hAnsi="宋体"/>
          <w:sz w:val="24"/>
          <w:szCs w:val="24"/>
        </w:rPr>
        <w:t xml:space="preserve">临床研究 </w:t>
      </w:r>
      <w:r>
        <w:rPr>
          <w:rFonts w:hint="eastAsia" w:ascii="宋体" w:hAnsi="宋体"/>
          <w:sz w:val="24"/>
          <w:szCs w:val="24"/>
        </w:rPr>
        <w:t>（</w:t>
      </w:r>
      <w:r>
        <w:rPr>
          <w:rFonts w:ascii="宋体" w:hAnsi="宋体"/>
          <w:sz w:val="24"/>
          <w:szCs w:val="24"/>
        </w:rPr>
        <w:t>研究编号</w:t>
      </w:r>
      <w:r>
        <w:rPr>
          <w:rFonts w:hint="eastAsia" w:ascii="宋体" w:hAnsi="宋体"/>
          <w:sz w:val="24"/>
          <w:szCs w:val="24"/>
        </w:rPr>
        <w:t>TX201-ET-301</w:t>
      </w:r>
      <w:r>
        <w:rPr>
          <w:rFonts w:ascii="宋体" w:hAnsi="宋体"/>
          <w:sz w:val="24"/>
          <w:szCs w:val="24"/>
        </w:rPr>
        <w:t>)。</w:t>
      </w:r>
    </w:p>
    <w:p w14:paraId="246D8C14">
      <w:pPr>
        <w:spacing w:line="360" w:lineRule="auto"/>
        <w:ind w:firstLine="420"/>
        <w:rPr>
          <w:rFonts w:ascii="宋体" w:hAnsi="宋体"/>
          <w:sz w:val="24"/>
          <w:szCs w:val="24"/>
        </w:rPr>
      </w:pPr>
      <w:r>
        <w:rPr>
          <w:rFonts w:hint="eastAsia" w:ascii="宋体" w:hAnsi="宋体"/>
          <w:sz w:val="24"/>
          <w:szCs w:val="24"/>
        </w:rPr>
        <w:t>本研究已获得本院伦理委员会和中国国家食品药品监督管理总局的批准。</w:t>
      </w:r>
    </w:p>
    <w:p w14:paraId="45FC47B4">
      <w:pPr>
        <w:pStyle w:val="18"/>
        <w:spacing w:line="276" w:lineRule="auto"/>
        <w:rPr>
          <w:rFonts w:ascii="Times New Roman" w:hAnsi="Times New Roman" w:cs="Times New Roman" w:eastAsiaTheme="majorEastAsia"/>
          <w:color w:val="auto"/>
          <w:kern w:val="2"/>
          <w:sz w:val="21"/>
          <w:szCs w:val="21"/>
        </w:rPr>
      </w:pPr>
    </w:p>
    <w:p w14:paraId="45FC47B5">
      <w:pPr>
        <w:pStyle w:val="18"/>
        <w:spacing w:line="276" w:lineRule="auto"/>
        <w:rPr>
          <w:rFonts w:ascii="Times New Roman" w:hAnsi="Times New Roman" w:cs="Times New Roman" w:eastAsiaTheme="majorEastAsia"/>
        </w:rPr>
      </w:pPr>
      <w:r>
        <w:rPr>
          <w:rFonts w:hint="eastAsia" w:ascii="Times New Roman" w:hAnsi="Times New Roman" w:cs="Times New Roman" w:eastAsiaTheme="majorEastAsia"/>
          <w:b/>
        </w:rPr>
        <w:t>主要招募条件：</w:t>
      </w:r>
    </w:p>
    <w:p w14:paraId="4A957E6A">
      <w:pPr>
        <w:pStyle w:val="11"/>
        <w:numPr>
          <w:ilvl w:val="0"/>
          <w:numId w:val="1"/>
        </w:numPr>
        <w:snapToGrid w:val="0"/>
        <w:spacing w:before="120" w:after="120"/>
        <w:ind w:left="360" w:firstLineChars="0"/>
        <w:rPr>
          <w:rFonts w:ascii="Times New Roman" w:hAnsi="Times New Roman" w:eastAsiaTheme="minorEastAsia"/>
          <w:sz w:val="22"/>
        </w:rPr>
      </w:pPr>
      <w:r>
        <w:rPr>
          <w:rFonts w:hint="eastAsia" w:ascii="Times New Roman" w:hAnsi="Times New Roman" w:eastAsiaTheme="minorEastAsia"/>
          <w:sz w:val="22"/>
        </w:rPr>
        <w:t>年龄1</w:t>
      </w:r>
      <w:r>
        <w:rPr>
          <w:rFonts w:ascii="Times New Roman" w:hAnsi="Times New Roman" w:eastAsiaTheme="minorEastAsia"/>
          <w:sz w:val="22"/>
        </w:rPr>
        <w:t>8</w:t>
      </w:r>
      <w:r>
        <w:rPr>
          <w:rFonts w:hint="eastAsia" w:ascii="Times New Roman" w:hAnsi="Times New Roman" w:eastAsiaTheme="minorEastAsia"/>
          <w:sz w:val="22"/>
        </w:rPr>
        <w:t xml:space="preserve">至85岁（含），男女均可； </w:t>
      </w:r>
      <w:r>
        <w:rPr>
          <w:rFonts w:ascii="Times New Roman" w:hAnsi="Times New Roman" w:eastAsiaTheme="minorEastAsia"/>
          <w:sz w:val="22"/>
        </w:rPr>
        <w:t xml:space="preserve"> </w:t>
      </w:r>
    </w:p>
    <w:p w14:paraId="598BA7B9">
      <w:pPr>
        <w:pStyle w:val="11"/>
        <w:numPr>
          <w:ilvl w:val="0"/>
          <w:numId w:val="1"/>
        </w:numPr>
        <w:snapToGrid w:val="0"/>
        <w:spacing w:before="120" w:after="120"/>
        <w:ind w:left="360" w:firstLineChars="0"/>
        <w:rPr>
          <w:rFonts w:ascii="Times New Roman" w:hAnsi="Times New Roman" w:eastAsiaTheme="minorEastAsia"/>
          <w:sz w:val="22"/>
        </w:rPr>
      </w:pPr>
      <w:r>
        <w:rPr>
          <w:rFonts w:ascii="Times New Roman" w:hAnsi="Times New Roman" w:eastAsiaTheme="minorEastAsia"/>
          <w:sz w:val="22"/>
        </w:rPr>
        <w:t>确诊为特发性震颤的患者，表现为姿势性和动作性震颤，包括：</w:t>
      </w:r>
    </w:p>
    <w:p w14:paraId="5B1D9B1A">
      <w:pPr>
        <w:pStyle w:val="11"/>
        <w:numPr>
          <w:ilvl w:val="0"/>
          <w:numId w:val="2"/>
        </w:numPr>
        <w:snapToGrid w:val="0"/>
        <w:spacing w:before="120" w:after="120"/>
        <w:ind w:firstLineChars="0"/>
        <w:rPr>
          <w:rFonts w:ascii="Times New Roman" w:hAnsi="Times New Roman" w:eastAsiaTheme="minorEastAsia"/>
          <w:sz w:val="22"/>
        </w:rPr>
      </w:pPr>
      <w:r>
        <w:rPr>
          <w:rFonts w:hint="eastAsia" w:ascii="Times New Roman" w:hAnsi="Times New Roman" w:eastAsiaTheme="minorEastAsia"/>
          <w:sz w:val="22"/>
        </w:rPr>
        <w:t>以双侧上肢动作性震颤（非单侧震颤）为特征的震颤综合征，</w:t>
      </w:r>
    </w:p>
    <w:p w14:paraId="19D424B1">
      <w:pPr>
        <w:pStyle w:val="11"/>
        <w:numPr>
          <w:ilvl w:val="0"/>
          <w:numId w:val="2"/>
        </w:numPr>
        <w:snapToGrid w:val="0"/>
        <w:spacing w:before="120" w:after="120"/>
        <w:ind w:firstLineChars="0"/>
        <w:rPr>
          <w:rFonts w:ascii="Times New Roman" w:hAnsi="Times New Roman" w:eastAsiaTheme="minorEastAsia"/>
          <w:sz w:val="22"/>
        </w:rPr>
      </w:pPr>
      <w:r>
        <w:rPr>
          <w:rFonts w:hint="eastAsia" w:ascii="Times New Roman" w:hAnsi="Times New Roman" w:eastAsiaTheme="minorEastAsia"/>
          <w:sz w:val="22"/>
        </w:rPr>
        <w:t>双侧上肢震颤至少持续3年，</w:t>
      </w:r>
    </w:p>
    <w:p w14:paraId="7A905185">
      <w:pPr>
        <w:pStyle w:val="11"/>
        <w:numPr>
          <w:ilvl w:val="0"/>
          <w:numId w:val="2"/>
        </w:numPr>
        <w:snapToGrid w:val="0"/>
        <w:spacing w:before="120" w:after="120"/>
        <w:ind w:firstLineChars="0"/>
        <w:rPr>
          <w:rFonts w:ascii="Times New Roman" w:hAnsi="Times New Roman" w:eastAsiaTheme="minorEastAsia"/>
          <w:sz w:val="22"/>
        </w:rPr>
      </w:pPr>
      <w:r>
        <w:rPr>
          <w:rFonts w:hint="eastAsia" w:ascii="Times New Roman" w:hAnsi="Times New Roman" w:eastAsiaTheme="minorEastAsia"/>
          <w:sz w:val="22"/>
        </w:rPr>
        <w:t>伴或不伴其他部位（例如，头部、声音或下肢）震颤，</w:t>
      </w:r>
    </w:p>
    <w:p w14:paraId="6141542B">
      <w:pPr>
        <w:pStyle w:val="11"/>
        <w:numPr>
          <w:ilvl w:val="0"/>
          <w:numId w:val="1"/>
        </w:numPr>
        <w:snapToGrid w:val="0"/>
        <w:spacing w:before="120" w:after="120"/>
        <w:ind w:left="360" w:firstLineChars="0"/>
        <w:rPr>
          <w:rFonts w:ascii="Times New Roman" w:hAnsi="Times New Roman" w:eastAsiaTheme="minorEastAsia"/>
          <w:sz w:val="22"/>
        </w:rPr>
      </w:pPr>
      <w:r>
        <w:rPr>
          <w:rFonts w:ascii="Times New Roman" w:hAnsi="Times New Roman" w:eastAsiaTheme="minorEastAsia"/>
          <w:sz w:val="22"/>
        </w:rPr>
        <w:t>如果</w:t>
      </w:r>
      <w:r>
        <w:rPr>
          <w:rFonts w:hint="eastAsia" w:ascii="Times New Roman" w:hAnsi="Times New Roman" w:eastAsiaTheme="minorEastAsia"/>
          <w:sz w:val="22"/>
        </w:rPr>
        <w:t>您目前</w:t>
      </w:r>
      <w:r>
        <w:rPr>
          <w:rFonts w:ascii="Times New Roman" w:hAnsi="Times New Roman" w:eastAsiaTheme="minorEastAsia"/>
          <w:sz w:val="22"/>
        </w:rPr>
        <w:t>正在接受特发性震颤</w:t>
      </w:r>
      <w:r>
        <w:rPr>
          <w:rFonts w:hint="eastAsia" w:ascii="Times New Roman" w:hAnsi="Times New Roman" w:eastAsiaTheme="minorEastAsia"/>
          <w:sz w:val="22"/>
        </w:rPr>
        <w:t>的药物治疗</w:t>
      </w:r>
      <w:r>
        <w:rPr>
          <w:rFonts w:ascii="Times New Roman" w:hAnsi="Times New Roman" w:eastAsiaTheme="minorEastAsia"/>
          <w:sz w:val="22"/>
        </w:rPr>
        <w:t>，则只允许使用普萘洛尔或阿罗洛尔其中一种药物，且</w:t>
      </w:r>
      <w:r>
        <w:rPr>
          <w:rFonts w:hint="eastAsia" w:ascii="Times New Roman" w:hAnsi="Times New Roman" w:eastAsiaTheme="minorEastAsia"/>
          <w:sz w:val="22"/>
        </w:rPr>
        <w:t>在一个月</w:t>
      </w:r>
      <w:r>
        <w:rPr>
          <w:rFonts w:ascii="Times New Roman" w:hAnsi="Times New Roman" w:eastAsiaTheme="minorEastAsia"/>
          <w:sz w:val="22"/>
        </w:rPr>
        <w:t>内保持剂量稳定</w:t>
      </w:r>
      <w:r>
        <w:rPr>
          <w:rFonts w:hint="eastAsia" w:ascii="Times New Roman" w:hAnsi="Times New Roman" w:eastAsiaTheme="minorEastAsia"/>
          <w:sz w:val="22"/>
        </w:rPr>
        <w:t>。</w:t>
      </w:r>
      <w:r>
        <w:rPr>
          <w:rFonts w:ascii="Times New Roman" w:hAnsi="Times New Roman" w:eastAsiaTheme="minorEastAsia"/>
          <w:sz w:val="22"/>
        </w:rPr>
        <w:t xml:space="preserve"> </w:t>
      </w:r>
    </w:p>
    <w:p w14:paraId="45FC47BA">
      <w:pPr>
        <w:pStyle w:val="11"/>
        <w:numPr>
          <w:ilvl w:val="0"/>
          <w:numId w:val="1"/>
        </w:numPr>
        <w:snapToGrid w:val="0"/>
        <w:spacing w:before="120" w:after="120"/>
        <w:ind w:left="360" w:firstLineChars="0"/>
        <w:rPr>
          <w:rFonts w:ascii="Times New Roman" w:hAnsi="Times New Roman" w:eastAsiaTheme="minorEastAsia"/>
          <w:sz w:val="22"/>
        </w:rPr>
      </w:pPr>
      <w:r>
        <w:rPr>
          <w:rFonts w:hint="eastAsia" w:ascii="Times New Roman" w:hAnsi="Times New Roman" w:eastAsiaTheme="minorEastAsia"/>
          <w:sz w:val="22"/>
        </w:rPr>
        <w:t>进行所有的筛选期评估，评估结果符合研究相应要求。</w:t>
      </w:r>
    </w:p>
    <w:p w14:paraId="45FC47BB">
      <w:pPr>
        <w:spacing w:before="240" w:line="360" w:lineRule="auto"/>
        <w:rPr>
          <w:rFonts w:ascii="Times New Roman" w:hAnsi="Times New Roman" w:eastAsiaTheme="majorEastAsia"/>
          <w:b/>
          <w:bCs/>
          <w:sz w:val="22"/>
        </w:rPr>
      </w:pPr>
      <w:r>
        <w:rPr>
          <w:rFonts w:hint="eastAsia" w:ascii="Times New Roman" w:hAnsi="Times New Roman" w:eastAsiaTheme="majorEastAsia"/>
          <w:b/>
          <w:bCs/>
          <w:sz w:val="22"/>
        </w:rPr>
        <w:t>注：以上为部分入选要求，最终是否符合全部入组标准由该项目的研究医生确认。</w:t>
      </w:r>
    </w:p>
    <w:p w14:paraId="5A858C4E">
      <w:pPr>
        <w:spacing w:before="240" w:line="360" w:lineRule="auto"/>
        <w:rPr>
          <w:rFonts w:ascii="Times New Roman" w:hAnsi="Times New Roman" w:eastAsiaTheme="majorEastAsia"/>
          <w:sz w:val="22"/>
        </w:rPr>
      </w:pPr>
    </w:p>
    <w:p w14:paraId="0E925FDD">
      <w:pPr>
        <w:pStyle w:val="11"/>
        <w:spacing w:line="360" w:lineRule="auto"/>
        <w:ind w:firstLine="440"/>
        <w:rPr>
          <w:rFonts w:ascii="Times New Roman" w:hAnsi="Times New Roman" w:eastAsiaTheme="majorEastAsia"/>
          <w:sz w:val="22"/>
        </w:rPr>
      </w:pPr>
      <w:r>
        <w:rPr>
          <w:rFonts w:hint="eastAsia" w:ascii="Times New Roman" w:hAnsi="Times New Roman" w:eastAsiaTheme="majorEastAsia"/>
          <w:sz w:val="22"/>
        </w:rPr>
        <w:t>如果您或您的家人符合上述条件，并且对本项研究有兴趣，或您周围的人有基本符合上述招募条件的，请跟我们联系！</w:t>
      </w:r>
    </w:p>
    <w:p w14:paraId="3F80E26B">
      <w:pPr>
        <w:pStyle w:val="11"/>
        <w:spacing w:line="360" w:lineRule="auto"/>
        <w:rPr>
          <w:rFonts w:ascii="Times New Roman" w:hAnsi="Times New Roman" w:eastAsiaTheme="minorEastAsia"/>
          <w:u w:val="single"/>
        </w:rPr>
      </w:pPr>
    </w:p>
    <w:p w14:paraId="7441CF20">
      <w:pPr>
        <w:ind w:right="884"/>
        <w:rPr>
          <w:rFonts w:ascii="Times New Roman" w:hAnsi="Times New Roman" w:eastAsiaTheme="majorEastAsia"/>
          <w:b/>
          <w:bCs/>
          <w:sz w:val="22"/>
        </w:rPr>
      </w:pPr>
      <w:r>
        <w:rPr>
          <w:rFonts w:hint="eastAsia" w:ascii="Times New Roman" w:hAnsi="Times New Roman" w:eastAsiaTheme="majorEastAsia"/>
          <w:b/>
          <w:bCs/>
          <w:sz w:val="22"/>
        </w:rPr>
        <w:t>门诊：神经内科门诊、帕金森病门诊、肌张力障碍门诊</w:t>
      </w:r>
    </w:p>
    <w:p w14:paraId="25E76970">
      <w:pPr>
        <w:jc w:val="left"/>
        <w:rPr>
          <w:rFonts w:ascii="Times New Roman" w:hAnsi="Times New Roman" w:eastAsiaTheme="majorEastAsia"/>
          <w:b/>
          <w:bCs/>
          <w:sz w:val="22"/>
        </w:rPr>
      </w:pPr>
      <w:r>
        <w:rPr>
          <w:rFonts w:hint="eastAsia" w:ascii="Times New Roman" w:hAnsi="Times New Roman" w:eastAsiaTheme="majorEastAsia"/>
          <w:b/>
          <w:bCs/>
          <w:sz w:val="22"/>
        </w:rPr>
        <w:t>研究医生：王丽娟、聂坤、邱轶慧、黄思菲</w:t>
      </w:r>
    </w:p>
    <w:p w14:paraId="0C071DCA">
      <w:pPr>
        <w:jc w:val="left"/>
        <w:rPr>
          <w:rFonts w:ascii="Times New Roman" w:hAnsi="Times New Roman" w:eastAsiaTheme="majorEastAsia"/>
          <w:b/>
          <w:bCs/>
          <w:sz w:val="22"/>
        </w:rPr>
      </w:pPr>
      <w:r>
        <w:rPr>
          <w:rFonts w:hint="eastAsia" w:ascii="Times New Roman" w:hAnsi="Times New Roman" w:eastAsiaTheme="majorEastAsia"/>
          <w:b/>
          <w:bCs/>
          <w:sz w:val="22"/>
        </w:rPr>
        <w:t xml:space="preserve">研究助理：蔡泉清 </w:t>
      </w:r>
      <w:r>
        <w:rPr>
          <w:rFonts w:ascii="Times New Roman" w:hAnsi="Times New Roman" w:eastAsiaTheme="majorEastAsia"/>
          <w:b/>
          <w:bCs/>
          <w:sz w:val="22"/>
        </w:rPr>
        <w:t xml:space="preserve"> </w:t>
      </w:r>
      <w:r>
        <w:rPr>
          <w:rFonts w:hint="eastAsia" w:ascii="Times New Roman" w:hAnsi="Times New Roman" w:eastAsiaTheme="majorEastAsia"/>
          <w:b/>
          <w:bCs/>
          <w:sz w:val="22"/>
        </w:rPr>
        <w:t>联系电话：1</w:t>
      </w:r>
      <w:r>
        <w:rPr>
          <w:rFonts w:ascii="Times New Roman" w:hAnsi="Times New Roman" w:eastAsiaTheme="majorEastAsia"/>
          <w:b/>
          <w:bCs/>
          <w:sz w:val="22"/>
        </w:rPr>
        <w:t>3794357247</w:t>
      </w:r>
    </w:p>
    <w:p w14:paraId="60D8B14B">
      <w:pPr>
        <w:jc w:val="left"/>
        <w:rPr>
          <w:rFonts w:ascii="Times New Roman" w:hAnsi="Times New Roman" w:eastAsiaTheme="majorEastAsia"/>
          <w:b/>
          <w:bCs/>
          <w:sz w:val="22"/>
        </w:rPr>
      </w:pPr>
    </w:p>
    <w:p w14:paraId="2C5C7E5B">
      <w:pPr>
        <w:rPr>
          <w:rFonts w:ascii="Times New Roman" w:hAnsi="Times New Roman" w:eastAsiaTheme="majorEastAsia"/>
          <w:i/>
        </w:rPr>
      </w:pPr>
      <w:r>
        <w:rPr>
          <w:rFonts w:ascii="Times New Roman" w:hAnsi="Times New Roman" w:eastAsiaTheme="majorEastAsia"/>
          <w:i/>
        </w:rPr>
        <w:t>*</w:t>
      </w:r>
      <w:r>
        <w:rPr>
          <w:rFonts w:hint="eastAsia" w:ascii="Times New Roman" w:hAnsi="Times New Roman" w:eastAsiaTheme="majorEastAsia"/>
          <w:i/>
        </w:rPr>
        <w:t>该临床研究遵从相关的国家法规，您和/或您的家人的隐私权亦会得到保护。欢迎有意参加者前来咨询。</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C47CD">
    <w:pPr>
      <w:pStyle w:val="4"/>
    </w:pPr>
    <w:r>
      <w:rPr>
        <w:rFonts w:hint="eastAsia"/>
      </w:rPr>
      <w:t>TX201-ET-301受试者招募广告</w:t>
    </w:r>
    <w:r>
      <w:t>_</w:t>
    </w:r>
    <w:r>
      <w:rPr>
        <w:rFonts w:hint="eastAsia"/>
      </w:rPr>
      <w:t>海报和网络平台通用版</w:t>
    </w:r>
  </w:p>
  <w:p w14:paraId="45FC47CE">
    <w:pPr>
      <w:pStyle w:val="4"/>
    </w:pPr>
    <w:r>
      <w:rPr>
        <w:rFonts w:hint="eastAsia"/>
      </w:rPr>
      <w:t>版本1.0，版本日期：</w:t>
    </w:r>
    <w:r>
      <w:t>202</w:t>
    </w:r>
    <w:r>
      <w:rPr>
        <w:rFonts w:hint="eastAsia"/>
      </w:rPr>
      <w:t xml:space="preserve">4年8月12日 </w:t>
    </w:r>
    <w:r>
      <w:t xml:space="preserve">                                             </w:t>
    </w:r>
    <w:r>
      <w:rPr>
        <w:rFonts w:hint="eastAsia"/>
      </w:rPr>
      <w:t>第</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r>
      <w:rPr>
        <w:rFonts w:hint="eastAsia"/>
      </w:rPr>
      <w:t>页</w:t>
    </w:r>
  </w:p>
  <w:p w14:paraId="45FC47C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8B6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FC9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C47CC">
    <w:pPr>
      <w:pStyle w:val="5"/>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1A5E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7F0C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E29DC"/>
    <w:multiLevelType w:val="multilevel"/>
    <w:tmpl w:val="157E29DC"/>
    <w:lvl w:ilvl="0" w:tentative="0">
      <w:start w:val="1"/>
      <w:numFmt w:val="decimal"/>
      <w:lvlText w:val="%1."/>
      <w:lvlJc w:val="left"/>
      <w:pPr>
        <w:ind w:left="720" w:hanging="360"/>
      </w:pPr>
      <w:rPr>
        <w:rFonts w:hint="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1E86D1B"/>
    <w:multiLevelType w:val="multilevel"/>
    <w:tmpl w:val="51E86D1B"/>
    <w:lvl w:ilvl="0" w:tentative="0">
      <w:start w:val="1"/>
      <w:numFmt w:val="decimal"/>
      <w:lvlText w:val="%1)"/>
      <w:lvlJc w:val="left"/>
      <w:pPr>
        <w:ind w:left="740" w:hanging="440"/>
      </w:pPr>
    </w:lvl>
    <w:lvl w:ilvl="1" w:tentative="0">
      <w:start w:val="1"/>
      <w:numFmt w:val="lowerLetter"/>
      <w:lvlText w:val="%2)"/>
      <w:lvlJc w:val="left"/>
      <w:pPr>
        <w:ind w:left="1180" w:hanging="440"/>
      </w:pPr>
    </w:lvl>
    <w:lvl w:ilvl="2" w:tentative="0">
      <w:start w:val="1"/>
      <w:numFmt w:val="lowerRoman"/>
      <w:lvlText w:val="%3."/>
      <w:lvlJc w:val="right"/>
      <w:pPr>
        <w:ind w:left="1620" w:hanging="440"/>
      </w:pPr>
    </w:lvl>
    <w:lvl w:ilvl="3" w:tentative="0">
      <w:start w:val="1"/>
      <w:numFmt w:val="decimal"/>
      <w:lvlText w:val="%4."/>
      <w:lvlJc w:val="left"/>
      <w:pPr>
        <w:ind w:left="2060" w:hanging="440"/>
      </w:pPr>
    </w:lvl>
    <w:lvl w:ilvl="4" w:tentative="0">
      <w:start w:val="1"/>
      <w:numFmt w:val="lowerLetter"/>
      <w:lvlText w:val="%5)"/>
      <w:lvlJc w:val="left"/>
      <w:pPr>
        <w:ind w:left="2500" w:hanging="440"/>
      </w:pPr>
    </w:lvl>
    <w:lvl w:ilvl="5" w:tentative="0">
      <w:start w:val="1"/>
      <w:numFmt w:val="lowerRoman"/>
      <w:lvlText w:val="%6."/>
      <w:lvlJc w:val="right"/>
      <w:pPr>
        <w:ind w:left="2940" w:hanging="440"/>
      </w:pPr>
    </w:lvl>
    <w:lvl w:ilvl="6" w:tentative="0">
      <w:start w:val="1"/>
      <w:numFmt w:val="decimal"/>
      <w:lvlText w:val="%7."/>
      <w:lvlJc w:val="left"/>
      <w:pPr>
        <w:ind w:left="3380" w:hanging="440"/>
      </w:pPr>
    </w:lvl>
    <w:lvl w:ilvl="7" w:tentative="0">
      <w:start w:val="1"/>
      <w:numFmt w:val="lowerLetter"/>
      <w:lvlText w:val="%8)"/>
      <w:lvlJc w:val="left"/>
      <w:pPr>
        <w:ind w:left="3820" w:hanging="440"/>
      </w:pPr>
    </w:lvl>
    <w:lvl w:ilvl="8" w:tentative="0">
      <w:start w:val="1"/>
      <w:numFmt w:val="lowerRoman"/>
      <w:lvlText w:val="%9."/>
      <w:lvlJc w:val="right"/>
      <w:pPr>
        <w:ind w:left="42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8B"/>
    <w:rsid w:val="0005110D"/>
    <w:rsid w:val="0005237E"/>
    <w:rsid w:val="00056CD4"/>
    <w:rsid w:val="000746FA"/>
    <w:rsid w:val="00080A91"/>
    <w:rsid w:val="000B1828"/>
    <w:rsid w:val="000C302E"/>
    <w:rsid w:val="000E5AAE"/>
    <w:rsid w:val="00132AAA"/>
    <w:rsid w:val="001476DC"/>
    <w:rsid w:val="00167B11"/>
    <w:rsid w:val="001746BE"/>
    <w:rsid w:val="00181943"/>
    <w:rsid w:val="00191039"/>
    <w:rsid w:val="001D48CE"/>
    <w:rsid w:val="001E39C8"/>
    <w:rsid w:val="00210F60"/>
    <w:rsid w:val="00217269"/>
    <w:rsid w:val="00243CA1"/>
    <w:rsid w:val="00280B56"/>
    <w:rsid w:val="00306C74"/>
    <w:rsid w:val="00313BFE"/>
    <w:rsid w:val="00321C64"/>
    <w:rsid w:val="00340FAA"/>
    <w:rsid w:val="003977A6"/>
    <w:rsid w:val="003A4602"/>
    <w:rsid w:val="003F6DEB"/>
    <w:rsid w:val="00406452"/>
    <w:rsid w:val="00412FB2"/>
    <w:rsid w:val="00435987"/>
    <w:rsid w:val="004475FA"/>
    <w:rsid w:val="004718A1"/>
    <w:rsid w:val="004A6A24"/>
    <w:rsid w:val="004B76E7"/>
    <w:rsid w:val="004E5CD6"/>
    <w:rsid w:val="004F04E1"/>
    <w:rsid w:val="005047A7"/>
    <w:rsid w:val="0052485C"/>
    <w:rsid w:val="005271F3"/>
    <w:rsid w:val="00540EBE"/>
    <w:rsid w:val="0057138A"/>
    <w:rsid w:val="005E0788"/>
    <w:rsid w:val="005E4B02"/>
    <w:rsid w:val="0061341B"/>
    <w:rsid w:val="0063548B"/>
    <w:rsid w:val="00642373"/>
    <w:rsid w:val="00660277"/>
    <w:rsid w:val="00662014"/>
    <w:rsid w:val="00663315"/>
    <w:rsid w:val="006B37A7"/>
    <w:rsid w:val="006C7DF7"/>
    <w:rsid w:val="006F1076"/>
    <w:rsid w:val="006F4B6A"/>
    <w:rsid w:val="0070007C"/>
    <w:rsid w:val="00710F85"/>
    <w:rsid w:val="00717B43"/>
    <w:rsid w:val="00733C07"/>
    <w:rsid w:val="00740B4A"/>
    <w:rsid w:val="007569F6"/>
    <w:rsid w:val="00771153"/>
    <w:rsid w:val="007711BF"/>
    <w:rsid w:val="00777C10"/>
    <w:rsid w:val="00780F92"/>
    <w:rsid w:val="007C5D11"/>
    <w:rsid w:val="007C7C9B"/>
    <w:rsid w:val="00813A14"/>
    <w:rsid w:val="00815C10"/>
    <w:rsid w:val="00821F76"/>
    <w:rsid w:val="00834E02"/>
    <w:rsid w:val="008367DE"/>
    <w:rsid w:val="00852415"/>
    <w:rsid w:val="008E7A4A"/>
    <w:rsid w:val="00901702"/>
    <w:rsid w:val="00912E1B"/>
    <w:rsid w:val="00947989"/>
    <w:rsid w:val="0095532F"/>
    <w:rsid w:val="0098290D"/>
    <w:rsid w:val="009C1BA2"/>
    <w:rsid w:val="009D4D08"/>
    <w:rsid w:val="009E2682"/>
    <w:rsid w:val="009F6374"/>
    <w:rsid w:val="00A014A7"/>
    <w:rsid w:val="00A20E5F"/>
    <w:rsid w:val="00A24336"/>
    <w:rsid w:val="00A51261"/>
    <w:rsid w:val="00A56EE4"/>
    <w:rsid w:val="00A64176"/>
    <w:rsid w:val="00A649C6"/>
    <w:rsid w:val="00A86899"/>
    <w:rsid w:val="00A87D44"/>
    <w:rsid w:val="00AC3CF0"/>
    <w:rsid w:val="00AE6B09"/>
    <w:rsid w:val="00B10CB6"/>
    <w:rsid w:val="00B63298"/>
    <w:rsid w:val="00B765A1"/>
    <w:rsid w:val="00B76EC8"/>
    <w:rsid w:val="00BA0D72"/>
    <w:rsid w:val="00BA36B2"/>
    <w:rsid w:val="00BA601D"/>
    <w:rsid w:val="00BB2A32"/>
    <w:rsid w:val="00BC7BA3"/>
    <w:rsid w:val="00BD059B"/>
    <w:rsid w:val="00BE476D"/>
    <w:rsid w:val="00BE6D19"/>
    <w:rsid w:val="00BE751A"/>
    <w:rsid w:val="00C23D4D"/>
    <w:rsid w:val="00C245A8"/>
    <w:rsid w:val="00C530B8"/>
    <w:rsid w:val="00C75D57"/>
    <w:rsid w:val="00CC57A3"/>
    <w:rsid w:val="00CF738C"/>
    <w:rsid w:val="00D04A04"/>
    <w:rsid w:val="00D10B6D"/>
    <w:rsid w:val="00D2309C"/>
    <w:rsid w:val="00D3526D"/>
    <w:rsid w:val="00D36F13"/>
    <w:rsid w:val="00D4024A"/>
    <w:rsid w:val="00D47A32"/>
    <w:rsid w:val="00D83AEE"/>
    <w:rsid w:val="00DC426C"/>
    <w:rsid w:val="00DD701B"/>
    <w:rsid w:val="00DD704C"/>
    <w:rsid w:val="00E64D18"/>
    <w:rsid w:val="00E92C93"/>
    <w:rsid w:val="00EC4F42"/>
    <w:rsid w:val="00ED01D0"/>
    <w:rsid w:val="00F6172F"/>
    <w:rsid w:val="00F8155B"/>
    <w:rsid w:val="00F873FC"/>
    <w:rsid w:val="00F95D92"/>
    <w:rsid w:val="00FC151A"/>
    <w:rsid w:val="00FC1CC7"/>
    <w:rsid w:val="00FF6243"/>
    <w:rsid w:val="21EF1907"/>
    <w:rsid w:val="2C6CE266"/>
    <w:rsid w:val="365D456A"/>
    <w:rsid w:val="3BF7190D"/>
    <w:rsid w:val="697D4BEE"/>
    <w:rsid w:val="7BF496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1"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2"/>
    <w:qFormat/>
    <w:uiPriority w:val="1"/>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locked/>
    <w:uiPriority w:val="0"/>
    <w:rPr>
      <w:rFonts w:eastAsiaTheme="minorEastAsia"/>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link w:val="5"/>
    <w:qFormat/>
    <w:locked/>
    <w:uiPriority w:val="1"/>
    <w:rPr>
      <w:rFonts w:cs="Times New Roman"/>
      <w:sz w:val="18"/>
      <w:szCs w:val="18"/>
    </w:rPr>
  </w:style>
  <w:style w:type="character" w:customStyle="1" w:styleId="13">
    <w:name w:val="页脚 字符"/>
    <w:link w:val="4"/>
    <w:locked/>
    <w:uiPriority w:val="99"/>
    <w:rPr>
      <w:rFonts w:cs="Times New Roman"/>
      <w:sz w:val="18"/>
      <w:szCs w:val="18"/>
    </w:rPr>
  </w:style>
  <w:style w:type="character" w:customStyle="1" w:styleId="14">
    <w:name w:val="批注框文本 字符"/>
    <w:link w:val="3"/>
    <w:semiHidden/>
    <w:qFormat/>
    <w:locked/>
    <w:uiPriority w:val="99"/>
    <w:rPr>
      <w:rFonts w:cs="Times New Roman"/>
      <w:sz w:val="2"/>
    </w:rPr>
  </w:style>
  <w:style w:type="character" w:customStyle="1" w:styleId="15">
    <w:name w:val="批注文字 字符"/>
    <w:basedOn w:val="9"/>
    <w:link w:val="2"/>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Revision"/>
    <w:hidden/>
    <w:semiHidden/>
    <w:qFormat/>
    <w:uiPriority w:val="99"/>
    <w:rPr>
      <w:rFonts w:ascii="Calibri" w:hAnsi="Calibri" w:eastAsia="宋体" w:cs="Times New Roman"/>
      <w:kern w:val="2"/>
      <w:sz w:val="21"/>
      <w:szCs w:val="22"/>
      <w:lang w:val="en-US" w:eastAsia="zh-CN" w:bidi="ar-SA"/>
    </w:rPr>
  </w:style>
  <w:style w:type="paragraph" w:customStyle="1" w:styleId="18">
    <w:name w:val="Default"/>
    <w:uiPriority w:val="0"/>
    <w:pPr>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fd2f9f-bdd0-4a02-a25a-a41a74551a20" xsi:nil="true"/>
    <lcf76f155ced4ddcb4097134ff3c332f xmlns="eddff280-1a3f-45f0-bb53-e15d0e7d66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9DAB29447CA74198339AE394D6C75E" ma:contentTypeVersion="14" ma:contentTypeDescription="Create a new document." ma:contentTypeScope="" ma:versionID="77d1dd4aaef5778ec3eaba1eb0c08591">
  <xsd:schema xmlns:xsd="http://www.w3.org/2001/XMLSchema" xmlns:xs="http://www.w3.org/2001/XMLSchema" xmlns:p="http://schemas.microsoft.com/office/2006/metadata/properties" xmlns:ns2="eddff280-1a3f-45f0-bb53-e15d0e7d6621" xmlns:ns3="42fd2f9f-bdd0-4a02-a25a-a41a74551a20" targetNamespace="http://schemas.microsoft.com/office/2006/metadata/properties" ma:root="true" ma:fieldsID="7556dac7d9c4c2b500c67f9c429c674f" ns2:_="" ns3:_="">
    <xsd:import namespace="eddff280-1a3f-45f0-bb53-e15d0e7d6621"/>
    <xsd:import namespace="42fd2f9f-bdd0-4a02-a25a-a41a74551a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ff280-1a3f-45f0-bb53-e15d0e7d6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784c8-5187-4d12-af89-ac967a81122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fd2f9f-bdd0-4a02-a25a-a41a74551a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a8087e-0607-481b-8612-a60438b6c208}" ma:internalName="TaxCatchAll" ma:showField="CatchAllData" ma:web="42fd2f9f-bdd0-4a02-a25a-a41a74551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BC4B1-7544-4CC2-98F3-5B0964193EF5}">
  <ds:schemaRefs/>
</ds:datastoreItem>
</file>

<file path=customXml/itemProps2.xml><?xml version="1.0" encoding="utf-8"?>
<ds:datastoreItem xmlns:ds="http://schemas.openxmlformats.org/officeDocument/2006/customXml" ds:itemID="{0E96292A-E114-4BB0-B9D6-25EC19F401EB}">
  <ds:schemaRefs/>
</ds:datastoreItem>
</file>

<file path=customXml/itemProps3.xml><?xml version="1.0" encoding="utf-8"?>
<ds:datastoreItem xmlns:ds="http://schemas.openxmlformats.org/officeDocument/2006/customXml" ds:itemID="{3B471597-48DD-46F8-B747-86EAF5C313E0}">
  <ds:schemaRefs/>
</ds:datastoreItem>
</file>

<file path=docProps/app.xml><?xml version="1.0" encoding="utf-8"?>
<Properties xmlns="http://schemas.openxmlformats.org/officeDocument/2006/extended-properties" xmlns:vt="http://schemas.openxmlformats.org/officeDocument/2006/docPropsVTypes">
  <Template>Normal</Template>
  <Company>ICON PLC</Company>
  <Pages>1</Pages>
  <Words>493</Words>
  <Characters>532</Characters>
  <Lines>3</Lines>
  <Paragraphs>1</Paragraphs>
  <TotalTime>3</TotalTime>
  <ScaleCrop>false</ScaleCrop>
  <LinksUpToDate>false</LinksUpToDate>
  <CharactersWithSpaces>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2026-04-21T04:46:00Z</dcterms:created>
  <dc:creator>张英斌</dc:creator>
  <cp:lastModifiedBy>机构办</cp:lastModifiedBy>
  <cp:lastPrinted>2022-08-03T02:38:00Z</cp:lastPrinted>
  <dcterms:modified xsi:type="dcterms:W3CDTF">2026-04-24T09:46:36Z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0x010100359DAB29447CA74198339AE394D6C75E</vt:lpwstr>
  </property>
  <property fmtid="{D5CDD505-2E9C-101B-9397-08002B2CF9AE}" pid="3" name="MediaServiceImageTags">
    <vt:lpwstr/>
  </property>
  <property fmtid="{D5CDD505-2E9C-101B-9397-08002B2CF9AE}" pid="4" name="KSOTemplateDocerSaveRecord">
    <vt:lpwstr>eyJoZGlkIjoiYzE2OGRmY2IwYjQwNGZhODU0YWViZDQxNjY5MzYwMjQiLCJ1c2VySWQiOiI0NDI3MzgxNTkifQ==</vt:lpwstr>
  </property>
  <property fmtid="{D5CDD505-2E9C-101B-9397-08002B2CF9AE}" pid="5" name="KSOProductBuildVer">
    <vt:lpwstr>2052-12.1.0.25865</vt:lpwstr>
  </property>
  <property fmtid="{D5CDD505-2E9C-101B-9397-08002B2CF9AE}" pid="6" name="ICV">
    <vt:lpwstr>63EE03DEF95A4B118A24B46954E2EBF2_13</vt:lpwstr>
  </property>
</Properties>
</file>