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8E4D"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val="en-US" w:eastAsia="zh-CN"/>
        </w:rPr>
        <w:t>外联平台运维服务</w:t>
      </w:r>
      <w:r>
        <w:rPr>
          <w:rFonts w:hint="eastAsia" w:ascii="宋体" w:hAnsi="宋体"/>
          <w:b/>
          <w:sz w:val="44"/>
          <w:szCs w:val="30"/>
        </w:rPr>
        <w:t>项目需求</w:t>
      </w:r>
    </w:p>
    <w:p w14:paraId="6A55DD18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4076F601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  <w:r>
        <w:rPr>
          <w:rFonts w:hint="eastAsia" w:ascii="宋体" w:hAnsi="宋体"/>
          <w:sz w:val="22"/>
          <w:lang w:val="en-US" w:eastAsia="zh-CN"/>
        </w:rPr>
        <w:t>外联平台运维</w:t>
      </w:r>
      <w:r>
        <w:rPr>
          <w:rFonts w:hint="eastAsia" w:ascii="宋体" w:hAnsi="宋体"/>
          <w:sz w:val="22"/>
        </w:rPr>
        <w:t>服务项目</w:t>
      </w:r>
    </w:p>
    <w:p w14:paraId="5076809F">
      <w:pPr>
        <w:spacing w:line="360" w:lineRule="auto"/>
        <w:ind w:left="432"/>
        <w:rPr>
          <w:rFonts w:ascii="宋体" w:hAnsi="宋体"/>
          <w:sz w:val="22"/>
        </w:rPr>
      </w:pPr>
    </w:p>
    <w:p w14:paraId="6E63E76E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服务内容</w:t>
      </w:r>
    </w:p>
    <w:p w14:paraId="43C55A82">
      <w:pPr>
        <w:rPr>
          <w:rFonts w:hint="eastAsia"/>
        </w:rPr>
      </w:pPr>
      <w:r>
        <w:rPr>
          <w:rFonts w:hint="eastAsia"/>
        </w:rPr>
        <w:t>维护服务如下：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 w14:paraId="2CB0A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0E7F0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14:paraId="63009E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信息系统名称</w:t>
            </w:r>
          </w:p>
        </w:tc>
        <w:tc>
          <w:tcPr>
            <w:tcW w:w="4536" w:type="dxa"/>
          </w:tcPr>
          <w:p w14:paraId="2D684BA3"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</w:tr>
      <w:tr w14:paraId="1553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D8A760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37B51630">
            <w:pPr>
              <w:rPr>
                <w:rFonts w:hint="eastAsia"/>
              </w:rPr>
            </w:pPr>
            <w:r>
              <w:rPr>
                <w:rFonts w:hint="eastAsia"/>
              </w:rPr>
              <w:t>外联平台</w:t>
            </w:r>
          </w:p>
        </w:tc>
        <w:tc>
          <w:tcPr>
            <w:tcW w:w="4536" w:type="dxa"/>
          </w:tcPr>
          <w:p w14:paraId="6CD0BA6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1年</w:t>
            </w:r>
          </w:p>
        </w:tc>
      </w:tr>
    </w:tbl>
    <w:p w14:paraId="71609022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bookmarkStart w:id="0" w:name="_6.1.2、容器服务器"/>
      <w:bookmarkEnd w:id="0"/>
      <w:r>
        <w:rPr>
          <w:rFonts w:hint="eastAsia" w:ascii="宋体" w:hAnsi="宋体"/>
          <w:sz w:val="32"/>
          <w:szCs w:val="32"/>
          <w:lang w:eastAsia="zh-CN"/>
        </w:rPr>
        <w:t>项目背景</w:t>
      </w:r>
    </w:p>
    <w:p w14:paraId="7FB04486">
      <w:pPr>
        <w:spacing w:line="360" w:lineRule="auto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我院外联平台是支撑互联网医疗服务的关键枢纽，集接口统一管控、应用资源整合并重，兼具运行监管与信息安全防护功能，显著提升了信息资源统筹能力与运维保障水平。目前，该平台运维期已届满。为保障互联网医疗业务的持续稳定运行，确保数据安全与系统高效响应，现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采购 2026年度外联平台运维服务。</w:t>
      </w:r>
    </w:p>
    <w:p w14:paraId="0B155ABE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系统功能模块和运维服务要求</w:t>
      </w:r>
    </w:p>
    <w:p w14:paraId="706A2CD1">
      <w:pPr>
        <w:snapToGrid w:val="0"/>
        <w:ind w:left="0" w:leftChars="0" w:right="0" w:rightChars="0" w:firstLine="0" w:firstLineChars="0"/>
        <w:jc w:val="left"/>
        <w:rPr>
          <w:rFonts w:hint="default" w:ascii="Times New Roman" w:eastAsia="宋体"/>
          <w:b w:val="0"/>
          <w:bCs/>
          <w:sz w:val="24"/>
          <w:lang w:val="en-US" w:eastAsia="zh-CN"/>
        </w:rPr>
      </w:pPr>
      <w:r>
        <w:rPr>
          <w:rFonts w:hint="eastAsia" w:ascii="Times New Roman" w:eastAsia="宋体"/>
          <w:b w:val="0"/>
          <w:bCs/>
          <w:sz w:val="24"/>
          <w:lang w:val="en-US" w:eastAsia="zh-CN"/>
        </w:rPr>
        <w:t>1、</w:t>
      </w:r>
      <w:r>
        <w:rPr>
          <w:rFonts w:hint="eastAsia"/>
          <w:b w:val="0"/>
          <w:bCs/>
          <w:sz w:val="24"/>
          <w:lang w:val="en-US" w:eastAsia="zh-CN"/>
        </w:rPr>
        <w:t>系统功能模块清单：</w:t>
      </w:r>
    </w:p>
    <w:tbl>
      <w:tblPr>
        <w:tblStyle w:val="2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7680"/>
      </w:tblGrid>
      <w:tr w14:paraId="551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FAB87E4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80" w:type="dxa"/>
            <w:vAlign w:val="center"/>
          </w:tcPr>
          <w:p w14:paraId="2834E30F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系统功能模块</w:t>
            </w:r>
          </w:p>
        </w:tc>
      </w:tr>
      <w:tr w14:paraId="04CA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5929D09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80ECE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系统首页</w:t>
            </w:r>
          </w:p>
        </w:tc>
      </w:tr>
      <w:tr w14:paraId="348B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C000213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DDD8D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动态展示综合数据指标</w:t>
            </w:r>
          </w:p>
        </w:tc>
      </w:tr>
      <w:tr w14:paraId="7A57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3BD7DC7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9543C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服务累计访问量</w:t>
            </w:r>
          </w:p>
        </w:tc>
      </w:tr>
      <w:tr w14:paraId="050B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6367C0D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636626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API服务数量</w:t>
            </w:r>
          </w:p>
        </w:tc>
      </w:tr>
      <w:tr w14:paraId="222B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5C228EF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F64C3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当天服务访问总数</w:t>
            </w:r>
          </w:p>
        </w:tc>
      </w:tr>
      <w:tr w14:paraId="7EE0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5066AE7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3B5045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当天服务访问成功数（占比）</w:t>
            </w:r>
          </w:p>
        </w:tc>
      </w:tr>
      <w:tr w14:paraId="0B29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0D52FD2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6FAB3C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当天服务访问失败数（占比）</w:t>
            </w:r>
          </w:p>
        </w:tc>
      </w:tr>
      <w:tr w14:paraId="12FA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31DE1FE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AC08E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平均延时最高前5服务排行榜</w:t>
            </w:r>
          </w:p>
        </w:tc>
      </w:tr>
      <w:tr w14:paraId="39C1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6D8EB36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6A7B5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访问量前5服务排行榜</w:t>
            </w:r>
          </w:p>
        </w:tc>
      </w:tr>
      <w:tr w14:paraId="596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77C2980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11888F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请求失败次数前5服务排行榜</w:t>
            </w:r>
          </w:p>
        </w:tc>
      </w:tr>
      <w:tr w14:paraId="7C9A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051C5A5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6056BB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用户管理</w:t>
            </w:r>
          </w:p>
        </w:tc>
      </w:tr>
      <w:tr w14:paraId="72A5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5AC1D73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624425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角色管理</w:t>
            </w:r>
          </w:p>
        </w:tc>
      </w:tr>
      <w:tr w14:paraId="1ACF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52D846F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4B0431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渠道管理</w:t>
            </w:r>
          </w:p>
        </w:tc>
      </w:tr>
      <w:tr w14:paraId="11DE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3DD9BB5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B4F6A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系统配置</w:t>
            </w:r>
          </w:p>
        </w:tc>
      </w:tr>
      <w:tr w14:paraId="2BBE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5D852A9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69B2B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开发者中心</w:t>
            </w:r>
          </w:p>
        </w:tc>
      </w:tr>
      <w:tr w14:paraId="26E3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C0FC854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00AF8D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服务配置</w:t>
            </w:r>
          </w:p>
        </w:tc>
      </w:tr>
      <w:tr w14:paraId="0856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9E1E2C4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12C970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服务测试</w:t>
            </w:r>
          </w:p>
        </w:tc>
      </w:tr>
      <w:tr w14:paraId="327C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42BD742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C7AA7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接入申请</w:t>
            </w:r>
          </w:p>
        </w:tc>
      </w:tr>
      <w:tr w14:paraId="42F8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0384452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1D487C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接入审核</w:t>
            </w:r>
          </w:p>
        </w:tc>
      </w:tr>
      <w:tr w14:paraId="7656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1503F1B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C5AB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运营监控中心</w:t>
            </w:r>
          </w:p>
        </w:tc>
      </w:tr>
      <w:tr w14:paraId="0EB5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D34FD12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16E7D1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日志查询</w:t>
            </w:r>
          </w:p>
        </w:tc>
      </w:tr>
      <w:tr w14:paraId="1136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F3843A6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1032E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服务使用情况统计</w:t>
            </w:r>
          </w:p>
        </w:tc>
      </w:tr>
      <w:tr w14:paraId="5F51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617DC43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D06B5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渠道访问情况统计</w:t>
            </w:r>
          </w:p>
        </w:tc>
      </w:tr>
      <w:tr w14:paraId="506F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E14D02E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19F0F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预警消息</w:t>
            </w:r>
          </w:p>
        </w:tc>
      </w:tr>
      <w:tr w14:paraId="1C16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974CFE2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7E63E4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统一支付结算</w:t>
            </w:r>
          </w:p>
        </w:tc>
      </w:tr>
      <w:tr w14:paraId="623D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935C73B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2AD0B1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统一支付管理</w:t>
            </w:r>
          </w:p>
        </w:tc>
      </w:tr>
      <w:tr w14:paraId="3095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6EA482A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0C8300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商户号管理</w:t>
            </w:r>
          </w:p>
        </w:tc>
      </w:tr>
      <w:tr w14:paraId="615A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2B814A8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61D985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数据统一发布中心</w:t>
            </w:r>
          </w:p>
        </w:tc>
      </w:tr>
      <w:tr w14:paraId="3B65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985DFCE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01EBC8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科室主题数据管理</w:t>
            </w:r>
          </w:p>
        </w:tc>
      </w:tr>
      <w:tr w14:paraId="01E3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BA32939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1C337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医生主题数据管理</w:t>
            </w:r>
          </w:p>
        </w:tc>
      </w:tr>
      <w:tr w14:paraId="0C19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9321319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4EFB5B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网管服务</w:t>
            </w:r>
          </w:p>
        </w:tc>
      </w:tr>
      <w:tr w14:paraId="6711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02" w:type="dxa"/>
            <w:vAlign w:val="center"/>
          </w:tcPr>
          <w:p w14:paraId="6D564712">
            <w:pPr>
              <w:tabs>
                <w:tab w:val="left" w:pos="780"/>
              </w:tabs>
              <w:snapToGrid w:val="0"/>
              <w:spacing w:before="156" w:beforeLines="5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740A94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实际业务接口需求</w:t>
            </w:r>
          </w:p>
        </w:tc>
      </w:tr>
    </w:tbl>
    <w:p w14:paraId="11967FB7">
      <w:pPr>
        <w:snapToGrid w:val="0"/>
        <w:ind w:left="0" w:leftChars="0" w:right="0" w:rightChars="0" w:firstLine="0" w:firstLineChars="0"/>
        <w:jc w:val="left"/>
        <w:rPr>
          <w:rFonts w:hint="eastAsia" w:ascii="Times New Roman" w:eastAsia="宋体"/>
          <w:b w:val="0"/>
          <w:bCs/>
          <w:sz w:val="24"/>
          <w:lang w:val="en-US" w:eastAsia="zh-CN"/>
        </w:rPr>
      </w:pPr>
    </w:p>
    <w:p w14:paraId="1BE1AEBF">
      <w:pPr>
        <w:snapToGrid w:val="0"/>
        <w:ind w:left="0" w:leftChars="0" w:right="0" w:rightChars="0" w:firstLine="0" w:firstLineChars="0"/>
        <w:jc w:val="left"/>
        <w:rPr>
          <w:rFonts w:hint="default" w:ascii="Times New Roman" w:eastAsia="宋体"/>
          <w:b w:val="0"/>
          <w:bCs/>
          <w:sz w:val="24"/>
          <w:lang w:val="en-US" w:eastAsia="zh-CN"/>
        </w:rPr>
      </w:pPr>
      <w:r>
        <w:rPr>
          <w:rFonts w:hint="eastAsia" w:ascii="Times New Roman" w:eastAsia="宋体"/>
          <w:b w:val="0"/>
          <w:bCs/>
          <w:sz w:val="24"/>
          <w:lang w:val="en-US" w:eastAsia="zh-CN"/>
        </w:rPr>
        <w:t>2、运维服务要求</w:t>
      </w:r>
    </w:p>
    <w:tbl>
      <w:tblPr>
        <w:tblStyle w:val="19"/>
        <w:tblW w:w="92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74"/>
        <w:gridCol w:w="2071"/>
        <w:gridCol w:w="5029"/>
      </w:tblGrid>
      <w:tr w14:paraId="6807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4E8C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694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分类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5BA2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服务项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EF9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服务内容</w:t>
            </w:r>
          </w:p>
        </w:tc>
      </w:tr>
      <w:tr w14:paraId="3A5C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FF3F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6E3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运维服务</w:t>
            </w:r>
          </w:p>
        </w:tc>
        <w:tc>
          <w:tcPr>
            <w:tcW w:w="2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99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数据库巡检与处理</w:t>
            </w: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CE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数据库环境日常巡检（数据文件、硬件资源）</w:t>
            </w:r>
          </w:p>
        </w:tc>
      </w:tr>
      <w:tr w14:paraId="174C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96F7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F14C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2A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CBD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数据文件添加、日志清理</w:t>
            </w:r>
          </w:p>
        </w:tc>
      </w:tr>
      <w:tr w14:paraId="5EF9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FF15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2805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2F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应用服务巡检与处理</w:t>
            </w: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BF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应用服务日常巡检（K8S运维情况、服务运行状态、硬件资源）</w:t>
            </w:r>
          </w:p>
        </w:tc>
      </w:tr>
      <w:tr w14:paraId="00011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664C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8545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F6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5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根据巡检情况预先对应用服务节点进行调整，预防故障发生</w:t>
            </w:r>
          </w:p>
        </w:tc>
      </w:tr>
      <w:tr w14:paraId="3FB0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9831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F6A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12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系统日常运维</w:t>
            </w: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BF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软件产品操作指导与培训</w:t>
            </w:r>
          </w:p>
        </w:tc>
      </w:tr>
      <w:tr w14:paraId="4F7D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29CD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A266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BD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A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故障排查与处理</w:t>
            </w:r>
          </w:p>
        </w:tc>
      </w:tr>
      <w:tr w14:paraId="0B88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196D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812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1E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73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异常数据调整处理</w:t>
            </w:r>
          </w:p>
        </w:tc>
      </w:tr>
      <w:tr w14:paraId="74F3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0F36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FF22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BC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44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临时性数据统计</w:t>
            </w:r>
          </w:p>
        </w:tc>
      </w:tr>
      <w:tr w14:paraId="144D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F220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1861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8D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E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病历模板及表单调整</w:t>
            </w:r>
          </w:p>
        </w:tc>
      </w:tr>
      <w:tr w14:paraId="6A94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DCB4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7937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10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57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需求收集与确认（包括业务流程确认）</w:t>
            </w:r>
          </w:p>
        </w:tc>
      </w:tr>
      <w:tr w14:paraId="7F4D4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56A6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7CF8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7F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50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产品升级现场测试与需求功能验收确认</w:t>
            </w:r>
          </w:p>
        </w:tc>
      </w:tr>
      <w:tr w14:paraId="4F56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3EEB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7C16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B4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BUG修复</w:t>
            </w:r>
          </w:p>
        </w:tc>
        <w:tc>
          <w:tcPr>
            <w:tcW w:w="5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EE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产品BUG修复更新</w:t>
            </w:r>
          </w:p>
        </w:tc>
      </w:tr>
      <w:tr w14:paraId="7556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0B55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E63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B6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运维服务分析报告</w:t>
            </w:r>
          </w:p>
        </w:tc>
        <w:tc>
          <w:tcPr>
            <w:tcW w:w="5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FA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运维服务分析报告</w:t>
            </w:r>
          </w:p>
        </w:tc>
      </w:tr>
      <w:tr w14:paraId="7FD3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16C1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B2F5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53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接口研发</w:t>
            </w:r>
          </w:p>
        </w:tc>
        <w:tc>
          <w:tcPr>
            <w:tcW w:w="5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72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第三方产品接入增加接口开发</w:t>
            </w:r>
          </w:p>
        </w:tc>
      </w:tr>
      <w:tr w14:paraId="0F42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4AF1">
            <w:pPr>
              <w:pStyle w:val="49"/>
              <w:widowControl/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A2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4F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接口联调测试</w:t>
            </w:r>
          </w:p>
        </w:tc>
        <w:tc>
          <w:tcPr>
            <w:tcW w:w="5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A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 w:val="0"/>
                <w:bCs/>
                <w:sz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</w:rPr>
              <w:t>第三方产品接入联调测试</w:t>
            </w:r>
          </w:p>
        </w:tc>
      </w:tr>
    </w:tbl>
    <w:p w14:paraId="134A2162">
      <w:pPr>
        <w:numPr>
          <w:numId w:val="0"/>
        </w:numPr>
        <w:tabs>
          <w:tab w:val="left" w:pos="0"/>
        </w:tabs>
        <w:spacing w:before="156" w:beforeLines="50" w:line="360" w:lineRule="auto"/>
        <w:outlineLvl w:val="0"/>
        <w:rPr>
          <w:rFonts w:hint="default" w:ascii="宋体" w:hAnsi="宋体"/>
          <w:b/>
          <w:szCs w:val="21"/>
          <w:lang w:val="en-US" w:eastAsia="zh-CN"/>
        </w:rPr>
      </w:pPr>
    </w:p>
    <w:p w14:paraId="2FB0E3CF">
      <w:pPr>
        <w:numPr>
          <w:ilvl w:val="0"/>
          <w:numId w:val="5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日常维护</w:t>
      </w:r>
    </w:p>
    <w:p w14:paraId="2D8BA800">
      <w:pPr>
        <w:numPr>
          <w:ilvl w:val="0"/>
          <w:numId w:val="6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稳定运行保障：制定和调整系统检查和维护方案，保证在用各系统及其功能的完整及正确性，能承受不断增加的业务和数据压力，保证系统运行的高效、稳定。</w:t>
      </w:r>
    </w:p>
    <w:p w14:paraId="2463AFB1">
      <w:pPr>
        <w:numPr>
          <w:ilvl w:val="0"/>
          <w:numId w:val="6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系统错误修复：系统在使用过程中发现的错误，在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1  </w:t>
      </w:r>
      <w:r>
        <w:rPr>
          <w:rFonts w:hint="eastAsia" w:ascii="宋体" w:hAnsi="宋体"/>
          <w:color w:val="auto"/>
          <w:szCs w:val="21"/>
          <w:highlight w:val="none"/>
        </w:rPr>
        <w:t>个工作日完成修复。</w:t>
      </w:r>
    </w:p>
    <w:p w14:paraId="34D779CF">
      <w:pPr>
        <w:numPr>
          <w:ilvl w:val="0"/>
          <w:numId w:val="6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系统数据修复：系统使用过程中，因用户误操作等原因导致的数据错误，查明原因和进行数据修复。在____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__个工作日完成修复。</w:t>
      </w:r>
    </w:p>
    <w:p w14:paraId="5B2B3331">
      <w:pPr>
        <w:numPr>
          <w:ilvl w:val="0"/>
          <w:numId w:val="6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实施培训：负责因各种原因变化增加的项目实施和人员培训工作。</w:t>
      </w:r>
    </w:p>
    <w:p w14:paraId="3FF3F662">
      <w:pPr>
        <w:numPr>
          <w:ilvl w:val="0"/>
          <w:numId w:val="5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</w:t>
      </w:r>
    </w:p>
    <w:p w14:paraId="75B75335">
      <w:pPr>
        <w:spacing w:line="360" w:lineRule="auto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根据院方的要求改进或扩充信息系统使其</w:t>
      </w:r>
      <w:r>
        <w:rPr>
          <w:rFonts w:hint="eastAsia" w:ascii="宋体" w:hAnsi="宋体"/>
          <w:szCs w:val="21"/>
          <w:lang w:eastAsia="zh-CN"/>
        </w:rPr>
        <w:t>更</w:t>
      </w:r>
      <w:r>
        <w:rPr>
          <w:rFonts w:hint="eastAsia" w:ascii="宋体" w:hAnsi="宋体"/>
          <w:szCs w:val="21"/>
        </w:rPr>
        <w:t>完善、适应环境的变化，以及与第三方软件的接口集成，并将这些修改调整加以实施、培训、后续服务</w:t>
      </w:r>
      <w:r>
        <w:rPr>
          <w:rFonts w:hint="eastAsia" w:ascii="宋体" w:hAnsi="宋体"/>
          <w:szCs w:val="21"/>
          <w:lang w:val="en-US" w:eastAsia="zh-CN"/>
        </w:rPr>
        <w:t>。</w:t>
      </w:r>
    </w:p>
    <w:p w14:paraId="6254B7C5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服务商根据院方所提出的需求，对软件进行本地化修改过程中，涉及数据库表结构，视图以及存储过程的变更，需要通过院方信息部门的评审，评审通过后方可修改。</w:t>
      </w:r>
    </w:p>
    <w:p w14:paraId="04D71EBD">
      <w:pPr>
        <w:numPr>
          <w:ilvl w:val="0"/>
          <w:numId w:val="7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完善性调整</w:t>
      </w:r>
    </w:p>
    <w:p w14:paraId="6ABB6F68">
      <w:pPr>
        <w:numPr>
          <w:ilvl w:val="0"/>
          <w:numId w:val="8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支持为</w:t>
      </w:r>
      <w:r>
        <w:rPr>
          <w:rFonts w:hint="eastAsia" w:ascii="宋体" w:hAnsi="宋体"/>
          <w:szCs w:val="21"/>
          <w:lang w:eastAsia="zh-CN"/>
        </w:rPr>
        <w:t>达到</w:t>
      </w:r>
      <w:r>
        <w:rPr>
          <w:rFonts w:hint="eastAsia" w:ascii="宋体" w:hAnsi="宋体"/>
          <w:szCs w:val="21"/>
        </w:rPr>
        <w:t>符合政府规范、要求所必须进行的修改。</w:t>
      </w:r>
    </w:p>
    <w:p w14:paraId="3C48FB6A">
      <w:pPr>
        <w:numPr>
          <w:ilvl w:val="0"/>
          <w:numId w:val="8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根据院方管理和业务变化做出必要的流程变更、调整和修改，执行和实施信息系统软件升级。</w:t>
      </w:r>
    </w:p>
    <w:p w14:paraId="230A7A28">
      <w:pPr>
        <w:numPr>
          <w:ilvl w:val="0"/>
          <w:numId w:val="7"/>
        </w:num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适应性调整</w:t>
      </w:r>
    </w:p>
    <w:p w14:paraId="16D5B145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 w14:paraId="563D9CC0">
      <w:pPr>
        <w:numPr>
          <w:ilvl w:val="0"/>
          <w:numId w:val="7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第三方软件接口开发</w:t>
      </w:r>
    </w:p>
    <w:p w14:paraId="5E6B710A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维护期内，对维护范围内的系统，院方购买的第三方软件、设备需要集成到所维护的信息系统中时，负责完成</w:t>
      </w:r>
      <w:r>
        <w:rPr>
          <w:rFonts w:hint="eastAsia" w:ascii="宋体" w:hAnsi="宋体"/>
          <w:szCs w:val="21"/>
          <w:lang w:val="en-US" w:eastAsia="zh-CN"/>
        </w:rPr>
        <w:t>乙方系统</w:t>
      </w:r>
      <w:r>
        <w:rPr>
          <w:rFonts w:hint="eastAsia" w:ascii="宋体" w:hAnsi="宋体"/>
          <w:szCs w:val="21"/>
        </w:rPr>
        <w:t>相应的接口开发工作。</w:t>
      </w:r>
    </w:p>
    <w:p w14:paraId="37D9240C">
      <w:pPr>
        <w:numPr>
          <w:ilvl w:val="0"/>
          <w:numId w:val="5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系统集成服务</w:t>
      </w:r>
    </w:p>
    <w:p w14:paraId="6B3B9617">
      <w:pPr>
        <w:numPr>
          <w:ilvl w:val="0"/>
          <w:numId w:val="9"/>
        </w:numPr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系统维护：负责操作系统、数据库等系统平台软件的管理、监控和维护。</w:t>
      </w:r>
    </w:p>
    <w:p w14:paraId="0C56CBA6">
      <w:pPr>
        <w:numPr>
          <w:ilvl w:val="0"/>
          <w:numId w:val="9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系统安全：负责医院信息系统安全性方案的总体规划、设计和监控。</w:t>
      </w:r>
    </w:p>
    <w:p w14:paraId="147F6D81">
      <w:pPr>
        <w:numPr>
          <w:ilvl w:val="0"/>
          <w:numId w:val="9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数据备份：负责医院数据备份包括实时备份和系统安全性方案的设计和实施。</w:t>
      </w:r>
    </w:p>
    <w:p w14:paraId="67A7AAE0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服务方式</w:t>
      </w:r>
    </w:p>
    <w:p w14:paraId="271D265E">
      <w:pPr>
        <w:numPr>
          <w:ilvl w:val="0"/>
          <w:numId w:val="10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服务商成立专门的项目组开展工作，指派专人负责，按时完成工作内容。</w:t>
      </w:r>
    </w:p>
    <w:p w14:paraId="361EC019">
      <w:pPr>
        <w:numPr>
          <w:ilvl w:val="0"/>
          <w:numId w:val="10"/>
        </w:numPr>
        <w:spacing w:line="360" w:lineRule="auto"/>
        <w:ind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以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远程</w:t>
      </w:r>
      <w:r>
        <w:rPr>
          <w:rFonts w:hint="eastAsia" w:ascii="宋体" w:hAnsi="宋体"/>
          <w:color w:val="auto"/>
          <w:szCs w:val="21"/>
          <w:highlight w:val="none"/>
        </w:rPr>
        <w:t>服务为主，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包括</w:t>
      </w:r>
      <w:r>
        <w:rPr>
          <w:rFonts w:hint="eastAsia" w:ascii="宋体" w:hAnsi="宋体"/>
          <w:color w:val="auto"/>
          <w:szCs w:val="21"/>
          <w:highlight w:val="none"/>
        </w:rPr>
        <w:t>电话、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微信、</w:t>
      </w:r>
      <w:r>
        <w:rPr>
          <w:rFonts w:hint="eastAsia" w:ascii="宋体" w:hAnsi="宋体"/>
          <w:color w:val="auto"/>
          <w:szCs w:val="21"/>
          <w:highlight w:val="none"/>
        </w:rPr>
        <w:t>邮件指导、远程维护、技术交流方式不限。</w:t>
      </w:r>
    </w:p>
    <w:p w14:paraId="7DE424C1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服务时间</w:t>
      </w:r>
    </w:p>
    <w:p w14:paraId="2309069A"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自合同签订之日起，服务期为1年。</w:t>
      </w:r>
    </w:p>
    <w:p w14:paraId="178B1542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服务响应要求</w:t>
      </w:r>
    </w:p>
    <w:p w14:paraId="2CCFF0AE">
      <w:pPr>
        <w:numPr>
          <w:ilvl w:val="0"/>
          <w:numId w:val="11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日常维护响应</w:t>
      </w:r>
    </w:p>
    <w:p w14:paraId="06C958A5">
      <w:pPr>
        <w:numPr>
          <w:ilvl w:val="0"/>
          <w:numId w:val="12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小时；</w:t>
      </w:r>
    </w:p>
    <w:p w14:paraId="4A96F7F0">
      <w:pPr>
        <w:numPr>
          <w:ilvl w:val="0"/>
          <w:numId w:val="12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非工作期间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小时。</w:t>
      </w:r>
    </w:p>
    <w:p w14:paraId="2DFA7B1C">
      <w:pPr>
        <w:numPr>
          <w:ilvl w:val="0"/>
          <w:numId w:val="12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服务商应提出故障解决方案，工作至故障修妥完全恢复正常服务为止，修复时间不超过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个工作日。</w:t>
      </w:r>
    </w:p>
    <w:p w14:paraId="78C0AA36">
      <w:pPr>
        <w:numPr>
          <w:ilvl w:val="0"/>
          <w:numId w:val="11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szCs w:val="21"/>
        </w:rPr>
        <w:t>修改调整、系统集成响应：</w:t>
      </w:r>
      <w:r>
        <w:rPr>
          <w:rFonts w:hint="eastAsia" w:ascii="宋体" w:hAnsi="宋体"/>
          <w:bCs/>
          <w:szCs w:val="21"/>
        </w:rPr>
        <w:t>服务商应在院方提交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双方确认后的合理</w:t>
      </w:r>
      <w:r>
        <w:rPr>
          <w:rFonts w:hint="eastAsia" w:ascii="宋体" w:hAnsi="宋体"/>
          <w:bCs/>
          <w:color w:val="auto"/>
          <w:szCs w:val="21"/>
          <w:highlight w:val="none"/>
        </w:rPr>
        <w:t>修改调整内容后的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Cs/>
          <w:color w:val="auto"/>
          <w:szCs w:val="21"/>
          <w:highlight w:val="none"/>
        </w:rPr>
        <w:t>天内落实交付。</w:t>
      </w:r>
    </w:p>
    <w:p w14:paraId="3A202AA9">
      <w:pPr>
        <w:tabs>
          <w:tab w:val="left" w:pos="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若服务商未能及时进行需求响应，院方有权终止维护合同。</w:t>
      </w:r>
    </w:p>
    <w:p w14:paraId="1F68B320">
      <w:pPr>
        <w:numPr>
          <w:ilvl w:val="0"/>
          <w:numId w:val="11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服务商应作出无推诿承诺：</w:t>
      </w:r>
      <w:r>
        <w:rPr>
          <w:rFonts w:hint="eastAsia" w:ascii="宋体" w:hAnsi="宋体"/>
          <w:szCs w:val="21"/>
        </w:rPr>
        <w:t>即服务商在收到院方报修通知及要求后，须立即派技术人员到场，全力协助、使系统尽快恢复正常。</w:t>
      </w:r>
    </w:p>
    <w:p w14:paraId="791EABA8">
      <w:pPr>
        <w:numPr>
          <w:ilvl w:val="0"/>
          <w:numId w:val="11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提供详细的维护人员清单</w:t>
      </w:r>
    </w:p>
    <w:p w14:paraId="323A7C1C">
      <w:pPr>
        <w:tabs>
          <w:tab w:val="left" w:pos="0"/>
          <w:tab w:val="left" w:pos="210"/>
          <w:tab w:val="left" w:pos="567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服务商应有专门的维护部门并指定固定技术力量用于信息系统维护，并向用户提供详细的维护人员清单及其联系方式。</w:t>
      </w:r>
    </w:p>
    <w:p w14:paraId="5F0E6F00">
      <w:pPr>
        <w:numPr>
          <w:ilvl w:val="0"/>
          <w:numId w:val="11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系统维护工作要求</w:t>
      </w:r>
    </w:p>
    <w:p w14:paraId="5D19DC0D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14:paraId="296AE99C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服务商需根据院方要求，安排维护人员使用院方项目管理平台系统中的需求管理模块和缺陷（报障）管理模块，接收院方相关报障及需求信息，并反馈相应处理信息，该维护记录可作为维保履约证明。</w:t>
      </w:r>
    </w:p>
    <w:p w14:paraId="35DBCFEE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定期（每季度）进行系统巡检，对系统运行的软硬件情况（尤其是数据库环境）进行监控，并出具巡检报告，针对潜在的风险应提供解决方案并实施。</w:t>
      </w:r>
    </w:p>
    <w:p w14:paraId="50C3E226">
      <w:pPr>
        <w:rPr>
          <w:rFonts w:hint="eastAsia"/>
          <w:lang w:eastAsia="zh-CN"/>
        </w:rPr>
      </w:pPr>
    </w:p>
    <w:p w14:paraId="29B51024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维护</w:t>
      </w:r>
      <w:r>
        <w:rPr>
          <w:rFonts w:ascii="宋体" w:hAnsi="宋体"/>
          <w:sz w:val="32"/>
          <w:szCs w:val="32"/>
          <w:lang w:eastAsia="zh-CN"/>
        </w:rPr>
        <w:t>服务</w:t>
      </w:r>
      <w:r>
        <w:rPr>
          <w:rFonts w:hint="eastAsia" w:ascii="宋体" w:hAnsi="宋体"/>
          <w:sz w:val="32"/>
          <w:szCs w:val="32"/>
        </w:rPr>
        <w:t>验收</w:t>
      </w:r>
    </w:p>
    <w:p w14:paraId="7A66B14E">
      <w:pPr>
        <w:numPr>
          <w:ilvl w:val="0"/>
          <w:numId w:val="14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验收时间：由服务商向院方申请验收，合同到期后_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_个工作日内院方需启动验收。</w:t>
      </w:r>
    </w:p>
    <w:p w14:paraId="5EA7540B">
      <w:pPr>
        <w:numPr>
          <w:ilvl w:val="0"/>
          <w:numId w:val="14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验收人员：双方相关人员。</w:t>
      </w:r>
    </w:p>
    <w:p w14:paraId="5BD29631">
      <w:pPr>
        <w:numPr>
          <w:ilvl w:val="0"/>
          <w:numId w:val="14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验收标准</w:t>
      </w:r>
    </w:p>
    <w:p w14:paraId="16DF1540">
      <w:pPr>
        <w:tabs>
          <w:tab w:val="left" w:pos="0"/>
          <w:tab w:val="left" w:pos="210"/>
          <w:tab w:val="left" w:pos="567"/>
        </w:tabs>
        <w:spacing w:line="360" w:lineRule="auto"/>
        <w:ind w:left="420"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服务商提供维护记录（系统错误修复、系统数据修复、系统集成</w:t>
      </w:r>
      <w:r>
        <w:rPr>
          <w:rFonts w:hint="eastAsia" w:ascii="宋体" w:hAnsi="宋体"/>
          <w:color w:val="auto"/>
          <w:szCs w:val="21"/>
          <w:lang w:eastAsia="zh-CN"/>
        </w:rPr>
        <w:t>、</w:t>
      </w:r>
      <w:r>
        <w:rPr>
          <w:rFonts w:hint="eastAsia" w:ascii="宋体" w:hAnsi="宋体"/>
          <w:color w:val="auto"/>
          <w:szCs w:val="21"/>
          <w:lang w:val="en-US" w:eastAsia="zh-CN"/>
        </w:rPr>
        <w:t>修改调整成果</w:t>
      </w:r>
      <w:r>
        <w:rPr>
          <w:rFonts w:hint="eastAsia" w:ascii="宋体" w:hAnsi="宋体"/>
          <w:color w:val="auto"/>
          <w:szCs w:val="21"/>
        </w:rPr>
        <w:t>）经院方审核确认后验收。</w:t>
      </w:r>
    </w:p>
    <w:p w14:paraId="01EE266D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hint="eastAsia" w:ascii="宋体" w:hAnsi="宋体"/>
          <w:szCs w:val="21"/>
        </w:rPr>
      </w:pPr>
    </w:p>
    <w:p w14:paraId="7868D2F2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6358FAF7"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(一)</w:t>
      </w:r>
      <w:r>
        <w:rPr>
          <w:rFonts w:hint="eastAsia" w:ascii="宋体" w:hAnsi="宋体" w:cs="宋体"/>
          <w:color w:val="auto"/>
          <w:szCs w:val="21"/>
          <w:highlight w:val="none"/>
        </w:rPr>
        <w:tab/>
      </w:r>
      <w:r>
        <w:rPr>
          <w:rFonts w:hint="eastAsia" w:ascii="宋体" w:hAnsi="宋体" w:cs="宋体"/>
          <w:color w:val="auto"/>
          <w:szCs w:val="21"/>
          <w:highlight w:val="none"/>
        </w:rPr>
        <w:t>服务期开始后，在收到开具相应金额正式发票后，支付合同总金额的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color w:val="auto"/>
          <w:szCs w:val="21"/>
          <w:highlight w:val="none"/>
        </w:rPr>
        <w:t>0</w:t>
      </w:r>
      <w:r>
        <w:rPr>
          <w:rFonts w:hint="eastAsia" w:ascii="宋体" w:hAnsi="宋体" w:cs="宋体"/>
          <w:color w:val="auto"/>
          <w:szCs w:val="21"/>
          <w:highlight w:val="none"/>
        </w:rPr>
        <w:t>%。</w:t>
      </w:r>
    </w:p>
    <w:p w14:paraId="4478DFB8"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(二)</w:t>
      </w:r>
      <w:r>
        <w:rPr>
          <w:rFonts w:hint="eastAsia" w:ascii="宋体" w:hAnsi="宋体" w:cs="宋体"/>
          <w:color w:val="auto"/>
          <w:szCs w:val="21"/>
          <w:highlight w:val="none"/>
        </w:rPr>
        <w:tab/>
      </w:r>
      <w:r>
        <w:rPr>
          <w:rFonts w:hint="eastAsia" w:ascii="宋体" w:hAnsi="宋体" w:cs="宋体"/>
          <w:color w:val="auto"/>
          <w:szCs w:val="21"/>
          <w:highlight w:val="none"/>
        </w:rPr>
        <w:t>服务时间达到50%，服务商提供半年度维护服务记录及开具相应金额正式发票后，支付合同总金额的30%。</w:t>
      </w:r>
    </w:p>
    <w:p w14:paraId="1BA73EF6"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(三)</w:t>
      </w:r>
      <w:r>
        <w:rPr>
          <w:rFonts w:hint="eastAsia" w:ascii="宋体" w:hAnsi="宋体" w:cs="宋体"/>
          <w:color w:val="auto"/>
          <w:szCs w:val="21"/>
          <w:highlight w:val="none"/>
        </w:rPr>
        <w:tab/>
      </w:r>
      <w:r>
        <w:rPr>
          <w:rFonts w:hint="eastAsia" w:ascii="宋体" w:hAnsi="宋体" w:cs="宋体"/>
          <w:color w:val="auto"/>
          <w:szCs w:val="21"/>
          <w:highlight w:val="none"/>
        </w:rPr>
        <w:t>合同期满（服务时间达到100%）且通过维护验收，服务商提供完整维护服务记录及开具相应金额正式发票后，支付合同总金额的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0%。</w:t>
      </w:r>
    </w:p>
    <w:p w14:paraId="2D234DD6">
      <w:pPr>
        <w:tabs>
          <w:tab w:val="left" w:pos="780"/>
        </w:tabs>
        <w:spacing w:before="156" w:beforeLines="50" w:line="360" w:lineRule="auto"/>
        <w:outlineLvl w:val="0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FDD07AE">
      <w:pPr>
        <w:tabs>
          <w:tab w:val="left" w:pos="780"/>
        </w:tabs>
        <w:spacing w:before="156" w:beforeLines="50" w:line="360" w:lineRule="auto"/>
        <w:ind w:firstLine="720" w:firstLineChars="300"/>
        <w:outlineLvl w:val="0"/>
        <w:rPr>
          <w:rFonts w:hint="eastAsia" w:ascii="宋体" w:hAnsi="宋体" w:cs="宋体"/>
          <w:b w:val="0"/>
          <w:bCs/>
          <w:color w:val="FF0000"/>
          <w:sz w:val="24"/>
          <w:szCs w:val="24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32979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 w14:paraId="358228BD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304E0"/>
    <w:multiLevelType w:val="singleLevel"/>
    <w:tmpl w:val="024304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>
    <w:nsid w:val="05734DD5"/>
    <w:multiLevelType w:val="multilevel"/>
    <w:tmpl w:val="05734DD5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 w:tentative="0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855128A"/>
    <w:multiLevelType w:val="singleLevel"/>
    <w:tmpl w:val="085512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371EAA0"/>
    <w:multiLevelType w:val="singleLevel"/>
    <w:tmpl w:val="1371EAA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0785981"/>
    <w:multiLevelType w:val="multilevel"/>
    <w:tmpl w:val="2078598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F40F8A"/>
    <w:multiLevelType w:val="multilevel"/>
    <w:tmpl w:val="26F40F8A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2D94410C"/>
    <w:multiLevelType w:val="multilevel"/>
    <w:tmpl w:val="2D9441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8">
    <w:nsid w:val="3940A017"/>
    <w:multiLevelType w:val="singleLevel"/>
    <w:tmpl w:val="3940A01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3EBB3C91"/>
    <w:multiLevelType w:val="multilevel"/>
    <w:tmpl w:val="3EBB3C91"/>
    <w:lvl w:ilvl="0" w:tentative="0">
      <w:start w:val="1"/>
      <w:numFmt w:val="decimal"/>
      <w:pStyle w:val="58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1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7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6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5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0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1">
    <w:nsid w:val="516C67E7"/>
    <w:multiLevelType w:val="multilevel"/>
    <w:tmpl w:val="516C67E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6E26F0B"/>
    <w:multiLevelType w:val="multilevel"/>
    <w:tmpl w:val="56E26F0B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2C2438C"/>
    <w:multiLevelType w:val="singleLevel"/>
    <w:tmpl w:val="72C243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01DE14F7"/>
    <w:rsid w:val="0512093A"/>
    <w:rsid w:val="11465C0D"/>
    <w:rsid w:val="11D156C7"/>
    <w:rsid w:val="1F7163BD"/>
    <w:rsid w:val="20470C49"/>
    <w:rsid w:val="26552343"/>
    <w:rsid w:val="29DF73C0"/>
    <w:rsid w:val="2A847BAF"/>
    <w:rsid w:val="378B027E"/>
    <w:rsid w:val="3A773257"/>
    <w:rsid w:val="3B6C7B1C"/>
    <w:rsid w:val="3D990B74"/>
    <w:rsid w:val="42200080"/>
    <w:rsid w:val="488C513A"/>
    <w:rsid w:val="49DA6CE1"/>
    <w:rsid w:val="624D4644"/>
    <w:rsid w:val="65A93FDD"/>
    <w:rsid w:val="68F452E3"/>
    <w:rsid w:val="6F372B4E"/>
    <w:rsid w:val="71996E99"/>
    <w:rsid w:val="7A99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4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6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7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4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6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9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Char"/>
    <w:link w:val="12"/>
    <w:qFormat/>
    <w:uiPriority w:val="0"/>
    <w:rPr>
      <w:szCs w:val="24"/>
    </w:rPr>
  </w:style>
  <w:style w:type="character" w:customStyle="1" w:styleId="36">
    <w:name w:val="纯文本 Char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38">
    <w:name w:val="页脚 Char"/>
    <w:link w:val="15"/>
    <w:qFormat/>
    <w:uiPriority w:val="0"/>
    <w:rPr>
      <w:kern w:val="2"/>
      <w:sz w:val="18"/>
      <w:szCs w:val="18"/>
    </w:rPr>
  </w:style>
  <w:style w:type="character" w:customStyle="1" w:styleId="39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40">
    <w:name w:val="已访问的超链接1"/>
    <w:qFormat/>
    <w:uiPriority w:val="0"/>
    <w:rPr>
      <w:color w:val="800080"/>
      <w:u w:val="single"/>
    </w:rPr>
  </w:style>
  <w:style w:type="character" w:customStyle="1" w:styleId="41">
    <w:name w:val="正文（首行缩进2字符） Char"/>
    <w:link w:val="42"/>
    <w:qFormat/>
    <w:uiPriority w:val="0"/>
    <w:rPr>
      <w:kern w:val="2"/>
      <w:sz w:val="24"/>
      <w:szCs w:val="24"/>
    </w:rPr>
  </w:style>
  <w:style w:type="paragraph" w:customStyle="1" w:styleId="42">
    <w:name w:val="正文（首行缩进2字符）"/>
    <w:basedOn w:val="1"/>
    <w:link w:val="41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3">
    <w:name w:val="段落 Char1"/>
    <w:link w:val="44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4">
    <w:name w:val="段落"/>
    <w:link w:val="43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5">
    <w:name w:val="正文（安华金和） Char"/>
    <w:link w:val="46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6">
    <w:name w:val="正文（安华金和）"/>
    <w:link w:val="45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7">
    <w:name w:val="页脚 字符"/>
    <w:qFormat/>
    <w:uiPriority w:val="99"/>
  </w:style>
  <w:style w:type="character" w:customStyle="1" w:styleId="48">
    <w:name w:val="列出段落 Char"/>
    <w:link w:val="49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9">
    <w:name w:val="List Paragraph"/>
    <w:basedOn w:val="1"/>
    <w:link w:val="48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0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1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3">
    <w:name w:val="_Style 27"/>
    <w:basedOn w:val="1"/>
    <w:next w:val="49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6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9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0">
    <w:name w:val="表格标注（安华金和）"/>
    <w:basedOn w:val="50"/>
    <w:next w:val="1"/>
    <w:qFormat/>
    <w:uiPriority w:val="0"/>
    <w:pPr>
      <w:numPr>
        <w:ilvl w:val="7"/>
      </w:numPr>
    </w:pPr>
  </w:style>
  <w:style w:type="paragraph" w:customStyle="1" w:styleId="61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2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3">
    <w:name w:val="批注文字 字符"/>
    <w:qFormat/>
    <w:uiPriority w:val="99"/>
    <w:rPr>
      <w:kern w:val="2"/>
      <w:sz w:val="21"/>
      <w:szCs w:val="24"/>
    </w:rPr>
  </w:style>
  <w:style w:type="character" w:customStyle="1" w:styleId="64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1893</Words>
  <Characters>1925</Characters>
  <Lines>13</Lines>
  <Paragraphs>3</Paragraphs>
  <TotalTime>20</TotalTime>
  <ScaleCrop>false</ScaleCrop>
  <LinksUpToDate>false</LinksUpToDate>
  <CharactersWithSpaces>1935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刘亮</cp:lastModifiedBy>
  <dcterms:modified xsi:type="dcterms:W3CDTF">2026-05-28T01:25:50Z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E5D3C62030564C23A7CEBC8C2F517FE2_13</vt:lpwstr>
  </property>
  <property fmtid="{D5CDD505-2E9C-101B-9397-08002B2CF9AE}" pid="4" name="KSOTemplateDocerSaveRecord">
    <vt:lpwstr>eyJoZGlkIjoiN2QyMWRkYjJiOWE2ZjEwYTBjM2IzY2M0MmUzMDY1YjUiLCJ1c2VySWQiOiIzNDM3MTE1NjEifQ==</vt:lpwstr>
  </property>
</Properties>
</file>