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3E3E4">
      <w:pPr>
        <w:widowControl w:val="0"/>
        <w:numPr>
          <w:ilvl w:val="0"/>
          <w:numId w:val="0"/>
        </w:numPr>
        <w:jc w:val="center"/>
        <w:rPr>
          <w:rFonts w:hint="default" w:ascii="新宋体" w:hAnsi="新宋体" w:eastAsia="新宋体" w:cs="新宋体"/>
          <w:sz w:val="32"/>
          <w:szCs w:val="40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40"/>
          <w:lang w:val="en-US" w:eastAsia="zh-CN"/>
        </w:rPr>
        <w:t>广东省人民医院WAF应用防护升级替换项目需求</w:t>
      </w:r>
    </w:p>
    <w:p w14:paraId="7A184D13">
      <w:pPr>
        <w:widowControl w:val="0"/>
        <w:numPr>
          <w:ilvl w:val="0"/>
          <w:numId w:val="0"/>
        </w:numPr>
        <w:jc w:val="both"/>
      </w:pPr>
    </w:p>
    <w:p w14:paraId="63A05F4D">
      <w:pPr>
        <w:ind w:firstLine="560" w:firstLineChars="200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为保障医院对外网站和Web应用安全，我院采购两台基于新一代防护技术的WAF设备</w:t>
      </w:r>
      <w:r>
        <w:rPr>
          <w:rFonts w:hint="eastAsia" w:ascii="新宋体" w:hAnsi="新宋体" w:eastAsia="新宋体" w:cs="新宋体"/>
          <w:sz w:val="28"/>
          <w:szCs w:val="28"/>
        </w:rPr>
        <w:t>，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提升Web应用防护能力，拦截各类应用漏洞攻击，</w:t>
      </w:r>
      <w:r>
        <w:rPr>
          <w:rFonts w:hint="eastAsia" w:ascii="新宋体" w:hAnsi="新宋体" w:eastAsia="新宋体" w:cs="新宋体"/>
          <w:sz w:val="28"/>
          <w:szCs w:val="28"/>
        </w:rPr>
        <w:t>进一步保障医院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对外</w:t>
      </w:r>
      <w:r>
        <w:rPr>
          <w:rFonts w:hint="eastAsia" w:ascii="新宋体" w:hAnsi="新宋体" w:eastAsia="新宋体" w:cs="新宋体"/>
          <w:sz w:val="28"/>
          <w:szCs w:val="28"/>
        </w:rPr>
        <w:t>业务安全。</w:t>
      </w:r>
    </w:p>
    <w:p w14:paraId="31E3C9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一、项目名称</w:t>
      </w:r>
    </w:p>
    <w:p w14:paraId="292E0684">
      <w:pPr>
        <w:ind w:firstLine="560" w:firstLineChars="200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项目名称：WAF应用防护升级替换</w:t>
      </w:r>
      <w:bookmarkStart w:id="0" w:name="_GoBack"/>
      <w:bookmarkEnd w:id="0"/>
    </w:p>
    <w:p w14:paraId="29C89BD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二、采购清单</w:t>
      </w:r>
    </w:p>
    <w:p w14:paraId="54C54B01">
      <w:pPr>
        <w:ind w:firstLine="560" w:firstLineChars="200"/>
        <w:rPr>
          <w:rFonts w:hint="eastAsia" w:ascii="新宋体" w:hAnsi="新宋体" w:eastAsia="新宋体" w:cs="新宋体"/>
          <w:sz w:val="28"/>
        </w:rPr>
      </w:pPr>
      <w:r>
        <w:rPr>
          <w:rFonts w:hint="eastAsia" w:ascii="新宋体" w:hAnsi="新宋体" w:eastAsia="新宋体" w:cs="新宋体"/>
          <w:sz w:val="28"/>
        </w:rPr>
        <w:t>设备采购数量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657"/>
        <w:gridCol w:w="2203"/>
      </w:tblGrid>
      <w:tr w14:paraId="5D692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02" w:type="dxa"/>
            <w:noWrap w:val="0"/>
            <w:vAlign w:val="center"/>
          </w:tcPr>
          <w:p w14:paraId="1A132256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序号</w:t>
            </w:r>
          </w:p>
        </w:tc>
        <w:tc>
          <w:tcPr>
            <w:tcW w:w="3657" w:type="dxa"/>
            <w:noWrap w:val="0"/>
            <w:vAlign w:val="center"/>
          </w:tcPr>
          <w:p w14:paraId="584CBC27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采购产品</w:t>
            </w:r>
          </w:p>
        </w:tc>
        <w:tc>
          <w:tcPr>
            <w:tcW w:w="2203" w:type="dxa"/>
            <w:noWrap w:val="0"/>
            <w:vAlign w:val="center"/>
          </w:tcPr>
          <w:p w14:paraId="07C422D7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数量</w:t>
            </w:r>
          </w:p>
        </w:tc>
      </w:tr>
      <w:tr w14:paraId="3CED4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02" w:type="dxa"/>
            <w:noWrap w:val="0"/>
            <w:vAlign w:val="center"/>
          </w:tcPr>
          <w:p w14:paraId="41D52281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1</w:t>
            </w:r>
          </w:p>
        </w:tc>
        <w:tc>
          <w:tcPr>
            <w:tcW w:w="3657" w:type="dxa"/>
            <w:noWrap w:val="0"/>
            <w:vAlign w:val="center"/>
          </w:tcPr>
          <w:p w14:paraId="58BEF32B"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lang w:val="en-US" w:eastAsia="zh-CN"/>
              </w:rPr>
              <w:t>WAF设备</w:t>
            </w:r>
          </w:p>
        </w:tc>
        <w:tc>
          <w:tcPr>
            <w:tcW w:w="2203" w:type="dxa"/>
            <w:noWrap w:val="0"/>
            <w:vAlign w:val="center"/>
          </w:tcPr>
          <w:p w14:paraId="619DA710"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</w:rPr>
              <w:t>2</w:t>
            </w:r>
          </w:p>
        </w:tc>
      </w:tr>
    </w:tbl>
    <w:p w14:paraId="23428E70">
      <w:pPr>
        <w:pStyle w:val="17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531D1B4D">
      <w:pPr>
        <w:pStyle w:val="17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38EEC217">
      <w:pPr>
        <w:pStyle w:val="17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37DDCDBD">
      <w:pPr>
        <w:pStyle w:val="17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46424A1A"/>
    <w:p w14:paraId="6A96D96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三、采购需求</w:t>
      </w:r>
    </w:p>
    <w:p w14:paraId="6E430921">
      <w:pPr>
        <w:widowControl w:val="0"/>
        <w:numPr>
          <w:ilvl w:val="0"/>
          <w:numId w:val="0"/>
        </w:numPr>
        <w:jc w:val="both"/>
      </w:pPr>
    </w:p>
    <w:tbl>
      <w:tblPr>
        <w:tblStyle w:val="4"/>
        <w:tblW w:w="8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157"/>
        <w:gridCol w:w="6568"/>
      </w:tblGrid>
      <w:tr w14:paraId="15D26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CFB2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0202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功能项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298E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功能要求说明</w:t>
            </w:r>
          </w:p>
        </w:tc>
      </w:tr>
      <w:tr w14:paraId="77E2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7D2AE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C38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设备要求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ACBF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专用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WAF设备（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Web硬件防火墙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，具备独立自主知识产权，2U标准机架式设备，3年原厂软硬件维保服务。</w:t>
            </w:r>
          </w:p>
        </w:tc>
      </w:tr>
      <w:tr w14:paraId="46F9A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B359A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4982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微软雅黑" w:eastAsia="微软雅黑"/>
                <w:sz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硬件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0763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16"/>
                <w:rFonts w:hint="eastAsia" w:ascii="微软雅黑" w:eastAsia="微软雅黑"/>
                <w:sz w:val="18"/>
                <w:lang w:eastAsia="zh-CN" w:bidi="ar"/>
              </w:rPr>
            </w:pPr>
            <w:r>
              <w:rPr>
                <w:rStyle w:val="16"/>
                <w:rFonts w:hint="eastAsia" w:ascii="微软雅黑" w:eastAsia="微软雅黑"/>
                <w:sz w:val="18"/>
                <w:lang w:val="en-US" w:eastAsia="zh-CN" w:bidi="ar"/>
              </w:rPr>
              <w:t>CPU：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国产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CPU≥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8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核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16线程</w:t>
            </w:r>
            <w:r>
              <w:rPr>
                <w:rStyle w:val="16"/>
                <w:rFonts w:hint="eastAsia" w:ascii="微软雅黑" w:eastAsia="微软雅黑"/>
                <w:sz w:val="18"/>
                <w:lang w:val="en-US" w:eastAsia="zh-CN" w:bidi="ar"/>
              </w:rPr>
              <w:t>；内存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≥32G</w:t>
            </w:r>
            <w:r>
              <w:rPr>
                <w:rStyle w:val="16"/>
                <w:rFonts w:hint="eastAsia" w:ascii="微软雅黑" w:eastAsia="微软雅黑"/>
                <w:sz w:val="18"/>
                <w:lang w:val="en-US" w:eastAsia="zh-CN" w:bidi="ar"/>
              </w:rPr>
              <w:t>；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管理接口：</w:t>
            </w:r>
            <w:r>
              <w:rPr>
                <w:rStyle w:val="16"/>
                <w:rFonts w:hint="eastAsia" w:ascii="微软雅黑" w:eastAsia="微软雅黑"/>
                <w:sz w:val="18"/>
                <w:lang w:val="en-US" w:eastAsia="zh-CN" w:bidi="ar"/>
              </w:rPr>
              <w:t>具备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RJ45口、HA口、RJ45 Console</w:t>
            </w:r>
            <w:r>
              <w:rPr>
                <w:rStyle w:val="16"/>
                <w:rFonts w:hint="eastAsia" w:ascii="微软雅黑" w:eastAsia="微软雅黑"/>
                <w:sz w:val="18"/>
                <w:lang w:val="en-US" w:eastAsia="zh-CN" w:bidi="ar"/>
              </w:rPr>
              <w:t>口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，USB接口</w:t>
            </w:r>
            <w:r>
              <w:rPr>
                <w:rStyle w:val="16"/>
                <w:rFonts w:hint="eastAsia" w:ascii="微软雅黑" w:eastAsia="微软雅黑"/>
                <w:sz w:val="18"/>
                <w:lang w:eastAsia="zh-CN" w:bidi="ar"/>
              </w:rPr>
              <w:t>。</w:t>
            </w:r>
          </w:p>
          <w:p w14:paraId="40445D9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16"/>
                <w:rFonts w:hint="default" w:ascii="微软雅黑" w:eastAsia="微软雅黑"/>
                <w:sz w:val="18"/>
                <w:lang w:bidi="ar"/>
              </w:rPr>
            </w:pP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业务接口：千兆电口≥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4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个，包含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2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组bypass模块，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万兆光口≥4个，配齐光模块，包含2组bypass模块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；支持额外扩展网络接口板卡≥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2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个；</w:t>
            </w:r>
          </w:p>
          <w:p w14:paraId="2318E26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16"/>
                <w:rFonts w:hint="eastAsia" w:ascii="微软雅黑" w:eastAsia="微软雅黑"/>
                <w:sz w:val="18"/>
                <w:lang w:eastAsia="zh-CN" w:bidi="ar"/>
              </w:rPr>
            </w:pP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双硬盘，≥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256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GB SSD和≥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4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TB SATA机械盘</w:t>
            </w:r>
            <w:r>
              <w:rPr>
                <w:rStyle w:val="16"/>
                <w:rFonts w:hint="eastAsia" w:ascii="微软雅黑" w:eastAsia="微软雅黑"/>
                <w:sz w:val="18"/>
                <w:lang w:eastAsia="zh-CN" w:bidi="ar"/>
              </w:rPr>
              <w:t>。</w:t>
            </w:r>
          </w:p>
          <w:p w14:paraId="269ECE6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宋体" w:eastAsia="微软雅黑" w:cs="宋体"/>
                <w:color w:val="000000"/>
                <w:sz w:val="18"/>
                <w:szCs w:val="21"/>
              </w:rPr>
            </w:pPr>
          </w:p>
        </w:tc>
      </w:tr>
      <w:tr w14:paraId="67C23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EE071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624C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性能要求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E133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▲网络层吞吐量≥20Gbps，http应用层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吞吐量≥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8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Gbps, http每秒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QPS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≥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52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,000, http最大并发连接数≥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1,0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00,000, https最大吞吐量≥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2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Gbps, https每秒新建事务数≥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2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0,000</w:t>
            </w:r>
            <w:r>
              <w:rPr>
                <w:rStyle w:val="16"/>
                <w:rFonts w:hint="eastAsia" w:ascii="微软雅黑" w:eastAsia="微软雅黑"/>
                <w:sz w:val="18"/>
                <w:lang w:eastAsia="zh-CN" w:bidi="ar"/>
              </w:rPr>
              <w:t>。</w:t>
            </w:r>
          </w:p>
        </w:tc>
      </w:tr>
      <w:tr w14:paraId="3746C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6F27F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E5C4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部署模式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59D0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支持旁路镜像、透明代理、透明桥和反向代理部署</w:t>
            </w:r>
          </w:p>
        </w:tc>
      </w:tr>
      <w:tr w14:paraId="57484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2011F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5009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网络协议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77A4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支持IPv4/IPv6协议双栈</w:t>
            </w:r>
          </w:p>
        </w:tc>
      </w:tr>
      <w:tr w14:paraId="03471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8288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4D81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协议识别和解码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87D8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Style w:val="16"/>
                <w:rFonts w:hint="default" w:ascii="微软雅黑" w:eastAsia="微软雅黑"/>
                <w:sz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▲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HTTP请求参数编码检测</w:t>
            </w:r>
            <w:r>
              <w:rPr>
                <w:rStyle w:val="16"/>
                <w:rFonts w:hint="eastAsia" w:ascii="微软雅黑" w:eastAsia="微软雅黑"/>
                <w:sz w:val="18"/>
                <w:lang w:val="en-US" w:eastAsia="zh-CN" w:bidi="ar"/>
              </w:rPr>
              <w:t>能力：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对不同编码格式的HTTP内容能进行识别和转换</w:t>
            </w:r>
            <w:r>
              <w:rPr>
                <w:rStyle w:val="16"/>
                <w:rFonts w:ascii="微软雅黑" w:eastAsia="微软雅黑"/>
                <w:sz w:val="18"/>
                <w:lang w:eastAsia="zh-CN" w:bidi="ar"/>
              </w:rPr>
              <w:t>，</w:t>
            </w:r>
            <w:r>
              <w:rPr>
                <w:rStyle w:val="16"/>
                <w:rFonts w:hint="eastAsia" w:ascii="微软雅黑" w:eastAsia="微软雅黑"/>
                <w:sz w:val="18"/>
                <w:lang w:val="en-US" w:eastAsia="zh-CN" w:bidi="ar"/>
              </w:rPr>
              <w:t>包括但不限于</w:t>
            </w:r>
            <w:r>
              <w:rPr>
                <w:rStyle w:val="16"/>
                <w:rFonts w:ascii="微软雅黑" w:eastAsia="微软雅黑"/>
                <w:sz w:val="18"/>
                <w:lang w:bidi="ar"/>
              </w:rPr>
              <w:t>UNICODE、BASE64、二进制、十六进制等编码方式（提供产品功能截图和具备CNAS认证的检测报告）</w:t>
            </w:r>
          </w:p>
        </w:tc>
      </w:tr>
      <w:tr w14:paraId="06ED3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1A8DD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142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6507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▲</w:t>
            </w:r>
            <w:r>
              <w:rPr>
                <w:rStyle w:val="16"/>
                <w:rFonts w:hint="default" w:ascii="微软雅黑" w:eastAsia="微软雅黑"/>
                <w:sz w:val="18"/>
                <w:lang w:bidi="ar"/>
              </w:rPr>
              <w:t>能对≥10层的嵌套编码绕过行为进行有效检测与防护（提供功能截图并加盖原厂公章）</w:t>
            </w:r>
          </w:p>
        </w:tc>
      </w:tr>
      <w:tr w14:paraId="3D4FA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83559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53CD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攻击检测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EE1F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▲具备SQL注入、XSS、盗链、WEB应用扫描、爬虫、CSRF、命令注入、非法上传、非法下载、HTTP Flood、Cookie注入、Webshell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反序列化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等Web攻击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识别和拦截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能力。（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提供产品功能截图和具备CNAS认证的检测报告）</w:t>
            </w:r>
          </w:p>
        </w:tc>
      </w:tr>
      <w:tr w14:paraId="0A9BA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125D4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00D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24CD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▲支持SQL非注入型攻击检测，能分析整个SQL语句的上下文和逻辑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拦截恶意指令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支持非XSS注入型攻击检测，能对攻击者尝试上传或注入的整个恶意HTML页面进行分析，防止其危害网站安全。（提供功能截图并加盖原厂公章）</w:t>
            </w:r>
          </w:p>
        </w:tc>
      </w:tr>
      <w:tr w14:paraId="0C0C9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57E0E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339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AC35A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XSS注入检测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可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通过分析Html片段的DOM结构，解析存在的JS片段，进行智能分析，根据分析结果评估威胁等级并阻断；</w:t>
            </w:r>
          </w:p>
        </w:tc>
      </w:tr>
      <w:tr w14:paraId="2A6C4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3EE7E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EA0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3097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信息泄露检测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可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检测内容包括测试文件、备份文件、代码库和服务器敏感文件等；</w:t>
            </w:r>
          </w:p>
        </w:tc>
      </w:tr>
      <w:tr w14:paraId="0A09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4350F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B4D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E0387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WebShell检测功能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可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通过检测上传文件的特征和分析访问行为，检测Web请求是否存在上传WebShell或调用WebShell的行为，实现告警和阻断；</w:t>
            </w:r>
          </w:p>
        </w:tc>
      </w:tr>
      <w:tr w14:paraId="2111A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E4278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103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0E7E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反序列化攻击检测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可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检测PHP、JAVA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等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语言的反序列化攻击，能够识别相关程序语言的序列化流并进行分析、解码，进行告警和阻断；</w:t>
            </w:r>
          </w:p>
        </w:tc>
      </w:tr>
      <w:tr w14:paraId="72299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E5906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76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7A6C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CSRF和SSRF检测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可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通过分析Payload代码特征，告警并阻断相关请求；</w:t>
            </w:r>
          </w:p>
        </w:tc>
      </w:tr>
      <w:tr w14:paraId="1117D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0C35A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D66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EA71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支持机器人检测，能够识别扫描器检测、爬虫检测、非浏览器请求；</w:t>
            </w:r>
          </w:p>
        </w:tc>
      </w:tr>
      <w:tr w14:paraId="672E0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97D12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DFB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3D22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支持深度检测功能，可在站点详情中的防护配置页面开启深度检测，即使该请求已在检测过程中已被判断为拦截，仍可继续进行所有攻击检测模块的检测，完整地记录攻击检测信息记录，便于进行更完整的分析</w:t>
            </w:r>
          </w:p>
        </w:tc>
      </w:tr>
      <w:tr w14:paraId="7EE92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65090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5EE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41E2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支持代码注入、命令注入攻击检测，支持检测上传文件中是否包含Java、Php代码注入信息；</w:t>
            </w:r>
          </w:p>
        </w:tc>
      </w:tr>
      <w:tr w14:paraId="7BED5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2C228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3B2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874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支持服务器响应信息检测，防止响应错误信息包含服务器列目录、SQL报错、服务器异常信息等；</w:t>
            </w:r>
          </w:p>
        </w:tc>
      </w:tr>
      <w:tr w14:paraId="26083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CDAB9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F34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8D63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支持CC攻击防护，通过限制IP和Session实现对异常访问行为的限制，并内置Session系统；</w:t>
            </w:r>
          </w:p>
        </w:tc>
      </w:tr>
      <w:tr w14:paraId="70530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406D0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20A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24E1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具备0day漏洞防护能力，实现告警和拦截；</w:t>
            </w: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 xml:space="preserve"> </w:t>
            </w:r>
          </w:p>
        </w:tc>
      </w:tr>
      <w:tr w14:paraId="0F396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ED81A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117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3EC6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支持安全策略可视化编排，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 w:bidi="ar"/>
              </w:rPr>
              <w:t>可清晰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展示安全检测流程。支持在流程中查看详情，并支持在不同的检测点直接插入配置修改规则，可按照业务场景自动调整检测流程，满足业务差异化防护需求（提供功能截图并加盖原厂公章）</w:t>
            </w:r>
          </w:p>
        </w:tc>
      </w:tr>
      <w:tr w14:paraId="6763E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0B89C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DFD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B992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支持对自定义规则匹配优先级进行调整并可按永久、定时和周期定义规则生效时间（提供功能截图并加盖原厂公章）</w:t>
            </w:r>
          </w:p>
        </w:tc>
      </w:tr>
      <w:tr w14:paraId="37E3E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E3004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3F04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业务管理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4BC4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提供准确有效的攻击行为分级策略，包括低危、中危和高危，在拦截日志中明确体现；</w:t>
            </w:r>
          </w:p>
        </w:tc>
      </w:tr>
      <w:tr w14:paraId="07371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4286A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FAD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7FD4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▲支持告警日志中自动提取攻击payload，并可自动解码明文展示，帮助安全人员快速定位攻击（提供功能截图并加盖原厂公章）</w:t>
            </w:r>
          </w:p>
        </w:tc>
      </w:tr>
      <w:tr w14:paraId="61468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B9FBC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E7A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EF4E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攻击检测日志支持颜色标记，并可按颜色标记筛选</w:t>
            </w:r>
          </w:p>
        </w:tc>
      </w:tr>
      <w:tr w14:paraId="433BC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48EFF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E05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8558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支持按源IP聚合的方式展示攻击检测日志，支持进行聚合时间、展示条数的配置。</w:t>
            </w:r>
          </w:p>
        </w:tc>
      </w:tr>
      <w:tr w14:paraId="553FB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512AE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E0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C2AE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支持整体防护情况、站点防护情况、用户行为、攻击检测日志分析等场景的数据可视化和筛选。</w:t>
            </w:r>
          </w:p>
        </w:tc>
      </w:tr>
      <w:tr w14:paraId="355BA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211E0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9B9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901A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支持多种防护策略，可根据告警威胁等级灵活调整放行和拦截策略；</w:t>
            </w:r>
          </w:p>
        </w:tc>
      </w:tr>
      <w:tr w14:paraId="28F93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49026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36F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2139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支持访问IP溯源，能够从Socket、X-Forwarded-For和任意Http头中获取访问源IP；</w:t>
            </w:r>
          </w:p>
        </w:tc>
      </w:tr>
      <w:tr w14:paraId="77EDC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4E4BE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D10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A60B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▲支持自动汇聚相关攻击事件，将同一来源、相同类型攻击自动汇聚成一条告警数据，并显示攻击次数。便于安全人员快速锁定大范围攻击发生的时间节点及攻击源（提供功能截图并加盖原厂公章）</w:t>
            </w:r>
          </w:p>
        </w:tc>
      </w:tr>
      <w:tr w14:paraId="65002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8A3F4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021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DDA1D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支持在线查看报告，支持PNG、PDF、HTML等多种格式的报告下载和外发。</w:t>
            </w:r>
          </w:p>
        </w:tc>
      </w:tr>
      <w:tr w14:paraId="1F5D2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E48F0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2CD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4A1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▲支持大屏展示功能，能够以可视化地图方式展示实时请求信息、拦截信息、攻击源IP地理分布、攻击类型分布等（提供功能截图并加盖原厂公章）</w:t>
            </w:r>
          </w:p>
        </w:tc>
      </w:tr>
      <w:tr w14:paraId="21F05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E7379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F12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7C8D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支持Cookie防篡改，可配置三种防护方式，结合“观察”和“拦截”两种响应方式；</w:t>
            </w:r>
          </w:p>
        </w:tc>
      </w:tr>
      <w:tr w14:paraId="7658A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87BE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007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DBA38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访问频率限制规则的观察模式，为对满足访问控制规则的请求信息进行日志记录，不生效限制动作；</w:t>
            </w:r>
          </w:p>
        </w:tc>
      </w:tr>
      <w:tr w14:paraId="0577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72A3D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9D19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Web应用管理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C5F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支持SSL证书卸载功能，能够上传证书实现加密协议检测；</w:t>
            </w:r>
          </w:p>
        </w:tc>
      </w:tr>
      <w:tr w14:paraId="1D068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5F4D6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B51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F31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支持负载均衡功能，能够将WEB访问请求均衡到多台WEB服务器上（提供产品功能截图和具备CNAS认证的检测报告）</w:t>
            </w:r>
          </w:p>
        </w:tc>
      </w:tr>
      <w:tr w14:paraId="724B5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F549C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C40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DCDD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支持服务器健康状态检测，至少包含TCP、http和https三种；</w:t>
            </w:r>
          </w:p>
        </w:tc>
      </w:tr>
      <w:tr w14:paraId="7B53D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301B0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1540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系统管理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F41C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支持全功能接口Open API，可实现全功能的远程调用；API接口需具备高强度的安全认证机制，防止非法调用</w:t>
            </w:r>
          </w:p>
        </w:tc>
      </w:tr>
      <w:tr w14:paraId="72A80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127DD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D80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5DE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告警发信支持多种类型的企业邮箱格式</w:t>
            </w:r>
          </w:p>
        </w:tc>
      </w:tr>
      <w:tr w14:paraId="21C88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49EB5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39D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C9C2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支持对于“高危操作”的操作限制和操作提醒，例如关闭入侵检测开关、恢复出厂设置等。</w:t>
            </w:r>
          </w:p>
        </w:tc>
      </w:tr>
      <w:tr w14:paraId="0EF00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37FB4">
            <w:pPr>
              <w:pStyle w:val="17"/>
              <w:widowControl/>
              <w:numPr>
                <w:ilvl w:val="0"/>
                <w:numId w:val="2"/>
              </w:numPr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9F1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8A4C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用户登录支持双因素认证，无需外接硬件设备。</w:t>
            </w:r>
          </w:p>
        </w:tc>
      </w:tr>
    </w:tbl>
    <w:p w14:paraId="0D736DCB"/>
    <w:p w14:paraId="392A042F"/>
    <w:p w14:paraId="7F8702EA">
      <w:pPr>
        <w:rPr>
          <w:rFonts w:hint="eastAsia" w:ascii="宋体" w:hAnsi="宋体" w:cs="宋体"/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★采购人在合同签订前有权保留对</w:t>
      </w:r>
      <w:r>
        <w:rPr>
          <w:rFonts w:hint="eastAsia" w:ascii="宋体" w:hAnsi="宋体" w:cs="宋体"/>
          <w:sz w:val="20"/>
          <w:szCs w:val="20"/>
          <w:lang w:val="en-US" w:eastAsia="zh-CN"/>
        </w:rPr>
        <w:t>报价人</w:t>
      </w:r>
      <w:r>
        <w:rPr>
          <w:rFonts w:hint="eastAsia" w:ascii="宋体" w:hAnsi="宋体" w:cs="宋体"/>
          <w:sz w:val="20"/>
          <w:szCs w:val="20"/>
        </w:rPr>
        <w:t>所提供的</w:t>
      </w:r>
      <w:r>
        <w:rPr>
          <w:rFonts w:hint="eastAsia" w:ascii="宋体" w:hAnsi="宋体" w:cs="宋体"/>
          <w:sz w:val="20"/>
          <w:szCs w:val="20"/>
          <w:lang w:val="en-US" w:eastAsia="zh-CN"/>
        </w:rPr>
        <w:t>产品</w:t>
      </w:r>
      <w:r>
        <w:rPr>
          <w:rFonts w:hint="eastAsia" w:ascii="宋体" w:hAnsi="宋体" w:cs="宋体"/>
          <w:sz w:val="20"/>
          <w:szCs w:val="20"/>
        </w:rPr>
        <w:t>进行测试验证的权力，以确保采购人得到符合采购要求的产品，测试费用包含在投标总价中，采购人不再另行支付，如测试验证发现</w:t>
      </w:r>
      <w:r>
        <w:rPr>
          <w:rFonts w:hint="eastAsia" w:ascii="宋体" w:hAnsi="宋体" w:cs="宋体"/>
          <w:sz w:val="20"/>
          <w:szCs w:val="20"/>
          <w:lang w:val="en-US" w:eastAsia="zh-CN"/>
        </w:rPr>
        <w:t>报价</w:t>
      </w:r>
      <w:r>
        <w:rPr>
          <w:rFonts w:hint="eastAsia" w:ascii="宋体" w:hAnsi="宋体" w:cs="宋体"/>
          <w:sz w:val="20"/>
          <w:szCs w:val="20"/>
        </w:rPr>
        <w:t>人所提供</w:t>
      </w:r>
      <w:r>
        <w:rPr>
          <w:rFonts w:hint="eastAsia" w:ascii="宋体" w:hAnsi="宋体" w:cs="宋体"/>
          <w:sz w:val="20"/>
          <w:szCs w:val="20"/>
          <w:lang w:val="en-US" w:eastAsia="zh-CN"/>
        </w:rPr>
        <w:t>的产品</w:t>
      </w:r>
      <w:r>
        <w:rPr>
          <w:rFonts w:hint="eastAsia" w:ascii="宋体" w:hAnsi="宋体" w:cs="宋体"/>
          <w:sz w:val="20"/>
          <w:szCs w:val="20"/>
        </w:rPr>
        <w:t>不满足</w:t>
      </w:r>
      <w:r>
        <w:rPr>
          <w:rFonts w:hint="eastAsia" w:ascii="宋体" w:hAnsi="宋体" w:cs="宋体"/>
          <w:sz w:val="20"/>
          <w:szCs w:val="20"/>
          <w:lang w:val="en-US" w:eastAsia="zh-CN"/>
        </w:rPr>
        <w:t>采购</w:t>
      </w:r>
      <w:r>
        <w:rPr>
          <w:rFonts w:hint="eastAsia" w:ascii="宋体" w:hAnsi="宋体" w:cs="宋体"/>
          <w:sz w:val="20"/>
          <w:szCs w:val="20"/>
        </w:rPr>
        <w:t>文件要求，采购人有权</w:t>
      </w:r>
      <w:r>
        <w:rPr>
          <w:rFonts w:hint="eastAsia" w:ascii="宋体" w:hAnsi="宋体" w:cs="宋体"/>
          <w:sz w:val="20"/>
          <w:szCs w:val="20"/>
          <w:lang w:val="en-US" w:eastAsia="zh-CN"/>
        </w:rPr>
        <w:t>将报价人列入黑名单</w:t>
      </w:r>
      <w:r>
        <w:rPr>
          <w:rFonts w:hint="eastAsia" w:ascii="宋体" w:hAnsi="宋体" w:cs="宋体"/>
          <w:sz w:val="20"/>
          <w:szCs w:val="20"/>
        </w:rPr>
        <w:t>。</w:t>
      </w:r>
    </w:p>
    <w:p w14:paraId="1BE1D4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7BB12AD"/>
    <w:multiLevelType w:val="multilevel"/>
    <w:tmpl w:val="47BB12AD"/>
    <w:lvl w:ilvl="0" w:tentative="0">
      <w:start w:val="1"/>
      <w:numFmt w:val="decimal"/>
      <w:suff w:val="nothing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376296"/>
    <w:rsid w:val="00121AC3"/>
    <w:rsid w:val="00153576"/>
    <w:rsid w:val="001F31F9"/>
    <w:rsid w:val="001F54EA"/>
    <w:rsid w:val="00262FFB"/>
    <w:rsid w:val="0047393A"/>
    <w:rsid w:val="00893EBB"/>
    <w:rsid w:val="00BE2DFF"/>
    <w:rsid w:val="05281663"/>
    <w:rsid w:val="0AF03523"/>
    <w:rsid w:val="0D25591E"/>
    <w:rsid w:val="14DD0A4E"/>
    <w:rsid w:val="1E7321CA"/>
    <w:rsid w:val="22061653"/>
    <w:rsid w:val="227F7259"/>
    <w:rsid w:val="27661BA9"/>
    <w:rsid w:val="2816415B"/>
    <w:rsid w:val="2A1243CB"/>
    <w:rsid w:val="2AA42601"/>
    <w:rsid w:val="2B0E42B7"/>
    <w:rsid w:val="31964884"/>
    <w:rsid w:val="33C565E9"/>
    <w:rsid w:val="3DB33C4D"/>
    <w:rsid w:val="3EBF3A09"/>
    <w:rsid w:val="40585F20"/>
    <w:rsid w:val="456F4189"/>
    <w:rsid w:val="477008FD"/>
    <w:rsid w:val="48917477"/>
    <w:rsid w:val="48995346"/>
    <w:rsid w:val="51E732EF"/>
    <w:rsid w:val="55AE77F0"/>
    <w:rsid w:val="5E452E5B"/>
    <w:rsid w:val="5E9807BF"/>
    <w:rsid w:val="6E944B31"/>
    <w:rsid w:val="76667FDF"/>
    <w:rsid w:val="787F24BF"/>
    <w:rsid w:val="7A0F67AD"/>
    <w:rsid w:val="7D8FCFDF"/>
    <w:rsid w:val="7E5C0A47"/>
    <w:rsid w:val="7F7F7C2C"/>
    <w:rsid w:val="DFFB5693"/>
    <w:rsid w:val="F7DFF65A"/>
    <w:rsid w:val="FBBF2C9B"/>
    <w:rsid w:val="FD376296"/>
    <w:rsid w:val="FF9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微软雅黑"/>
      <w:b/>
      <w:kern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81"/>
    <w:basedOn w:val="6"/>
    <w:qFormat/>
    <w:uiPriority w:val="0"/>
    <w:rPr>
      <w:rFonts w:hint="default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9">
    <w:name w:val="font91"/>
    <w:basedOn w:val="6"/>
    <w:qFormat/>
    <w:uiPriority w:val="0"/>
    <w:rPr>
      <w:rFonts w:hint="default" w:ascii="等线" w:hAnsi="等线" w:eastAsia="等线" w:cs="等线"/>
      <w:color w:val="FF0000"/>
      <w:sz w:val="18"/>
      <w:szCs w:val="18"/>
      <w:u w:val="single"/>
    </w:rPr>
  </w:style>
  <w:style w:type="character" w:customStyle="1" w:styleId="10">
    <w:name w:val="font51"/>
    <w:basedOn w:val="6"/>
    <w:qFormat/>
    <w:uiPriority w:val="0"/>
    <w:rPr>
      <w:rFonts w:hint="default" w:ascii="微软雅黑" w:hAnsi="微软雅黑" w:eastAsia="微软雅黑" w:cs="微软雅黑"/>
      <w:color w:val="FF0000"/>
      <w:sz w:val="20"/>
      <w:szCs w:val="20"/>
      <w:u w:val="single"/>
    </w:rPr>
  </w:style>
  <w:style w:type="character" w:customStyle="1" w:styleId="11">
    <w:name w:val="font41"/>
    <w:basedOn w:val="6"/>
    <w:qFormat/>
    <w:uiPriority w:val="0"/>
    <w:rPr>
      <w:rFonts w:hint="default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2">
    <w:name w:val="font61"/>
    <w:basedOn w:val="6"/>
    <w:qFormat/>
    <w:uiPriority w:val="0"/>
    <w:rPr>
      <w:rFonts w:hint="default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13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character" w:customStyle="1" w:styleId="16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2205</Words>
  <Characters>2533</Characters>
  <Lines>18</Lines>
  <Paragraphs>5</Paragraphs>
  <TotalTime>0</TotalTime>
  <ScaleCrop>false</ScaleCrop>
  <LinksUpToDate>false</LinksUpToDate>
  <CharactersWithSpaces>2543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2026-03-02T10:00:00Z</dcterms:created>
  <dc:creator>admin</dc:creator>
  <cp:lastModifiedBy>潘天祥</cp:lastModifiedBy>
  <dcterms:modified xsi:type="dcterms:W3CDTF">2026-05-27T01:32:01Z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09E702F653BD44708D614ABAC39E59BA_13</vt:lpwstr>
  </property>
  <property fmtid="{D5CDD505-2E9C-101B-9397-08002B2CF9AE}" pid="4" name="KSOTemplateDocerSaveRecord">
    <vt:lpwstr>eyJoZGlkIjoiYThhYjEyNWZhZGZhNGVjOTYzZTIxMjgzN2JiZjI4YjUiLCJ1c2VySWQiOiIxNzY2MTAwMTE4In0=</vt:lpwstr>
  </property>
</Properties>
</file>