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0BDCE">
      <w:pPr>
        <w:pStyle w:val="2"/>
        <w:numPr>
          <w:ilvl w:val="0"/>
          <w:numId w:val="0"/>
        </w:numPr>
        <w:bidi w:val="0"/>
        <w:ind w:leftChars="0"/>
        <w:jc w:val="center"/>
        <w:rPr>
          <w:rFonts w:hint="eastAsia"/>
        </w:rPr>
      </w:pPr>
      <w:r>
        <w:rPr>
          <w:rFonts w:hint="eastAsia"/>
        </w:rPr>
        <w:t>检验科汪崇文课题组配套服务器采购项</w:t>
      </w:r>
      <w:bookmarkStart w:id="0" w:name="_GoBack"/>
      <w:bookmarkEnd w:id="0"/>
      <w:r>
        <w:rPr>
          <w:rFonts w:hint="eastAsia"/>
        </w:rPr>
        <w:t>目(2026年)</w:t>
      </w:r>
    </w:p>
    <w:p w14:paraId="0A035D4C">
      <w:pPr>
        <w:pStyle w:val="2"/>
        <w:numPr>
          <w:ilvl w:val="0"/>
          <w:numId w:val="0"/>
        </w:numPr>
        <w:bidi w:val="0"/>
        <w:ind w:leftChars="0"/>
        <w:jc w:val="center"/>
        <w:rPr>
          <w:rFonts w:hint="eastAsia" w:eastAsia="宋体"/>
          <w:lang w:val="en-US" w:eastAsia="zh-CN"/>
        </w:rPr>
      </w:pPr>
      <w:r>
        <w:rPr>
          <w:rFonts w:hint="eastAsia"/>
          <w:lang w:val="en-US" w:eastAsia="zh-CN"/>
        </w:rPr>
        <w:t>项目需求书</w:t>
      </w:r>
    </w:p>
    <w:p w14:paraId="08771F5D">
      <w:pPr>
        <w:pStyle w:val="2"/>
        <w:bidi w:val="0"/>
        <w:rPr>
          <w:rFonts w:hint="eastAsia"/>
        </w:rPr>
      </w:pPr>
      <w:r>
        <w:rPr>
          <w:rFonts w:hint="eastAsia"/>
        </w:rPr>
        <w:t>项目名称</w:t>
      </w:r>
    </w:p>
    <w:p w14:paraId="74BB0770">
      <w:pPr>
        <w:spacing w:line="360" w:lineRule="auto"/>
        <w:ind w:left="432"/>
        <w:rPr>
          <w:rFonts w:hint="eastAsia" w:ascii="宋体" w:hAnsi="宋体" w:eastAsia="宋体" w:cs="宋体"/>
          <w:color w:val="auto"/>
        </w:rPr>
      </w:pPr>
      <w:r>
        <w:rPr>
          <w:rFonts w:hint="eastAsia" w:cs="宋体"/>
          <w:color w:val="auto"/>
          <w:lang w:val="en-US" w:eastAsia="zh-CN"/>
        </w:rPr>
        <w:t>项目名称：</w:t>
      </w:r>
      <w:r>
        <w:rPr>
          <w:rFonts w:hint="eastAsia" w:ascii="宋体" w:hAnsi="宋体" w:eastAsia="宋体" w:cs="宋体"/>
          <w:color w:val="auto"/>
        </w:rPr>
        <w:t>检验科汪崇文课题组配套服务器采购项目(2026年)</w:t>
      </w:r>
    </w:p>
    <w:p w14:paraId="1F3E1713">
      <w:pPr>
        <w:pStyle w:val="2"/>
        <w:bidi w:val="0"/>
        <w:rPr>
          <w:rFonts w:hint="eastAsia"/>
        </w:rPr>
      </w:pPr>
      <w:r>
        <w:rPr>
          <w:rFonts w:hint="eastAsia"/>
        </w:rPr>
        <w:t>项目背景</w:t>
      </w:r>
    </w:p>
    <w:p w14:paraId="27ED9676">
      <w:pPr>
        <w:spacing w:line="360" w:lineRule="auto"/>
        <w:ind w:left="206" w:leftChars="86" w:firstLine="420"/>
        <w:rPr>
          <w:rFonts w:hint="eastAsia" w:ascii="宋体" w:hAnsi="宋体" w:eastAsia="宋体" w:cs="宋体"/>
          <w:color w:val="auto"/>
        </w:rPr>
      </w:pPr>
      <w:r>
        <w:rPr>
          <w:rFonts w:hint="eastAsia" w:ascii="宋体" w:hAnsi="宋体" w:eastAsia="宋体" w:cs="宋体"/>
          <w:color w:val="auto"/>
        </w:rPr>
        <w:t>本项目围绕重大慢病早期预警研究，基于炎症标志物及多模态数据，开展慢性冠脉综合征患者医学影像、临床资料及蛋白质组学数据的融合分析，并进行人工智能模型训练、测试及推理验证。为满足多模态数据处理及疾病早期预警模型构建的算力需求，拟采购GPU服务器及配套实施服务，为项目研究提供稳定、高效的计算支撑。</w:t>
      </w:r>
    </w:p>
    <w:p w14:paraId="103A4822">
      <w:pPr>
        <w:pStyle w:val="2"/>
        <w:bidi w:val="0"/>
        <w:rPr>
          <w:rFonts w:hint="eastAsia"/>
        </w:rPr>
      </w:pPr>
      <w:r>
        <w:rPr>
          <w:rFonts w:hint="eastAsia"/>
        </w:rPr>
        <w:t xml:space="preserve">采购设备清单 </w:t>
      </w:r>
    </w:p>
    <w:tbl>
      <w:tblPr>
        <w:tblStyle w:val="16"/>
        <w:tblpPr w:leftFromText="180" w:rightFromText="180" w:vertAnchor="text" w:horzAnchor="margin" w:tblpY="4"/>
        <w:tblW w:w="5000" w:type="pct"/>
        <w:tblInd w:w="0" w:type="dxa"/>
        <w:tblLayout w:type="autofit"/>
        <w:tblCellMar>
          <w:top w:w="15" w:type="dxa"/>
          <w:left w:w="15" w:type="dxa"/>
          <w:bottom w:w="15" w:type="dxa"/>
          <w:right w:w="15" w:type="dxa"/>
        </w:tblCellMar>
      </w:tblPr>
      <w:tblGrid>
        <w:gridCol w:w="757"/>
        <w:gridCol w:w="2750"/>
        <w:gridCol w:w="3609"/>
        <w:gridCol w:w="1220"/>
      </w:tblGrid>
      <w:tr w14:paraId="69C1DF5F">
        <w:tblPrEx>
          <w:tblCellMar>
            <w:top w:w="15" w:type="dxa"/>
            <w:left w:w="15" w:type="dxa"/>
            <w:bottom w:w="15" w:type="dxa"/>
            <w:right w:w="15" w:type="dxa"/>
          </w:tblCellMar>
        </w:tblPrEx>
        <w:trPr>
          <w:trHeight w:val="581" w:hRule="atLeast"/>
        </w:trPr>
        <w:tc>
          <w:tcPr>
            <w:tcW w:w="454" w:type="pct"/>
            <w:tcBorders>
              <w:top w:val="single" w:color="000000" w:sz="4" w:space="0"/>
              <w:left w:val="single" w:color="000000" w:sz="4" w:space="0"/>
              <w:bottom w:val="single" w:color="000000" w:sz="4" w:space="0"/>
              <w:right w:val="single" w:color="000000" w:sz="4" w:space="0"/>
            </w:tcBorders>
            <w:vAlign w:val="center"/>
          </w:tcPr>
          <w:p w14:paraId="26EDEF7C">
            <w:pPr>
              <w:spacing w:before="100" w:beforeAutospacing="1" w:after="100" w:afterAutospacing="1" w:line="360" w:lineRule="auto"/>
              <w:jc w:val="center"/>
              <w:rPr>
                <w:rFonts w:hint="eastAsia" w:ascii="宋体" w:hAnsi="宋体" w:eastAsia="宋体" w:cs="宋体"/>
                <w:b/>
                <w:bCs/>
                <w:color w:val="auto"/>
              </w:rPr>
            </w:pPr>
            <w:r>
              <w:rPr>
                <w:rFonts w:hint="eastAsia" w:ascii="宋体" w:hAnsi="宋体" w:eastAsia="宋体" w:cs="宋体"/>
                <w:b/>
                <w:bCs/>
                <w:color w:val="auto"/>
              </w:rPr>
              <w:t>序号</w:t>
            </w:r>
          </w:p>
        </w:tc>
        <w:tc>
          <w:tcPr>
            <w:tcW w:w="1649" w:type="pct"/>
            <w:tcBorders>
              <w:top w:val="single" w:color="000000" w:sz="4" w:space="0"/>
              <w:left w:val="single" w:color="000000" w:sz="4" w:space="0"/>
              <w:bottom w:val="single" w:color="000000" w:sz="4" w:space="0"/>
              <w:right w:val="single" w:color="000000" w:sz="4" w:space="0"/>
            </w:tcBorders>
            <w:vAlign w:val="center"/>
          </w:tcPr>
          <w:p w14:paraId="11092531">
            <w:pPr>
              <w:spacing w:before="100" w:beforeAutospacing="1" w:after="100" w:afterAutospacing="1" w:line="360" w:lineRule="auto"/>
              <w:jc w:val="center"/>
              <w:rPr>
                <w:rFonts w:hint="eastAsia" w:ascii="宋体" w:hAnsi="宋体" w:eastAsia="宋体" w:cs="宋体"/>
                <w:b/>
                <w:bCs/>
                <w:color w:val="auto"/>
              </w:rPr>
            </w:pPr>
            <w:r>
              <w:rPr>
                <w:rFonts w:hint="eastAsia" w:ascii="宋体" w:hAnsi="宋体" w:eastAsia="宋体" w:cs="宋体"/>
                <w:b/>
                <w:bCs/>
                <w:color w:val="auto"/>
              </w:rPr>
              <w:t>设备名称</w:t>
            </w:r>
          </w:p>
        </w:tc>
        <w:tc>
          <w:tcPr>
            <w:tcW w:w="2164" w:type="pct"/>
            <w:tcBorders>
              <w:top w:val="single" w:color="000000" w:sz="4" w:space="0"/>
              <w:left w:val="single" w:color="000000" w:sz="4" w:space="0"/>
              <w:bottom w:val="single" w:color="000000" w:sz="4" w:space="0"/>
              <w:right w:val="single" w:color="000000" w:sz="4" w:space="0"/>
            </w:tcBorders>
            <w:vAlign w:val="center"/>
          </w:tcPr>
          <w:p w14:paraId="26E484AC">
            <w:pPr>
              <w:spacing w:before="100" w:beforeAutospacing="1" w:after="100" w:afterAutospacing="1" w:line="360" w:lineRule="auto"/>
              <w:jc w:val="center"/>
              <w:rPr>
                <w:rFonts w:hint="eastAsia" w:ascii="宋体" w:hAnsi="宋体" w:eastAsia="宋体" w:cs="宋体"/>
                <w:b/>
                <w:bCs/>
                <w:color w:val="auto"/>
              </w:rPr>
            </w:pPr>
            <w:r>
              <w:rPr>
                <w:rFonts w:hint="eastAsia" w:ascii="宋体" w:hAnsi="宋体" w:eastAsia="宋体" w:cs="宋体"/>
                <w:b/>
                <w:bCs/>
                <w:color w:val="auto"/>
              </w:rPr>
              <w:t>规格</w:t>
            </w:r>
          </w:p>
        </w:tc>
        <w:tc>
          <w:tcPr>
            <w:tcW w:w="731" w:type="pct"/>
            <w:tcBorders>
              <w:top w:val="single" w:color="000000" w:sz="4" w:space="0"/>
              <w:left w:val="single" w:color="000000" w:sz="4" w:space="0"/>
              <w:bottom w:val="single" w:color="000000" w:sz="4" w:space="0"/>
              <w:right w:val="single" w:color="000000" w:sz="4" w:space="0"/>
            </w:tcBorders>
            <w:vAlign w:val="center"/>
          </w:tcPr>
          <w:p w14:paraId="27C272FB">
            <w:pPr>
              <w:spacing w:before="100" w:beforeAutospacing="1" w:after="100" w:afterAutospacing="1" w:line="360" w:lineRule="auto"/>
              <w:jc w:val="center"/>
              <w:rPr>
                <w:rFonts w:hint="eastAsia" w:ascii="宋体" w:hAnsi="宋体" w:eastAsia="宋体" w:cs="宋体"/>
                <w:b/>
                <w:bCs/>
                <w:color w:val="auto"/>
              </w:rPr>
            </w:pPr>
            <w:r>
              <w:rPr>
                <w:rFonts w:hint="eastAsia" w:ascii="宋体" w:hAnsi="宋体" w:eastAsia="宋体" w:cs="宋体"/>
                <w:b/>
                <w:bCs/>
                <w:color w:val="auto"/>
              </w:rPr>
              <w:t>数量</w:t>
            </w:r>
          </w:p>
        </w:tc>
      </w:tr>
      <w:tr w14:paraId="6663EF9E">
        <w:tblPrEx>
          <w:tblCellMar>
            <w:top w:w="15" w:type="dxa"/>
            <w:left w:w="15" w:type="dxa"/>
            <w:bottom w:w="15" w:type="dxa"/>
            <w:right w:w="15" w:type="dxa"/>
          </w:tblCellMar>
        </w:tblPrEx>
        <w:trPr>
          <w:trHeight w:val="491" w:hRule="atLeast"/>
        </w:trPr>
        <w:tc>
          <w:tcPr>
            <w:tcW w:w="454" w:type="pct"/>
            <w:tcBorders>
              <w:top w:val="single" w:color="000000" w:sz="4" w:space="0"/>
              <w:left w:val="single" w:color="000000" w:sz="4" w:space="0"/>
              <w:bottom w:val="single" w:color="000000" w:sz="4" w:space="0"/>
              <w:right w:val="single" w:color="000000" w:sz="4" w:space="0"/>
            </w:tcBorders>
            <w:vAlign w:val="center"/>
          </w:tcPr>
          <w:p w14:paraId="4DA337B2">
            <w:pPr>
              <w:spacing w:before="100" w:beforeAutospacing="1" w:after="100" w:afterAutospacing="1" w:line="360" w:lineRule="auto"/>
              <w:jc w:val="center"/>
              <w:rPr>
                <w:rFonts w:hint="eastAsia" w:ascii="宋体" w:hAnsi="宋体" w:eastAsia="宋体" w:cs="宋体"/>
                <w:color w:val="auto"/>
              </w:rPr>
            </w:pPr>
            <w:r>
              <w:rPr>
                <w:rFonts w:hint="eastAsia" w:ascii="宋体" w:hAnsi="宋体" w:eastAsia="宋体" w:cs="宋体"/>
                <w:color w:val="auto"/>
              </w:rPr>
              <w:t>1</w:t>
            </w:r>
          </w:p>
        </w:tc>
        <w:tc>
          <w:tcPr>
            <w:tcW w:w="1649" w:type="pct"/>
            <w:tcBorders>
              <w:top w:val="single" w:color="000000" w:sz="4" w:space="0"/>
              <w:left w:val="single" w:color="000000" w:sz="4" w:space="0"/>
              <w:bottom w:val="single" w:color="000000" w:sz="4" w:space="0"/>
              <w:right w:val="single" w:color="000000" w:sz="4" w:space="0"/>
            </w:tcBorders>
            <w:vAlign w:val="center"/>
          </w:tcPr>
          <w:p w14:paraId="099C8EFE">
            <w:pPr>
              <w:spacing w:line="360" w:lineRule="auto"/>
              <w:jc w:val="center"/>
              <w:rPr>
                <w:rFonts w:hint="eastAsia" w:ascii="宋体" w:hAnsi="宋体" w:eastAsia="宋体" w:cs="宋体"/>
                <w:color w:val="auto"/>
                <w:lang w:eastAsia="zh-CN"/>
              </w:rPr>
            </w:pPr>
            <w:r>
              <w:rPr>
                <w:rFonts w:hint="eastAsia" w:cs="宋体"/>
                <w:color w:val="auto"/>
                <w:lang w:val="en-US" w:eastAsia="zh-CN"/>
              </w:rPr>
              <w:t>服务器</w:t>
            </w:r>
          </w:p>
        </w:tc>
        <w:tc>
          <w:tcPr>
            <w:tcW w:w="2164" w:type="pct"/>
            <w:tcBorders>
              <w:top w:val="single" w:color="000000" w:sz="4" w:space="0"/>
              <w:left w:val="single" w:color="000000" w:sz="4" w:space="0"/>
              <w:bottom w:val="single" w:color="000000" w:sz="4" w:space="0"/>
              <w:right w:val="single" w:color="000000" w:sz="4" w:space="0"/>
            </w:tcBorders>
            <w:vAlign w:val="center"/>
          </w:tcPr>
          <w:p w14:paraId="56266C41">
            <w:pPr>
              <w:spacing w:line="360" w:lineRule="auto"/>
              <w:jc w:val="center"/>
              <w:rPr>
                <w:rFonts w:hint="eastAsia" w:ascii="宋体" w:hAnsi="宋体" w:eastAsia="宋体" w:cs="宋体"/>
                <w:color w:val="auto"/>
              </w:rPr>
            </w:pPr>
            <w:r>
              <w:rPr>
                <w:rFonts w:hint="eastAsia" w:ascii="宋体" w:hAnsi="宋体" w:eastAsia="宋体" w:cs="宋体"/>
                <w:color w:val="auto"/>
              </w:rPr>
              <w:t>详见4.1章节</w:t>
            </w:r>
          </w:p>
        </w:tc>
        <w:tc>
          <w:tcPr>
            <w:tcW w:w="731" w:type="pct"/>
            <w:tcBorders>
              <w:top w:val="single" w:color="000000" w:sz="4" w:space="0"/>
              <w:left w:val="single" w:color="000000" w:sz="4" w:space="0"/>
              <w:bottom w:val="single" w:color="000000" w:sz="4" w:space="0"/>
              <w:right w:val="single" w:color="000000" w:sz="4" w:space="0"/>
            </w:tcBorders>
            <w:vAlign w:val="center"/>
          </w:tcPr>
          <w:p w14:paraId="1B13EC7B">
            <w:pPr>
              <w:spacing w:line="360" w:lineRule="auto"/>
              <w:jc w:val="center"/>
              <w:rPr>
                <w:rFonts w:hint="eastAsia" w:ascii="宋体" w:hAnsi="宋体" w:eastAsia="宋体" w:cs="宋体"/>
                <w:color w:val="auto"/>
              </w:rPr>
            </w:pPr>
            <w:r>
              <w:rPr>
                <w:rFonts w:hint="eastAsia" w:cs="宋体"/>
                <w:color w:val="auto"/>
                <w:lang w:val="en-US" w:eastAsia="zh-CN"/>
              </w:rPr>
              <w:t>1</w:t>
            </w:r>
            <w:r>
              <w:rPr>
                <w:rFonts w:hint="eastAsia" w:ascii="宋体" w:hAnsi="宋体" w:eastAsia="宋体" w:cs="宋体"/>
                <w:color w:val="auto"/>
              </w:rPr>
              <w:t>台</w:t>
            </w:r>
          </w:p>
        </w:tc>
      </w:tr>
    </w:tbl>
    <w:p w14:paraId="155EEDFD">
      <w:pPr>
        <w:rPr>
          <w:rFonts w:hint="eastAsia" w:ascii="宋体" w:hAnsi="宋体" w:eastAsia="宋体" w:cs="宋体"/>
          <w:color w:val="auto"/>
        </w:rPr>
      </w:pPr>
    </w:p>
    <w:p w14:paraId="6CB045C1">
      <w:pPr>
        <w:rPr>
          <w:rFonts w:hint="eastAsia" w:ascii="宋体" w:hAnsi="宋体" w:eastAsia="宋体" w:cs="宋体"/>
          <w:color w:val="auto"/>
        </w:rPr>
      </w:pPr>
    </w:p>
    <w:p w14:paraId="75DCAEBE">
      <w:pPr>
        <w:pStyle w:val="2"/>
        <w:bidi w:val="0"/>
        <w:rPr>
          <w:rFonts w:hint="eastAsia"/>
        </w:rPr>
      </w:pPr>
      <w:r>
        <w:rPr>
          <w:rFonts w:hint="eastAsia"/>
        </w:rPr>
        <w:t>详细配置参数</w:t>
      </w:r>
    </w:p>
    <w:p w14:paraId="2E2892D4">
      <w:pPr>
        <w:pStyle w:val="3"/>
        <w:bidi w:val="0"/>
        <w:rPr>
          <w:rFonts w:hint="eastAsia"/>
        </w:rPr>
      </w:pPr>
      <w:r>
        <w:rPr>
          <w:rFonts w:hint="eastAsia"/>
        </w:rPr>
        <w:t>服务器参数要求</w:t>
      </w:r>
    </w:p>
    <w:tbl>
      <w:tblPr>
        <w:tblStyle w:val="16"/>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798"/>
        <w:gridCol w:w="4654"/>
        <w:gridCol w:w="1292"/>
      </w:tblGrid>
      <w:tr w14:paraId="5D07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464" w:type="pct"/>
            <w:shd w:val="clear" w:color="auto" w:fill="auto"/>
            <w:vAlign w:val="center"/>
          </w:tcPr>
          <w:p w14:paraId="6512E3C3">
            <w:pPr>
              <w:spacing w:line="360" w:lineRule="auto"/>
              <w:jc w:val="center"/>
              <w:rPr>
                <w:rFonts w:hint="eastAsia" w:ascii="宋体" w:hAnsi="宋体" w:eastAsia="宋体" w:cs="宋体"/>
                <w:b/>
                <w:bCs/>
                <w:color w:val="auto"/>
              </w:rPr>
            </w:pPr>
            <w:r>
              <w:rPr>
                <w:rFonts w:hint="eastAsia" w:ascii="宋体" w:hAnsi="宋体" w:eastAsia="宋体" w:cs="宋体"/>
                <w:b/>
                <w:bCs/>
                <w:color w:val="auto"/>
              </w:rPr>
              <w:t>序号</w:t>
            </w:r>
          </w:p>
        </w:tc>
        <w:tc>
          <w:tcPr>
            <w:tcW w:w="1053" w:type="pct"/>
            <w:shd w:val="clear" w:color="auto" w:fill="auto"/>
            <w:vAlign w:val="center"/>
          </w:tcPr>
          <w:p w14:paraId="20B8A3E8">
            <w:pPr>
              <w:spacing w:line="360" w:lineRule="auto"/>
              <w:jc w:val="center"/>
              <w:rPr>
                <w:rFonts w:hint="eastAsia" w:ascii="宋体" w:hAnsi="宋体" w:eastAsia="宋体" w:cs="宋体"/>
                <w:b/>
                <w:bCs/>
                <w:color w:val="auto"/>
              </w:rPr>
            </w:pPr>
            <w:r>
              <w:rPr>
                <w:rFonts w:hint="eastAsia" w:ascii="宋体" w:hAnsi="宋体" w:eastAsia="宋体" w:cs="宋体"/>
                <w:b/>
                <w:bCs/>
                <w:color w:val="auto"/>
              </w:rPr>
              <w:t>指标项</w:t>
            </w:r>
          </w:p>
        </w:tc>
        <w:tc>
          <w:tcPr>
            <w:tcW w:w="2725" w:type="pct"/>
            <w:shd w:val="clear" w:color="auto" w:fill="auto"/>
            <w:vAlign w:val="center"/>
          </w:tcPr>
          <w:p w14:paraId="6674BC9E">
            <w:pPr>
              <w:spacing w:line="360" w:lineRule="auto"/>
              <w:jc w:val="center"/>
              <w:rPr>
                <w:rFonts w:hint="eastAsia" w:ascii="宋体" w:hAnsi="宋体" w:eastAsia="宋体" w:cs="宋体"/>
                <w:b/>
                <w:bCs/>
                <w:color w:val="auto"/>
              </w:rPr>
            </w:pPr>
            <w:r>
              <w:rPr>
                <w:rFonts w:hint="eastAsia" w:ascii="宋体" w:hAnsi="宋体" w:eastAsia="宋体" w:cs="宋体"/>
                <w:b/>
                <w:bCs/>
                <w:color w:val="auto"/>
              </w:rPr>
              <w:t>技术规格要求</w:t>
            </w:r>
          </w:p>
        </w:tc>
        <w:tc>
          <w:tcPr>
            <w:tcW w:w="756" w:type="pct"/>
            <w:shd w:val="clear" w:color="auto" w:fill="auto"/>
            <w:vAlign w:val="center"/>
          </w:tcPr>
          <w:p w14:paraId="47FE0506">
            <w:pPr>
              <w:spacing w:line="360" w:lineRule="auto"/>
              <w:jc w:val="center"/>
              <w:rPr>
                <w:rFonts w:hint="eastAsia" w:ascii="宋体" w:hAnsi="宋体" w:eastAsia="宋体" w:cs="宋体"/>
                <w:b/>
                <w:bCs/>
                <w:color w:val="auto"/>
              </w:rPr>
            </w:pPr>
            <w:r>
              <w:rPr>
                <w:rFonts w:hint="eastAsia" w:ascii="宋体" w:hAnsi="宋体" w:eastAsia="宋体" w:cs="宋体"/>
                <w:b/>
                <w:bCs/>
                <w:color w:val="auto"/>
              </w:rPr>
              <w:t>证明材料要求</w:t>
            </w:r>
          </w:p>
        </w:tc>
      </w:tr>
      <w:tr w14:paraId="4DEF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64" w:type="pct"/>
            <w:shd w:val="clear" w:color="auto" w:fill="auto"/>
            <w:vAlign w:val="center"/>
          </w:tcPr>
          <w:p w14:paraId="4A1782F7">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72940F41">
            <w:pPr>
              <w:spacing w:line="360" w:lineRule="auto"/>
              <w:rPr>
                <w:rFonts w:hint="eastAsia" w:ascii="宋体" w:hAnsi="宋体" w:eastAsia="宋体" w:cs="宋体"/>
                <w:sz w:val="24"/>
                <w:szCs w:val="21"/>
                <w:lang w:val="en-US" w:eastAsia="zh-CN" w:bidi="en-US"/>
              </w:rPr>
            </w:pPr>
            <w:r>
              <w:rPr>
                <w:rFonts w:hint="eastAsia" w:ascii="宋体" w:hAnsi="宋体"/>
                <w:szCs w:val="21"/>
              </w:rPr>
              <w:t>机型要求</w:t>
            </w:r>
          </w:p>
        </w:tc>
        <w:tc>
          <w:tcPr>
            <w:tcW w:w="2725" w:type="pct"/>
            <w:shd w:val="clear" w:color="auto" w:fill="auto"/>
            <w:vAlign w:val="center"/>
          </w:tcPr>
          <w:p w14:paraId="2063FD9C">
            <w:pPr>
              <w:spacing w:line="360" w:lineRule="auto"/>
              <w:rPr>
                <w:rFonts w:hint="eastAsia" w:ascii="宋体" w:hAnsi="宋体" w:eastAsia="宋体" w:cs="宋体"/>
                <w:color w:val="auto"/>
              </w:rPr>
            </w:pPr>
            <w:r>
              <w:rPr>
                <w:rFonts w:hint="eastAsia" w:ascii="宋体" w:hAnsi="宋体" w:eastAsia="宋体" w:cs="宋体"/>
                <w:color w:val="auto"/>
              </w:rPr>
              <w:t>采用≥2U机架式服务器。</w:t>
            </w:r>
          </w:p>
        </w:tc>
        <w:tc>
          <w:tcPr>
            <w:tcW w:w="756" w:type="pct"/>
            <w:shd w:val="clear" w:color="auto" w:fill="auto"/>
            <w:vAlign w:val="center"/>
          </w:tcPr>
          <w:p w14:paraId="1A7F9AFF">
            <w:pPr>
              <w:spacing w:line="360" w:lineRule="auto"/>
              <w:rPr>
                <w:rFonts w:hint="eastAsia" w:ascii="宋体" w:hAnsi="宋体" w:eastAsia="宋体" w:cs="宋体"/>
                <w:color w:val="auto"/>
              </w:rPr>
            </w:pPr>
            <w:r>
              <w:rPr>
                <w:rFonts w:hint="eastAsia" w:cs="宋体"/>
                <w:color w:val="auto"/>
                <w:lang w:val="en-US" w:eastAsia="zh-CN"/>
              </w:rPr>
              <w:t>否</w:t>
            </w:r>
          </w:p>
        </w:tc>
      </w:tr>
      <w:tr w14:paraId="4FB2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64" w:type="pct"/>
            <w:shd w:val="clear" w:color="auto" w:fill="auto"/>
            <w:vAlign w:val="center"/>
          </w:tcPr>
          <w:p w14:paraId="4FFEACC5">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7836D063">
            <w:pPr>
              <w:spacing w:line="360" w:lineRule="auto"/>
              <w:rPr>
                <w:rFonts w:hint="eastAsia" w:ascii="宋体" w:hAnsi="宋体" w:eastAsia="宋体" w:cs="宋体"/>
                <w:sz w:val="24"/>
                <w:szCs w:val="21"/>
                <w:lang w:val="en-US" w:eastAsia="zh-CN" w:bidi="en-US"/>
              </w:rPr>
            </w:pPr>
            <w:r>
              <w:rPr>
                <w:rFonts w:hint="eastAsia" w:ascii="宋体" w:hAnsi="宋体"/>
                <w:szCs w:val="21"/>
              </w:rPr>
              <w:t>其他要求</w:t>
            </w:r>
          </w:p>
        </w:tc>
        <w:tc>
          <w:tcPr>
            <w:tcW w:w="2725" w:type="pct"/>
            <w:shd w:val="clear" w:color="auto" w:fill="auto"/>
            <w:vAlign w:val="center"/>
          </w:tcPr>
          <w:p w14:paraId="69E56976">
            <w:pPr>
              <w:spacing w:line="360" w:lineRule="auto"/>
              <w:rPr>
                <w:rFonts w:hint="eastAsia" w:ascii="宋体" w:hAnsi="宋体" w:eastAsia="宋体" w:cs="宋体"/>
                <w:color w:val="auto"/>
              </w:rPr>
            </w:pPr>
            <w:r>
              <w:rPr>
                <w:rFonts w:hint="eastAsia" w:ascii="宋体" w:hAnsi="宋体" w:eastAsia="宋体" w:cs="宋体"/>
                <w:color w:val="auto"/>
              </w:rPr>
              <w:t>附带导轨，可放入42U标准机柜。</w:t>
            </w:r>
          </w:p>
        </w:tc>
        <w:tc>
          <w:tcPr>
            <w:tcW w:w="756" w:type="pct"/>
            <w:shd w:val="clear" w:color="auto" w:fill="auto"/>
            <w:vAlign w:val="center"/>
          </w:tcPr>
          <w:p w14:paraId="7D0C37B0">
            <w:pPr>
              <w:spacing w:line="360" w:lineRule="auto"/>
              <w:rPr>
                <w:rFonts w:hint="eastAsia" w:ascii="宋体" w:hAnsi="宋体" w:eastAsia="宋体" w:cs="宋体"/>
                <w:color w:val="auto"/>
              </w:rPr>
            </w:pPr>
            <w:r>
              <w:rPr>
                <w:rFonts w:hint="eastAsia" w:cs="宋体"/>
                <w:color w:val="auto"/>
                <w:lang w:val="en-US" w:eastAsia="zh-CN"/>
              </w:rPr>
              <w:t>否</w:t>
            </w:r>
          </w:p>
        </w:tc>
      </w:tr>
      <w:tr w14:paraId="5A46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64" w:type="pct"/>
            <w:shd w:val="clear" w:color="auto" w:fill="auto"/>
            <w:vAlign w:val="center"/>
          </w:tcPr>
          <w:p w14:paraId="5C9196B2">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6CB66978">
            <w:pPr>
              <w:spacing w:line="360" w:lineRule="auto"/>
              <w:rPr>
                <w:rFonts w:hint="eastAsia" w:ascii="宋体" w:hAnsi="宋体" w:eastAsia="宋体" w:cs="宋体"/>
                <w:color w:val="auto"/>
              </w:rPr>
            </w:pPr>
            <w:r>
              <w:rPr>
                <w:rFonts w:hint="eastAsia" w:ascii="宋体" w:hAnsi="宋体"/>
                <w:szCs w:val="21"/>
              </w:rPr>
              <w:t>CPU配置</w:t>
            </w:r>
          </w:p>
        </w:tc>
        <w:tc>
          <w:tcPr>
            <w:tcW w:w="2725" w:type="pct"/>
            <w:shd w:val="clear" w:color="auto" w:fill="auto"/>
            <w:vAlign w:val="center"/>
          </w:tcPr>
          <w:p w14:paraId="247182B5">
            <w:pPr>
              <w:spacing w:line="360" w:lineRule="auto"/>
              <w:rPr>
                <w:rFonts w:hint="default" w:ascii="宋体" w:hAnsi="宋体" w:eastAsia="宋体" w:cs="宋体"/>
                <w:color w:val="auto"/>
                <w:lang w:val="en-US" w:eastAsia="zh-CN"/>
              </w:rPr>
            </w:pPr>
            <w:r>
              <w:rPr>
                <w:rFonts w:hint="default" w:ascii="宋体" w:hAnsi="宋体" w:eastAsia="宋体" w:cs="宋体"/>
                <w:color w:val="auto"/>
                <w:lang w:val="en-US" w:eastAsia="zh-CN"/>
              </w:rPr>
              <w:t>配置≥2颗CPU；CPU基准主频≥2.</w:t>
            </w:r>
            <w:r>
              <w:rPr>
                <w:rFonts w:hint="eastAsia" w:cs="宋体"/>
                <w:color w:val="auto"/>
                <w:lang w:val="en-US" w:eastAsia="zh-CN"/>
              </w:rPr>
              <w:t>3</w:t>
            </w:r>
            <w:r>
              <w:rPr>
                <w:rFonts w:hint="default" w:ascii="宋体" w:hAnsi="宋体" w:eastAsia="宋体" w:cs="宋体"/>
                <w:color w:val="auto"/>
                <w:lang w:val="en-US" w:eastAsia="zh-CN"/>
              </w:rPr>
              <w:t>GHz，单CPU物理核心数≥</w:t>
            </w:r>
            <w:r>
              <w:rPr>
                <w:rFonts w:hint="eastAsia" w:cs="宋体"/>
                <w:color w:val="auto"/>
                <w:lang w:val="en-US" w:eastAsia="zh-CN"/>
              </w:rPr>
              <w:t>40</w:t>
            </w:r>
            <w:r>
              <w:rPr>
                <w:rFonts w:hint="default" w:ascii="宋体" w:hAnsi="宋体" w:eastAsia="宋体" w:cs="宋体"/>
                <w:color w:val="auto"/>
                <w:lang w:val="en-US" w:eastAsia="zh-CN"/>
              </w:rPr>
              <w:t>核；单CPU线程数≥</w:t>
            </w:r>
            <w:r>
              <w:rPr>
                <w:rFonts w:hint="eastAsia" w:cs="宋体"/>
                <w:color w:val="auto"/>
                <w:lang w:val="en-US" w:eastAsia="zh-CN"/>
              </w:rPr>
              <w:t>80</w:t>
            </w:r>
            <w:r>
              <w:rPr>
                <w:rFonts w:hint="default" w:ascii="宋体" w:hAnsi="宋体" w:eastAsia="宋体" w:cs="宋体"/>
                <w:color w:val="auto"/>
                <w:lang w:val="en-US" w:eastAsia="zh-CN"/>
              </w:rPr>
              <w:t>；单颗CPU功耗≤2</w:t>
            </w:r>
            <w:r>
              <w:rPr>
                <w:rFonts w:hint="eastAsia" w:cs="宋体"/>
                <w:color w:val="auto"/>
                <w:lang w:val="en-US" w:eastAsia="zh-CN"/>
              </w:rPr>
              <w:t>70</w:t>
            </w:r>
            <w:r>
              <w:rPr>
                <w:rFonts w:hint="default" w:ascii="宋体" w:hAnsi="宋体" w:eastAsia="宋体" w:cs="宋体"/>
                <w:color w:val="auto"/>
                <w:lang w:val="en-US" w:eastAsia="zh-CN"/>
              </w:rPr>
              <w:t>W。</w:t>
            </w:r>
          </w:p>
        </w:tc>
        <w:tc>
          <w:tcPr>
            <w:tcW w:w="756" w:type="pct"/>
            <w:shd w:val="clear" w:color="auto" w:fill="auto"/>
            <w:vAlign w:val="center"/>
          </w:tcPr>
          <w:p w14:paraId="39042C75">
            <w:pPr>
              <w:spacing w:line="360" w:lineRule="auto"/>
              <w:rPr>
                <w:rFonts w:hint="eastAsia" w:ascii="宋体" w:hAnsi="宋体" w:eastAsia="宋体" w:cs="宋体"/>
                <w:color w:val="auto"/>
              </w:rPr>
            </w:pPr>
            <w:r>
              <w:rPr>
                <w:rFonts w:hint="eastAsia" w:cs="宋体"/>
                <w:color w:val="auto"/>
                <w:lang w:val="en-US" w:eastAsia="zh-CN"/>
              </w:rPr>
              <w:t>否</w:t>
            </w:r>
          </w:p>
        </w:tc>
      </w:tr>
      <w:tr w14:paraId="1270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464" w:type="pct"/>
            <w:shd w:val="clear" w:color="auto" w:fill="auto"/>
            <w:vAlign w:val="center"/>
          </w:tcPr>
          <w:p w14:paraId="2E8B3C26">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2E8F4CB5">
            <w:pPr>
              <w:spacing w:line="360" w:lineRule="auto"/>
              <w:rPr>
                <w:rFonts w:hint="eastAsia" w:ascii="宋体" w:hAnsi="宋体" w:eastAsia="宋体" w:cs="宋体"/>
                <w:color w:val="auto"/>
              </w:rPr>
            </w:pPr>
            <w:r>
              <w:rPr>
                <w:rFonts w:hint="eastAsia" w:ascii="宋体" w:hAnsi="宋体"/>
                <w:szCs w:val="21"/>
              </w:rPr>
              <w:t>内存配置</w:t>
            </w:r>
          </w:p>
        </w:tc>
        <w:tc>
          <w:tcPr>
            <w:tcW w:w="2725" w:type="pct"/>
            <w:shd w:val="clear" w:color="auto" w:fill="auto"/>
            <w:vAlign w:val="center"/>
          </w:tcPr>
          <w:p w14:paraId="4A7E797F">
            <w:pPr>
              <w:spacing w:line="360" w:lineRule="auto"/>
              <w:rPr>
                <w:rFonts w:hint="eastAsia" w:ascii="宋体" w:hAnsi="宋体" w:eastAsia="宋体" w:cs="宋体"/>
                <w:color w:val="auto"/>
              </w:rPr>
            </w:pPr>
            <w:r>
              <w:rPr>
                <w:rFonts w:hint="eastAsia" w:ascii="宋体" w:hAnsi="宋体" w:eastAsia="宋体" w:cs="宋体"/>
                <w:color w:val="auto"/>
              </w:rPr>
              <w:t>配置≥</w:t>
            </w:r>
            <w:r>
              <w:rPr>
                <w:rFonts w:hint="eastAsia" w:cs="宋体"/>
                <w:color w:val="auto"/>
                <w:lang w:val="en-US" w:eastAsia="zh-CN"/>
              </w:rPr>
              <w:t>8</w:t>
            </w:r>
            <w:r>
              <w:rPr>
                <w:rFonts w:hint="eastAsia" w:ascii="宋体" w:hAnsi="宋体" w:eastAsia="宋体" w:cs="宋体"/>
                <w:color w:val="auto"/>
              </w:rPr>
              <w:t>条</w:t>
            </w:r>
            <w:r>
              <w:rPr>
                <w:rFonts w:hint="eastAsia" w:cs="宋体"/>
                <w:color w:val="auto"/>
                <w:lang w:val="en-US" w:eastAsia="zh-CN"/>
              </w:rPr>
              <w:t>32</w:t>
            </w:r>
            <w:r>
              <w:rPr>
                <w:rFonts w:hint="eastAsia" w:ascii="宋体" w:hAnsi="宋体" w:eastAsia="宋体" w:cs="宋体"/>
                <w:color w:val="auto"/>
              </w:rPr>
              <w:t>GB DDR</w:t>
            </w:r>
            <w:r>
              <w:rPr>
                <w:rFonts w:hint="eastAsia" w:cs="宋体"/>
                <w:color w:val="auto"/>
                <w:lang w:val="en-US" w:eastAsia="zh-CN"/>
              </w:rPr>
              <w:t>4</w:t>
            </w:r>
            <w:r>
              <w:rPr>
                <w:rFonts w:hint="eastAsia" w:ascii="宋体" w:hAnsi="宋体" w:eastAsia="宋体" w:cs="宋体"/>
                <w:color w:val="auto"/>
              </w:rPr>
              <w:t>内存，最大颗支持32个DDR</w:t>
            </w:r>
            <w:r>
              <w:rPr>
                <w:rFonts w:hint="eastAsia" w:cs="宋体"/>
                <w:color w:val="auto"/>
                <w:lang w:val="en-US" w:eastAsia="zh-CN"/>
              </w:rPr>
              <w:t>4</w:t>
            </w:r>
            <w:r>
              <w:rPr>
                <w:rFonts w:hint="eastAsia" w:ascii="宋体" w:hAnsi="宋体" w:eastAsia="宋体" w:cs="宋体"/>
                <w:color w:val="auto"/>
              </w:rPr>
              <w:t>内存插槽，支持内存 ECC、内存镜像、内存热备等多种保护模式。</w:t>
            </w:r>
          </w:p>
        </w:tc>
        <w:tc>
          <w:tcPr>
            <w:tcW w:w="756" w:type="pct"/>
            <w:shd w:val="clear" w:color="auto" w:fill="auto"/>
            <w:vAlign w:val="center"/>
          </w:tcPr>
          <w:p w14:paraId="4CAC68EA">
            <w:pPr>
              <w:spacing w:line="360" w:lineRule="auto"/>
              <w:rPr>
                <w:rFonts w:hint="eastAsia" w:ascii="宋体" w:hAnsi="宋体" w:eastAsia="宋体" w:cs="宋体"/>
                <w:color w:val="auto"/>
              </w:rPr>
            </w:pPr>
            <w:r>
              <w:rPr>
                <w:rFonts w:hint="eastAsia" w:cs="宋体"/>
                <w:color w:val="auto"/>
                <w:lang w:val="en-US" w:eastAsia="zh-CN"/>
              </w:rPr>
              <w:t>否</w:t>
            </w:r>
          </w:p>
        </w:tc>
      </w:tr>
      <w:tr w14:paraId="0B84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64" w:type="pct"/>
            <w:shd w:val="clear" w:color="auto" w:fill="auto"/>
            <w:vAlign w:val="center"/>
          </w:tcPr>
          <w:p w14:paraId="52EC1C38">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47036B88">
            <w:pPr>
              <w:spacing w:line="360" w:lineRule="auto"/>
              <w:rPr>
                <w:rFonts w:hint="eastAsia" w:ascii="宋体" w:hAnsi="宋体" w:eastAsia="宋体" w:cs="宋体"/>
                <w:color w:val="auto"/>
              </w:rPr>
            </w:pPr>
            <w:r>
              <w:rPr>
                <w:rFonts w:hint="eastAsia" w:ascii="宋体" w:hAnsi="宋体"/>
                <w:szCs w:val="21"/>
              </w:rPr>
              <w:t>硬盘配置</w:t>
            </w:r>
          </w:p>
        </w:tc>
        <w:tc>
          <w:tcPr>
            <w:tcW w:w="2725" w:type="pct"/>
            <w:shd w:val="clear" w:color="auto" w:fill="auto"/>
            <w:vAlign w:val="center"/>
          </w:tcPr>
          <w:p w14:paraId="69411C6A">
            <w:pPr>
              <w:spacing w:line="360" w:lineRule="auto"/>
              <w:rPr>
                <w:rFonts w:hint="eastAsia" w:ascii="宋体" w:hAnsi="宋体" w:eastAsia="宋体" w:cs="宋体"/>
                <w:color w:val="auto"/>
              </w:rPr>
            </w:pPr>
            <w:r>
              <w:rPr>
                <w:rFonts w:hint="eastAsia" w:ascii="宋体" w:hAnsi="宋体" w:eastAsia="宋体" w:cs="宋体"/>
                <w:color w:val="auto"/>
              </w:rPr>
              <w:t>配置≥2块</w:t>
            </w:r>
            <w:r>
              <w:rPr>
                <w:rFonts w:hint="eastAsia" w:cs="宋体"/>
                <w:color w:val="auto"/>
                <w:lang w:val="en-US" w:eastAsia="zh-CN"/>
              </w:rPr>
              <w:t>1.92TB NVME SSD硬盘</w:t>
            </w:r>
            <w:r>
              <w:rPr>
                <w:rFonts w:hint="eastAsia" w:ascii="宋体" w:hAnsi="宋体" w:eastAsia="宋体" w:cs="宋体"/>
                <w:color w:val="auto"/>
              </w:rPr>
              <w:t>。</w:t>
            </w:r>
          </w:p>
          <w:p w14:paraId="1916B6B1">
            <w:pPr>
              <w:spacing w:line="360" w:lineRule="auto"/>
              <w:rPr>
                <w:rFonts w:hint="default" w:ascii="宋体" w:hAnsi="宋体" w:eastAsia="宋体" w:cs="宋体"/>
                <w:color w:val="auto"/>
                <w:lang w:val="en-US" w:eastAsia="zh-CN"/>
              </w:rPr>
            </w:pPr>
            <w:r>
              <w:rPr>
                <w:rFonts w:hint="eastAsia" w:cs="宋体"/>
                <w:color w:val="auto"/>
                <w:lang w:val="en-US" w:eastAsia="zh-CN"/>
              </w:rPr>
              <w:t>配置≥6块20TB SATA HDD硬盘。</w:t>
            </w:r>
          </w:p>
        </w:tc>
        <w:tc>
          <w:tcPr>
            <w:tcW w:w="756" w:type="pct"/>
            <w:shd w:val="clear" w:color="auto" w:fill="auto"/>
            <w:vAlign w:val="center"/>
          </w:tcPr>
          <w:p w14:paraId="5D3200F3">
            <w:pPr>
              <w:spacing w:line="360" w:lineRule="auto"/>
              <w:rPr>
                <w:rFonts w:hint="eastAsia" w:ascii="宋体" w:hAnsi="宋体" w:eastAsia="宋体" w:cs="宋体"/>
                <w:color w:val="auto"/>
              </w:rPr>
            </w:pPr>
            <w:r>
              <w:rPr>
                <w:rFonts w:hint="eastAsia" w:cs="宋体"/>
                <w:color w:val="auto"/>
                <w:lang w:val="en-US" w:eastAsia="zh-CN"/>
              </w:rPr>
              <w:t>否</w:t>
            </w:r>
          </w:p>
        </w:tc>
      </w:tr>
      <w:tr w14:paraId="1B78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64" w:type="pct"/>
            <w:shd w:val="clear" w:color="auto" w:fill="auto"/>
            <w:vAlign w:val="center"/>
          </w:tcPr>
          <w:p w14:paraId="584DAA2B">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36860CB7">
            <w:pPr>
              <w:spacing w:line="360" w:lineRule="auto"/>
              <w:rPr>
                <w:rFonts w:hint="eastAsia" w:ascii="宋体" w:hAnsi="宋体" w:eastAsia="宋体" w:cs="宋体"/>
                <w:color w:val="auto"/>
                <w:lang w:val="en-US" w:eastAsia="zh-CN"/>
              </w:rPr>
            </w:pPr>
            <w:r>
              <w:rPr>
                <w:rFonts w:hint="eastAsia" w:ascii="宋体" w:hAnsi="宋体"/>
                <w:szCs w:val="21"/>
              </w:rPr>
              <w:t>硬盘</w:t>
            </w:r>
            <w:r>
              <w:rPr>
                <w:rFonts w:hint="eastAsia" w:ascii="宋体" w:hAnsi="宋体"/>
                <w:szCs w:val="21"/>
                <w:lang w:val="en-US" w:eastAsia="zh-CN"/>
              </w:rPr>
              <w:t>扩展</w:t>
            </w:r>
          </w:p>
        </w:tc>
        <w:tc>
          <w:tcPr>
            <w:tcW w:w="2725" w:type="pct"/>
            <w:shd w:val="clear" w:color="auto" w:fill="auto"/>
            <w:vAlign w:val="center"/>
          </w:tcPr>
          <w:p w14:paraId="4FA291D6">
            <w:pPr>
              <w:spacing w:line="360" w:lineRule="auto"/>
              <w:rPr>
                <w:rFonts w:hint="eastAsia" w:ascii="宋体" w:hAnsi="宋体" w:eastAsia="宋体" w:cs="宋体"/>
                <w:color w:val="auto"/>
                <w:lang w:eastAsia="zh-CN"/>
              </w:rPr>
            </w:pPr>
            <w:r>
              <w:rPr>
                <w:rFonts w:hint="eastAsia" w:ascii="宋体" w:hAnsi="宋体" w:eastAsia="宋体" w:cs="宋体"/>
                <w:color w:val="auto"/>
              </w:rPr>
              <w:t xml:space="preserve">前置最高支持 </w:t>
            </w:r>
            <w:r>
              <w:rPr>
                <w:rFonts w:hint="eastAsia" w:cs="宋体"/>
                <w:color w:val="auto"/>
                <w:lang w:val="en-US" w:eastAsia="zh-CN"/>
              </w:rPr>
              <w:t>8</w:t>
            </w:r>
            <w:r>
              <w:rPr>
                <w:rFonts w:hint="eastAsia" w:ascii="宋体" w:hAnsi="宋体" w:eastAsia="宋体" w:cs="宋体"/>
                <w:color w:val="auto"/>
              </w:rPr>
              <w:t>块 3.5 英寸</w:t>
            </w:r>
            <w:r>
              <w:rPr>
                <w:rFonts w:hint="eastAsia" w:cs="宋体"/>
                <w:color w:val="auto"/>
                <w:lang w:eastAsia="zh-CN"/>
              </w:rPr>
              <w:t>。</w:t>
            </w:r>
          </w:p>
        </w:tc>
        <w:tc>
          <w:tcPr>
            <w:tcW w:w="756" w:type="pct"/>
            <w:shd w:val="clear" w:color="auto" w:fill="auto"/>
            <w:vAlign w:val="center"/>
          </w:tcPr>
          <w:p w14:paraId="421F4196">
            <w:pPr>
              <w:spacing w:line="360" w:lineRule="auto"/>
              <w:rPr>
                <w:rFonts w:hint="eastAsia" w:ascii="宋体" w:hAnsi="宋体" w:eastAsia="宋体" w:cs="宋体"/>
                <w:color w:val="auto"/>
              </w:rPr>
            </w:pPr>
            <w:r>
              <w:rPr>
                <w:rFonts w:hint="eastAsia" w:cs="宋体"/>
                <w:color w:val="auto"/>
                <w:lang w:val="en-US" w:eastAsia="zh-CN"/>
              </w:rPr>
              <w:t>否</w:t>
            </w:r>
          </w:p>
        </w:tc>
      </w:tr>
      <w:tr w14:paraId="71A9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64" w:type="pct"/>
            <w:shd w:val="clear" w:color="auto" w:fill="auto"/>
            <w:vAlign w:val="center"/>
          </w:tcPr>
          <w:p w14:paraId="5F07894F">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3F2B8A98">
            <w:pPr>
              <w:spacing w:line="360" w:lineRule="auto"/>
              <w:rPr>
                <w:rFonts w:hint="eastAsia" w:ascii="宋体" w:hAnsi="宋体" w:eastAsia="宋体" w:cs="宋体"/>
                <w:color w:val="auto"/>
              </w:rPr>
            </w:pPr>
            <w:r>
              <w:rPr>
                <w:rFonts w:hint="eastAsia" w:ascii="宋体" w:hAnsi="宋体"/>
                <w:szCs w:val="21"/>
              </w:rPr>
              <w:t>Raid卡</w:t>
            </w:r>
          </w:p>
        </w:tc>
        <w:tc>
          <w:tcPr>
            <w:tcW w:w="2725" w:type="pct"/>
            <w:shd w:val="clear" w:color="auto" w:fill="auto"/>
            <w:vAlign w:val="center"/>
          </w:tcPr>
          <w:p w14:paraId="0470BC78">
            <w:pPr>
              <w:spacing w:line="360" w:lineRule="auto"/>
              <w:rPr>
                <w:rFonts w:hint="default" w:ascii="宋体" w:hAnsi="宋体" w:eastAsia="宋体" w:cs="宋体"/>
                <w:color w:val="auto"/>
                <w:lang w:val="en-US" w:eastAsia="zh-CN"/>
              </w:rPr>
            </w:pPr>
            <w:r>
              <w:rPr>
                <w:rFonts w:hint="eastAsia" w:cs="宋体"/>
                <w:color w:val="auto"/>
                <w:lang w:val="en-US" w:eastAsia="zh-CN"/>
              </w:rPr>
              <w:t>配置≥1长阵列卡，阵列卡缓存≥2GB</w:t>
            </w:r>
          </w:p>
        </w:tc>
        <w:tc>
          <w:tcPr>
            <w:tcW w:w="756" w:type="pct"/>
            <w:shd w:val="clear" w:color="auto" w:fill="auto"/>
            <w:vAlign w:val="center"/>
          </w:tcPr>
          <w:p w14:paraId="5BB91A59">
            <w:pPr>
              <w:spacing w:line="360" w:lineRule="auto"/>
              <w:rPr>
                <w:rFonts w:hint="eastAsia" w:ascii="宋体" w:hAnsi="宋体" w:eastAsia="宋体" w:cs="宋体"/>
                <w:color w:val="auto"/>
              </w:rPr>
            </w:pPr>
            <w:r>
              <w:rPr>
                <w:rFonts w:hint="eastAsia" w:cs="宋体"/>
                <w:color w:val="auto"/>
                <w:lang w:val="en-US" w:eastAsia="zh-CN"/>
              </w:rPr>
              <w:t>否</w:t>
            </w:r>
          </w:p>
        </w:tc>
      </w:tr>
      <w:tr w14:paraId="6E6F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64" w:type="pct"/>
            <w:shd w:val="clear" w:color="auto" w:fill="auto"/>
            <w:vAlign w:val="center"/>
          </w:tcPr>
          <w:p w14:paraId="7D5C6045">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5BE63120">
            <w:pPr>
              <w:spacing w:line="360" w:lineRule="auto"/>
              <w:rPr>
                <w:rFonts w:hint="eastAsia" w:ascii="宋体" w:hAnsi="宋体" w:eastAsia="宋体" w:cs="宋体"/>
                <w:color w:val="auto"/>
              </w:rPr>
            </w:pPr>
            <w:r>
              <w:rPr>
                <w:rFonts w:hint="eastAsia" w:ascii="宋体" w:hAnsi="宋体"/>
                <w:szCs w:val="21"/>
              </w:rPr>
              <w:t>网络配置</w:t>
            </w:r>
          </w:p>
        </w:tc>
        <w:tc>
          <w:tcPr>
            <w:tcW w:w="2725" w:type="pct"/>
            <w:shd w:val="clear" w:color="auto" w:fill="auto"/>
            <w:vAlign w:val="center"/>
          </w:tcPr>
          <w:p w14:paraId="28F76E6B">
            <w:pPr>
              <w:spacing w:line="360" w:lineRule="auto"/>
              <w:rPr>
                <w:rFonts w:hint="eastAsia" w:ascii="宋体" w:hAnsi="宋体" w:eastAsia="宋体" w:cs="宋体"/>
                <w:color w:val="auto"/>
              </w:rPr>
            </w:pPr>
            <w:r>
              <w:rPr>
                <w:rFonts w:hint="eastAsia" w:ascii="宋体" w:hAnsi="宋体" w:eastAsia="宋体" w:cs="宋体"/>
                <w:color w:val="auto"/>
              </w:rPr>
              <w:t>≥1块四口1G千兆电口网卡。</w:t>
            </w:r>
          </w:p>
        </w:tc>
        <w:tc>
          <w:tcPr>
            <w:tcW w:w="756" w:type="pct"/>
            <w:shd w:val="clear" w:color="auto" w:fill="auto"/>
            <w:vAlign w:val="center"/>
          </w:tcPr>
          <w:p w14:paraId="33ED5D75">
            <w:pPr>
              <w:spacing w:line="360" w:lineRule="auto"/>
              <w:rPr>
                <w:rFonts w:hint="eastAsia" w:ascii="宋体" w:hAnsi="宋体" w:eastAsia="宋体" w:cs="宋体"/>
                <w:color w:val="auto"/>
              </w:rPr>
            </w:pPr>
            <w:r>
              <w:rPr>
                <w:rFonts w:hint="eastAsia" w:cs="宋体"/>
                <w:color w:val="auto"/>
                <w:lang w:val="en-US" w:eastAsia="zh-CN"/>
              </w:rPr>
              <w:t>否</w:t>
            </w:r>
          </w:p>
        </w:tc>
      </w:tr>
      <w:tr w14:paraId="1EB9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64" w:type="pct"/>
            <w:shd w:val="clear" w:color="auto" w:fill="auto"/>
            <w:vAlign w:val="center"/>
          </w:tcPr>
          <w:p w14:paraId="6F12EB39">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78615048">
            <w:pPr>
              <w:spacing w:line="360" w:lineRule="auto"/>
              <w:rPr>
                <w:rFonts w:hint="default" w:ascii="宋体" w:hAnsi="宋体" w:eastAsia="宋体"/>
                <w:szCs w:val="21"/>
                <w:lang w:val="en-US" w:eastAsia="zh-CN"/>
              </w:rPr>
            </w:pPr>
            <w:r>
              <w:rPr>
                <w:rFonts w:hint="eastAsia"/>
                <w:szCs w:val="21"/>
                <w:lang w:val="en-US" w:eastAsia="zh-CN"/>
              </w:rPr>
              <w:t>GPU</w:t>
            </w:r>
          </w:p>
        </w:tc>
        <w:tc>
          <w:tcPr>
            <w:tcW w:w="2725" w:type="pct"/>
            <w:shd w:val="clear" w:color="auto" w:fill="auto"/>
            <w:vAlign w:val="center"/>
          </w:tcPr>
          <w:p w14:paraId="4F50FD7B">
            <w:pPr>
              <w:spacing w:line="360" w:lineRule="auto"/>
              <w:rPr>
                <w:rFonts w:hint="eastAsia" w:ascii="宋体" w:hAnsi="宋体" w:eastAsia="宋体" w:cs="宋体"/>
                <w:color w:val="auto"/>
              </w:rPr>
            </w:pPr>
            <w:r>
              <w:rPr>
                <w:rFonts w:hint="eastAsia" w:ascii="宋体" w:hAnsi="宋体" w:eastAsia="宋体" w:cs="宋体"/>
                <w:color w:val="auto"/>
              </w:rPr>
              <w:t>配置≥1张GPU卡；每张GPU显存容量≥32G，CUDA 核心数量≥21760，基础频率≥2.0GHz，加速频率≥2.4GHz；具备≥3352 AI TOPS</w:t>
            </w:r>
          </w:p>
        </w:tc>
        <w:tc>
          <w:tcPr>
            <w:tcW w:w="756" w:type="pct"/>
            <w:shd w:val="clear" w:color="auto" w:fill="auto"/>
            <w:vAlign w:val="center"/>
          </w:tcPr>
          <w:p w14:paraId="5DC7AFD0">
            <w:pPr>
              <w:spacing w:line="360" w:lineRule="auto"/>
              <w:rPr>
                <w:rFonts w:hint="default" w:cs="宋体"/>
                <w:color w:val="auto"/>
                <w:lang w:val="en-US" w:eastAsia="zh-CN"/>
              </w:rPr>
            </w:pPr>
            <w:r>
              <w:rPr>
                <w:rFonts w:hint="eastAsia" w:cs="宋体"/>
                <w:color w:val="auto"/>
                <w:lang w:val="en-US" w:eastAsia="zh-CN"/>
              </w:rPr>
              <w:t>否</w:t>
            </w:r>
          </w:p>
        </w:tc>
      </w:tr>
      <w:tr w14:paraId="12AE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64" w:type="pct"/>
            <w:shd w:val="clear" w:color="auto" w:fill="auto"/>
            <w:vAlign w:val="center"/>
          </w:tcPr>
          <w:p w14:paraId="5561C47E">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2E6B84FA">
            <w:pPr>
              <w:spacing w:line="360" w:lineRule="auto"/>
              <w:rPr>
                <w:rFonts w:hint="eastAsia" w:ascii="宋体" w:hAnsi="宋体" w:eastAsia="宋体" w:cs="宋体"/>
                <w:color w:val="auto"/>
              </w:rPr>
            </w:pPr>
            <w:r>
              <w:rPr>
                <w:rFonts w:hint="eastAsia" w:ascii="宋体" w:hAnsi="宋体"/>
                <w:szCs w:val="21"/>
              </w:rPr>
              <w:t>PCIE扩展</w:t>
            </w:r>
          </w:p>
        </w:tc>
        <w:tc>
          <w:tcPr>
            <w:tcW w:w="2725" w:type="pct"/>
            <w:shd w:val="clear" w:color="auto" w:fill="auto"/>
            <w:vAlign w:val="center"/>
          </w:tcPr>
          <w:p w14:paraId="6DD934EC">
            <w:pPr>
              <w:spacing w:line="360" w:lineRule="auto"/>
              <w:rPr>
                <w:rFonts w:hint="eastAsia" w:ascii="宋体" w:hAnsi="宋体" w:eastAsia="宋体" w:cs="宋体"/>
                <w:color w:val="auto"/>
              </w:rPr>
            </w:pPr>
            <w:r>
              <w:rPr>
                <w:rFonts w:hint="eastAsia" w:ascii="宋体" w:hAnsi="宋体" w:eastAsia="宋体" w:cs="宋体"/>
                <w:color w:val="auto"/>
              </w:rPr>
              <w:t>最大支持1</w:t>
            </w:r>
            <w:r>
              <w:rPr>
                <w:rFonts w:hint="eastAsia" w:cs="宋体"/>
                <w:color w:val="auto"/>
                <w:lang w:val="en-US" w:eastAsia="zh-CN"/>
              </w:rPr>
              <w:t>1</w:t>
            </w:r>
            <w:r>
              <w:rPr>
                <w:rFonts w:hint="eastAsia" w:ascii="宋体" w:hAnsi="宋体" w:eastAsia="宋体" w:cs="宋体"/>
                <w:color w:val="auto"/>
              </w:rPr>
              <w:t>个标准PCIe扩展</w:t>
            </w:r>
          </w:p>
        </w:tc>
        <w:tc>
          <w:tcPr>
            <w:tcW w:w="756" w:type="pct"/>
            <w:shd w:val="clear" w:color="auto" w:fill="auto"/>
            <w:vAlign w:val="center"/>
          </w:tcPr>
          <w:p w14:paraId="54846143">
            <w:pPr>
              <w:spacing w:line="360" w:lineRule="auto"/>
              <w:rPr>
                <w:rFonts w:hint="eastAsia" w:ascii="宋体" w:hAnsi="宋体" w:eastAsia="宋体" w:cs="宋体"/>
                <w:color w:val="auto"/>
              </w:rPr>
            </w:pPr>
            <w:r>
              <w:rPr>
                <w:rFonts w:hint="eastAsia" w:cs="宋体"/>
                <w:color w:val="auto"/>
                <w:lang w:val="en-US" w:eastAsia="zh-CN"/>
              </w:rPr>
              <w:t>否</w:t>
            </w:r>
          </w:p>
        </w:tc>
      </w:tr>
      <w:tr w14:paraId="0BED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464" w:type="pct"/>
            <w:shd w:val="clear" w:color="auto" w:fill="auto"/>
            <w:vAlign w:val="center"/>
          </w:tcPr>
          <w:p w14:paraId="0E705D88">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07C0D053">
            <w:pPr>
              <w:spacing w:line="360" w:lineRule="auto"/>
              <w:rPr>
                <w:rFonts w:hint="eastAsia" w:ascii="宋体" w:hAnsi="宋体" w:eastAsia="宋体" w:cs="宋体"/>
                <w:color w:val="auto"/>
              </w:rPr>
            </w:pPr>
            <w:r>
              <w:rPr>
                <w:rFonts w:hint="eastAsia" w:ascii="宋体" w:hAnsi="宋体"/>
                <w:szCs w:val="21"/>
              </w:rPr>
              <w:t>维护</w:t>
            </w:r>
          </w:p>
        </w:tc>
        <w:tc>
          <w:tcPr>
            <w:tcW w:w="2725" w:type="pct"/>
            <w:shd w:val="clear" w:color="auto" w:fill="auto"/>
            <w:vAlign w:val="center"/>
          </w:tcPr>
          <w:p w14:paraId="0B04B02F">
            <w:pPr>
              <w:spacing w:line="360" w:lineRule="auto"/>
              <w:rPr>
                <w:rFonts w:hint="default" w:ascii="宋体" w:hAnsi="宋体" w:eastAsia="宋体" w:cs="宋体"/>
                <w:color w:val="auto"/>
                <w:lang w:val="en-US" w:eastAsia="zh-CN"/>
              </w:rPr>
            </w:pPr>
            <w:r>
              <w:rPr>
                <w:rFonts w:hint="default" w:ascii="宋体" w:hAnsi="宋体" w:eastAsia="宋体" w:cs="宋体"/>
                <w:color w:val="auto"/>
                <w:lang w:val="en-US" w:eastAsia="zh-CN"/>
              </w:rPr>
              <w:t>集成1个独立的1000Mbps 网络接口，专门用于IPMI 的远程管理</w:t>
            </w:r>
          </w:p>
        </w:tc>
        <w:tc>
          <w:tcPr>
            <w:tcW w:w="756" w:type="pct"/>
            <w:shd w:val="clear" w:color="auto" w:fill="auto"/>
            <w:vAlign w:val="center"/>
          </w:tcPr>
          <w:p w14:paraId="38802DB5">
            <w:pPr>
              <w:spacing w:line="360" w:lineRule="auto"/>
              <w:rPr>
                <w:rFonts w:hint="eastAsia" w:ascii="宋体" w:hAnsi="宋体" w:eastAsia="宋体" w:cs="宋体"/>
                <w:color w:val="auto"/>
              </w:rPr>
            </w:pPr>
            <w:r>
              <w:rPr>
                <w:rFonts w:hint="eastAsia" w:cs="宋体"/>
                <w:color w:val="auto"/>
                <w:lang w:val="en-US" w:eastAsia="zh-CN"/>
              </w:rPr>
              <w:t>否</w:t>
            </w:r>
          </w:p>
        </w:tc>
      </w:tr>
      <w:tr w14:paraId="680D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9" w:hRule="atLeast"/>
          <w:jc w:val="center"/>
        </w:trPr>
        <w:tc>
          <w:tcPr>
            <w:tcW w:w="464" w:type="pct"/>
            <w:shd w:val="clear" w:color="auto" w:fill="auto"/>
            <w:vAlign w:val="center"/>
          </w:tcPr>
          <w:p w14:paraId="4E9B6C50">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3B971C6B">
            <w:pPr>
              <w:spacing w:line="360" w:lineRule="auto"/>
              <w:rPr>
                <w:rFonts w:hint="eastAsia" w:ascii="宋体" w:hAnsi="宋体" w:eastAsia="宋体" w:cs="宋体"/>
                <w:color w:val="auto"/>
              </w:rPr>
            </w:pPr>
            <w:r>
              <w:rPr>
                <w:rFonts w:hint="eastAsia" w:ascii="宋体" w:hAnsi="宋体"/>
                <w:szCs w:val="21"/>
              </w:rPr>
              <w:t>系统管理芯片</w:t>
            </w:r>
          </w:p>
        </w:tc>
        <w:tc>
          <w:tcPr>
            <w:tcW w:w="2725" w:type="pct"/>
            <w:shd w:val="clear" w:color="auto" w:fill="auto"/>
            <w:vAlign w:val="center"/>
          </w:tcPr>
          <w:p w14:paraId="2F2A092B">
            <w:pPr>
              <w:spacing w:line="360" w:lineRule="auto"/>
              <w:rPr>
                <w:rFonts w:hint="eastAsia" w:ascii="宋体" w:hAnsi="宋体" w:eastAsia="宋体" w:cs="宋体"/>
                <w:color w:val="auto"/>
              </w:rPr>
            </w:pPr>
            <w:r>
              <w:rPr>
                <w:rFonts w:hint="eastAsia" w:cs="宋体"/>
                <w:color w:val="auto"/>
                <w:lang w:val="en-US" w:eastAsia="zh-CN"/>
              </w:rPr>
              <w:t>提供</w:t>
            </w:r>
            <w:r>
              <w:rPr>
                <w:rFonts w:hint="eastAsia" w:ascii="宋体" w:hAnsi="宋体" w:eastAsia="宋体" w:cs="宋体"/>
                <w:color w:val="auto"/>
              </w:rPr>
              <w:t>BMC最新技术，使技术人员可以通过Web管理界面、故障诊断LED等指引设备，并可通过前面板上的UID指示灯标记有故障的机器，快速找到已经发生故障（或者正在发生故障）的组件，从而简化维护工作、加快解决问题的速度，并且提高系统可用性</w:t>
            </w:r>
          </w:p>
        </w:tc>
        <w:tc>
          <w:tcPr>
            <w:tcW w:w="756" w:type="pct"/>
            <w:shd w:val="clear" w:color="auto" w:fill="auto"/>
            <w:vAlign w:val="center"/>
          </w:tcPr>
          <w:p w14:paraId="3A4791A2">
            <w:pPr>
              <w:spacing w:line="360" w:lineRule="auto"/>
              <w:rPr>
                <w:rFonts w:hint="eastAsia" w:ascii="宋体" w:hAnsi="宋体" w:eastAsia="宋体" w:cs="宋体"/>
                <w:color w:val="auto"/>
              </w:rPr>
            </w:pPr>
            <w:r>
              <w:rPr>
                <w:rFonts w:hint="eastAsia" w:cs="宋体"/>
                <w:color w:val="auto"/>
                <w:lang w:val="en-US" w:eastAsia="zh-CN"/>
              </w:rPr>
              <w:t>否</w:t>
            </w:r>
          </w:p>
        </w:tc>
      </w:tr>
      <w:tr w14:paraId="0CA1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64" w:type="pct"/>
            <w:shd w:val="clear" w:color="auto" w:fill="auto"/>
            <w:vAlign w:val="center"/>
          </w:tcPr>
          <w:p w14:paraId="558B719E">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74C7967B">
            <w:pPr>
              <w:spacing w:line="360" w:lineRule="auto"/>
              <w:rPr>
                <w:rFonts w:hint="eastAsia" w:ascii="宋体" w:hAnsi="宋体" w:eastAsia="宋体" w:cs="宋体"/>
                <w:color w:val="auto"/>
              </w:rPr>
            </w:pPr>
            <w:r>
              <w:rPr>
                <w:rFonts w:hint="eastAsia" w:ascii="宋体" w:hAnsi="宋体"/>
                <w:szCs w:val="21"/>
              </w:rPr>
              <w:t>电源模块</w:t>
            </w:r>
          </w:p>
        </w:tc>
        <w:tc>
          <w:tcPr>
            <w:tcW w:w="2725" w:type="pct"/>
            <w:shd w:val="clear" w:color="auto" w:fill="auto"/>
            <w:vAlign w:val="center"/>
          </w:tcPr>
          <w:p w14:paraId="48516A16">
            <w:pPr>
              <w:spacing w:line="360" w:lineRule="auto"/>
              <w:rPr>
                <w:rFonts w:hint="eastAsia" w:ascii="宋体" w:hAnsi="宋体" w:eastAsia="宋体" w:cs="宋体"/>
                <w:color w:val="auto"/>
              </w:rPr>
            </w:pPr>
            <w:r>
              <w:rPr>
                <w:rFonts w:hint="eastAsia" w:ascii="宋体" w:hAnsi="宋体"/>
                <w:szCs w:val="21"/>
              </w:rPr>
              <w:t>配置≥2个电源功率不低于1</w:t>
            </w:r>
            <w:r>
              <w:rPr>
                <w:rFonts w:hint="eastAsia" w:ascii="宋体" w:hAnsi="宋体"/>
                <w:szCs w:val="21"/>
                <w:lang w:val="en-US" w:eastAsia="zh-CN"/>
              </w:rPr>
              <w:t>6</w:t>
            </w:r>
            <w:r>
              <w:rPr>
                <w:rFonts w:hint="eastAsia" w:ascii="宋体" w:hAnsi="宋体"/>
                <w:szCs w:val="21"/>
              </w:rPr>
              <w:t>00W电源。</w:t>
            </w:r>
          </w:p>
        </w:tc>
        <w:tc>
          <w:tcPr>
            <w:tcW w:w="756" w:type="pct"/>
            <w:shd w:val="clear" w:color="auto" w:fill="auto"/>
            <w:vAlign w:val="center"/>
          </w:tcPr>
          <w:p w14:paraId="553FA680">
            <w:pPr>
              <w:spacing w:line="360" w:lineRule="auto"/>
              <w:rPr>
                <w:rFonts w:hint="eastAsia" w:ascii="宋体" w:hAnsi="宋体" w:eastAsia="宋体" w:cs="宋体"/>
                <w:color w:val="auto"/>
                <w:lang w:val="en-US" w:eastAsia="zh-CN"/>
              </w:rPr>
            </w:pPr>
            <w:r>
              <w:rPr>
                <w:rFonts w:hint="eastAsia" w:cs="宋体"/>
                <w:color w:val="auto"/>
                <w:lang w:val="en-US" w:eastAsia="zh-CN"/>
              </w:rPr>
              <w:t>否</w:t>
            </w:r>
          </w:p>
        </w:tc>
      </w:tr>
      <w:tr w14:paraId="76DF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464" w:type="pct"/>
            <w:shd w:val="clear" w:color="auto" w:fill="auto"/>
            <w:vAlign w:val="center"/>
          </w:tcPr>
          <w:p w14:paraId="76F1C027">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6E53FBFB">
            <w:pPr>
              <w:spacing w:line="360" w:lineRule="auto"/>
              <w:rPr>
                <w:rFonts w:hint="eastAsia" w:ascii="宋体" w:hAnsi="宋体" w:eastAsia="宋体" w:cs="宋体"/>
                <w:color w:val="auto"/>
              </w:rPr>
            </w:pPr>
            <w:r>
              <w:rPr>
                <w:rFonts w:hint="eastAsia" w:ascii="宋体" w:hAnsi="宋体"/>
                <w:szCs w:val="21"/>
              </w:rPr>
              <w:t>满足采购需求标准</w:t>
            </w:r>
          </w:p>
        </w:tc>
        <w:tc>
          <w:tcPr>
            <w:tcW w:w="2725" w:type="pct"/>
            <w:shd w:val="clear" w:color="auto" w:fill="auto"/>
            <w:vAlign w:val="center"/>
          </w:tcPr>
          <w:p w14:paraId="206AF378">
            <w:pPr>
              <w:spacing w:line="360" w:lineRule="auto"/>
              <w:rPr>
                <w:rFonts w:hint="eastAsia" w:ascii="宋体" w:hAnsi="宋体" w:eastAsia="宋体" w:cs="宋体"/>
                <w:color w:val="auto"/>
              </w:rPr>
            </w:pPr>
            <w:r>
              <w:rPr>
                <w:rFonts w:hint="eastAsia" w:ascii="宋体" w:hAnsi="宋体"/>
                <w:szCs w:val="21"/>
              </w:rPr>
              <w:t>须承诺所投产品满足《通用服务器政府采购需求标准（2023年版）》除安全可靠测评外其他所有要求（投标人须提供承诺函）。</w:t>
            </w:r>
          </w:p>
        </w:tc>
        <w:tc>
          <w:tcPr>
            <w:tcW w:w="756" w:type="pct"/>
            <w:shd w:val="clear" w:color="auto" w:fill="auto"/>
            <w:vAlign w:val="center"/>
          </w:tcPr>
          <w:p w14:paraId="633BF8EF">
            <w:pPr>
              <w:spacing w:line="360" w:lineRule="auto"/>
              <w:rPr>
                <w:rFonts w:hint="eastAsia" w:ascii="宋体" w:hAnsi="宋体" w:eastAsia="宋体"/>
                <w:szCs w:val="21"/>
                <w:lang w:val="en-US" w:eastAsia="zh-CN"/>
              </w:rPr>
            </w:pPr>
            <w:r>
              <w:rPr>
                <w:rFonts w:hint="eastAsia" w:ascii="宋体" w:hAnsi="宋体"/>
                <w:szCs w:val="21"/>
                <w:lang w:val="en-US" w:eastAsia="zh-CN"/>
              </w:rPr>
              <w:t>是</w:t>
            </w:r>
          </w:p>
        </w:tc>
      </w:tr>
      <w:tr w14:paraId="37A0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pct"/>
            <w:shd w:val="clear" w:color="auto" w:fill="auto"/>
            <w:vAlign w:val="center"/>
          </w:tcPr>
          <w:p w14:paraId="2A036E5A">
            <w:pPr>
              <w:pStyle w:val="24"/>
              <w:numPr>
                <w:ilvl w:val="0"/>
                <w:numId w:val="2"/>
              </w:numPr>
              <w:spacing w:line="360" w:lineRule="auto"/>
              <w:ind w:firstLineChars="0"/>
              <w:jc w:val="center"/>
              <w:rPr>
                <w:rFonts w:hint="eastAsia" w:ascii="宋体" w:hAnsi="宋体" w:eastAsia="宋体" w:cs="宋体"/>
                <w:color w:val="auto"/>
              </w:rPr>
            </w:pPr>
          </w:p>
        </w:tc>
        <w:tc>
          <w:tcPr>
            <w:tcW w:w="1053" w:type="pct"/>
            <w:shd w:val="clear" w:color="auto" w:fill="auto"/>
            <w:vAlign w:val="center"/>
          </w:tcPr>
          <w:p w14:paraId="67268D66">
            <w:pPr>
              <w:spacing w:line="360" w:lineRule="auto"/>
              <w:rPr>
                <w:rFonts w:hint="eastAsia" w:ascii="宋体" w:hAnsi="宋体" w:eastAsia="宋体"/>
                <w:szCs w:val="21"/>
                <w:lang w:val="en-US" w:eastAsia="zh-CN"/>
              </w:rPr>
            </w:pPr>
            <w:r>
              <w:rPr>
                <w:rFonts w:hint="eastAsia"/>
                <w:szCs w:val="21"/>
                <w:lang w:val="en-US" w:eastAsia="zh-CN"/>
              </w:rPr>
              <w:t>服务</w:t>
            </w:r>
          </w:p>
        </w:tc>
        <w:tc>
          <w:tcPr>
            <w:tcW w:w="2725" w:type="pct"/>
            <w:shd w:val="clear" w:color="auto" w:fill="auto"/>
            <w:vAlign w:val="center"/>
          </w:tcPr>
          <w:p w14:paraId="269FE773">
            <w:pPr>
              <w:spacing w:line="360" w:lineRule="auto"/>
              <w:rPr>
                <w:rFonts w:hint="default" w:ascii="宋体" w:hAnsi="宋体" w:eastAsia="宋体"/>
                <w:szCs w:val="21"/>
                <w:lang w:val="en-US" w:eastAsia="zh-CN"/>
              </w:rPr>
            </w:pPr>
            <w:r>
              <w:rPr>
                <w:rFonts w:hint="eastAsia"/>
                <w:szCs w:val="21"/>
                <w:lang w:val="en-US" w:eastAsia="zh-CN"/>
              </w:rPr>
              <w:t>提供≥3年质保服务</w:t>
            </w:r>
          </w:p>
        </w:tc>
        <w:tc>
          <w:tcPr>
            <w:tcW w:w="756" w:type="pct"/>
            <w:shd w:val="clear" w:color="auto" w:fill="auto"/>
            <w:vAlign w:val="center"/>
          </w:tcPr>
          <w:p w14:paraId="7D4B38F6">
            <w:pPr>
              <w:spacing w:line="360" w:lineRule="auto"/>
              <w:rPr>
                <w:rFonts w:hint="default" w:ascii="宋体" w:hAnsi="宋体"/>
                <w:szCs w:val="21"/>
                <w:lang w:val="en-US" w:eastAsia="zh-CN"/>
              </w:rPr>
            </w:pPr>
            <w:r>
              <w:rPr>
                <w:rFonts w:hint="eastAsia"/>
                <w:szCs w:val="21"/>
                <w:lang w:val="en-US" w:eastAsia="zh-CN"/>
              </w:rPr>
              <w:t>否</w:t>
            </w:r>
          </w:p>
        </w:tc>
      </w:tr>
    </w:tbl>
    <w:p w14:paraId="25A0331F">
      <w:pPr>
        <w:rPr>
          <w:rFonts w:hint="eastAsia" w:ascii="宋体" w:hAnsi="宋体" w:eastAsia="宋体" w:cs="宋体"/>
          <w:color w:val="auto"/>
        </w:rPr>
      </w:pPr>
    </w:p>
    <w:p w14:paraId="342D2041">
      <w:pPr>
        <w:pStyle w:val="2"/>
        <w:bidi w:val="0"/>
        <w:rPr>
          <w:rFonts w:hint="eastAsia"/>
        </w:rPr>
      </w:pPr>
      <w:r>
        <w:rPr>
          <w:rFonts w:hint="eastAsia"/>
        </w:rPr>
        <w:t>项目工期及实施要求</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2463"/>
        <w:gridCol w:w="5323"/>
      </w:tblGrid>
      <w:tr w14:paraId="03EB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shd w:val="clear" w:color="auto" w:fill="auto"/>
          </w:tcPr>
          <w:p w14:paraId="423B3D26">
            <w:pPr>
              <w:spacing w:line="360" w:lineRule="auto"/>
              <w:jc w:val="center"/>
              <w:rPr>
                <w:rFonts w:hint="eastAsia" w:ascii="宋体" w:hAnsi="宋体" w:eastAsia="宋体" w:cs="宋体"/>
                <w:b/>
                <w:bCs/>
                <w:color w:val="auto"/>
              </w:rPr>
            </w:pPr>
            <w:r>
              <w:rPr>
                <w:rFonts w:hint="eastAsia" w:ascii="宋体" w:hAnsi="宋体" w:eastAsia="宋体" w:cs="宋体"/>
                <w:b/>
                <w:bCs/>
                <w:color w:val="auto"/>
              </w:rPr>
              <w:t>序号</w:t>
            </w:r>
          </w:p>
        </w:tc>
        <w:tc>
          <w:tcPr>
            <w:tcW w:w="1445" w:type="pct"/>
            <w:shd w:val="clear" w:color="auto" w:fill="auto"/>
          </w:tcPr>
          <w:p w14:paraId="75A5A4FB">
            <w:pPr>
              <w:spacing w:line="360" w:lineRule="auto"/>
              <w:jc w:val="center"/>
              <w:rPr>
                <w:rFonts w:hint="eastAsia" w:ascii="宋体" w:hAnsi="宋体" w:eastAsia="宋体" w:cs="宋体"/>
                <w:b/>
                <w:bCs/>
                <w:color w:val="auto"/>
              </w:rPr>
            </w:pPr>
            <w:r>
              <w:rPr>
                <w:rFonts w:hint="eastAsia" w:ascii="宋体" w:hAnsi="宋体" w:eastAsia="宋体" w:cs="宋体"/>
                <w:b/>
                <w:bCs/>
                <w:color w:val="auto"/>
              </w:rPr>
              <w:t>内容</w:t>
            </w:r>
          </w:p>
        </w:tc>
        <w:tc>
          <w:tcPr>
            <w:tcW w:w="3123" w:type="pct"/>
            <w:shd w:val="clear" w:color="auto" w:fill="auto"/>
          </w:tcPr>
          <w:p w14:paraId="6EB72AA4">
            <w:pPr>
              <w:spacing w:line="360" w:lineRule="auto"/>
              <w:jc w:val="center"/>
              <w:rPr>
                <w:rFonts w:hint="eastAsia" w:ascii="宋体" w:hAnsi="宋体" w:eastAsia="宋体" w:cs="宋体"/>
                <w:b/>
                <w:bCs/>
                <w:color w:val="auto"/>
              </w:rPr>
            </w:pPr>
            <w:r>
              <w:rPr>
                <w:rFonts w:hint="eastAsia" w:ascii="宋体" w:hAnsi="宋体" w:eastAsia="宋体" w:cs="宋体"/>
                <w:b/>
                <w:bCs/>
                <w:color w:val="auto"/>
              </w:rPr>
              <w:t>实施标准</w:t>
            </w:r>
          </w:p>
        </w:tc>
      </w:tr>
      <w:tr w14:paraId="2F7D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063F1065">
            <w:pPr>
              <w:pStyle w:val="24"/>
              <w:numPr>
                <w:ilvl w:val="0"/>
                <w:numId w:val="3"/>
              </w:numPr>
              <w:spacing w:line="360" w:lineRule="auto"/>
              <w:ind w:firstLineChars="0"/>
              <w:rPr>
                <w:rFonts w:hint="eastAsia" w:ascii="宋体" w:hAnsi="宋体" w:eastAsia="宋体" w:cs="宋体"/>
                <w:color w:val="auto"/>
                <w:sz w:val="24"/>
                <w:szCs w:val="32"/>
              </w:rPr>
            </w:pPr>
          </w:p>
        </w:tc>
        <w:tc>
          <w:tcPr>
            <w:tcW w:w="1445" w:type="pct"/>
            <w:vAlign w:val="center"/>
          </w:tcPr>
          <w:p w14:paraId="3C64A20C">
            <w:pPr>
              <w:spacing w:line="360" w:lineRule="auto"/>
              <w:rPr>
                <w:rFonts w:hint="eastAsia" w:ascii="宋体" w:hAnsi="宋体" w:eastAsia="宋体" w:cs="宋体"/>
                <w:color w:val="auto"/>
              </w:rPr>
            </w:pPr>
            <w:r>
              <w:rPr>
                <w:rFonts w:hint="eastAsia" w:ascii="宋体" w:hAnsi="宋体" w:eastAsia="宋体" w:cs="宋体"/>
                <w:color w:val="auto"/>
              </w:rPr>
              <w:t>项目实施过程控制</w:t>
            </w:r>
          </w:p>
        </w:tc>
        <w:tc>
          <w:tcPr>
            <w:tcW w:w="3123" w:type="pct"/>
            <w:vAlign w:val="center"/>
          </w:tcPr>
          <w:p w14:paraId="7BA97867">
            <w:pPr>
              <w:spacing w:line="360" w:lineRule="auto"/>
              <w:rPr>
                <w:rFonts w:hint="eastAsia" w:ascii="宋体" w:hAnsi="宋体" w:eastAsia="宋体" w:cs="宋体"/>
                <w:color w:val="auto"/>
              </w:rPr>
            </w:pPr>
            <w:r>
              <w:rPr>
                <w:rFonts w:hint="eastAsia" w:ascii="宋体" w:hAnsi="宋体" w:eastAsia="宋体" w:cs="宋体"/>
                <w:color w:val="auto"/>
              </w:rPr>
              <w:t>软件到货、安装、调试、验收工作，严格按照技术要求文件和合同的工期要求完成项目实施。</w:t>
            </w:r>
          </w:p>
        </w:tc>
      </w:tr>
      <w:tr w14:paraId="7F8B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6A01D749">
            <w:pPr>
              <w:pStyle w:val="24"/>
              <w:numPr>
                <w:ilvl w:val="0"/>
                <w:numId w:val="3"/>
              </w:numPr>
              <w:spacing w:line="360" w:lineRule="auto"/>
              <w:ind w:firstLineChars="0"/>
              <w:rPr>
                <w:rFonts w:hint="eastAsia" w:ascii="宋体" w:hAnsi="宋体" w:eastAsia="宋体" w:cs="宋体"/>
                <w:color w:val="auto"/>
                <w:sz w:val="24"/>
                <w:szCs w:val="32"/>
              </w:rPr>
            </w:pPr>
          </w:p>
        </w:tc>
        <w:tc>
          <w:tcPr>
            <w:tcW w:w="1445" w:type="pct"/>
            <w:vAlign w:val="center"/>
          </w:tcPr>
          <w:p w14:paraId="63ACFF82">
            <w:pPr>
              <w:spacing w:line="360" w:lineRule="auto"/>
              <w:rPr>
                <w:rFonts w:hint="eastAsia" w:ascii="宋体" w:hAnsi="宋体" w:eastAsia="宋体" w:cs="宋体"/>
                <w:color w:val="auto"/>
              </w:rPr>
            </w:pPr>
            <w:r>
              <w:rPr>
                <w:rFonts w:hint="eastAsia" w:ascii="宋体" w:hAnsi="宋体" w:eastAsia="宋体" w:cs="宋体"/>
                <w:color w:val="auto"/>
              </w:rPr>
              <w:t>项目实施过程文档管理</w:t>
            </w:r>
          </w:p>
        </w:tc>
        <w:tc>
          <w:tcPr>
            <w:tcW w:w="3123" w:type="pct"/>
            <w:vAlign w:val="center"/>
          </w:tcPr>
          <w:p w14:paraId="7ED2FEF5">
            <w:pPr>
              <w:spacing w:line="360" w:lineRule="auto"/>
              <w:rPr>
                <w:rFonts w:hint="eastAsia" w:ascii="宋体" w:hAnsi="宋体" w:eastAsia="宋体" w:cs="宋体"/>
                <w:color w:val="auto"/>
              </w:rPr>
            </w:pPr>
            <w:r>
              <w:rPr>
                <w:rFonts w:hint="eastAsia" w:ascii="宋体" w:hAnsi="宋体" w:eastAsia="宋体" w:cs="宋体"/>
                <w:color w:val="auto"/>
              </w:rPr>
              <w:t>提供各个阶段过程文档类别、文档管理措施等。</w:t>
            </w:r>
          </w:p>
        </w:tc>
      </w:tr>
      <w:tr w14:paraId="146C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359AED2A">
            <w:pPr>
              <w:pStyle w:val="24"/>
              <w:numPr>
                <w:ilvl w:val="0"/>
                <w:numId w:val="3"/>
              </w:numPr>
              <w:spacing w:line="360" w:lineRule="auto"/>
              <w:ind w:firstLineChars="0"/>
              <w:rPr>
                <w:rFonts w:hint="eastAsia" w:ascii="宋体" w:hAnsi="宋体" w:eastAsia="宋体" w:cs="宋体"/>
                <w:color w:val="auto"/>
                <w:sz w:val="24"/>
                <w:szCs w:val="32"/>
              </w:rPr>
            </w:pPr>
          </w:p>
        </w:tc>
        <w:tc>
          <w:tcPr>
            <w:tcW w:w="1445" w:type="pct"/>
            <w:vAlign w:val="center"/>
          </w:tcPr>
          <w:p w14:paraId="13892EAA">
            <w:pPr>
              <w:spacing w:line="360" w:lineRule="auto"/>
              <w:rPr>
                <w:rFonts w:hint="eastAsia" w:ascii="宋体" w:hAnsi="宋体" w:eastAsia="宋体" w:cs="宋体"/>
                <w:color w:val="auto"/>
              </w:rPr>
            </w:pPr>
            <w:r>
              <w:rPr>
                <w:rFonts w:hint="eastAsia" w:ascii="宋体" w:hAnsi="宋体" w:eastAsia="宋体" w:cs="宋体"/>
                <w:color w:val="auto"/>
              </w:rPr>
              <w:t>项目实施组织架构</w:t>
            </w:r>
          </w:p>
        </w:tc>
        <w:tc>
          <w:tcPr>
            <w:tcW w:w="3123" w:type="pct"/>
            <w:vAlign w:val="center"/>
          </w:tcPr>
          <w:p w14:paraId="10CFF166">
            <w:pPr>
              <w:spacing w:line="360" w:lineRule="auto"/>
              <w:rPr>
                <w:rFonts w:hint="eastAsia" w:ascii="宋体" w:hAnsi="宋体" w:eastAsia="宋体" w:cs="宋体"/>
                <w:color w:val="auto"/>
              </w:rPr>
            </w:pPr>
            <w:r>
              <w:rPr>
                <w:rFonts w:hint="eastAsia" w:ascii="宋体" w:hAnsi="宋体" w:eastAsia="宋体" w:cs="宋体"/>
                <w:color w:val="auto"/>
              </w:rPr>
              <w:t>提供项目组织架构、职责分工、参与成员能力等内容。</w:t>
            </w:r>
          </w:p>
        </w:tc>
      </w:tr>
      <w:tr w14:paraId="3AF8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23917052">
            <w:pPr>
              <w:pStyle w:val="24"/>
              <w:numPr>
                <w:ilvl w:val="0"/>
                <w:numId w:val="3"/>
              </w:numPr>
              <w:spacing w:line="360" w:lineRule="auto"/>
              <w:ind w:firstLineChars="0"/>
              <w:rPr>
                <w:rFonts w:hint="eastAsia" w:ascii="宋体" w:hAnsi="宋体" w:eastAsia="宋体" w:cs="宋体"/>
                <w:color w:val="auto"/>
                <w:sz w:val="24"/>
                <w:szCs w:val="32"/>
              </w:rPr>
            </w:pPr>
          </w:p>
        </w:tc>
        <w:tc>
          <w:tcPr>
            <w:tcW w:w="1445" w:type="pct"/>
            <w:vAlign w:val="center"/>
          </w:tcPr>
          <w:p w14:paraId="1D8EC219">
            <w:pPr>
              <w:spacing w:line="360" w:lineRule="auto"/>
              <w:rPr>
                <w:rFonts w:hint="eastAsia" w:ascii="宋体" w:hAnsi="宋体" w:eastAsia="宋体" w:cs="宋体"/>
                <w:color w:val="auto"/>
              </w:rPr>
            </w:pPr>
            <w:r>
              <w:rPr>
                <w:rFonts w:hint="eastAsia" w:ascii="宋体" w:hAnsi="宋体" w:eastAsia="宋体" w:cs="宋体"/>
                <w:color w:val="auto"/>
              </w:rPr>
              <w:t>项目实施进度安排</w:t>
            </w:r>
          </w:p>
        </w:tc>
        <w:tc>
          <w:tcPr>
            <w:tcW w:w="3123" w:type="pct"/>
            <w:vAlign w:val="center"/>
          </w:tcPr>
          <w:p w14:paraId="08B8F76D">
            <w:pPr>
              <w:spacing w:line="360" w:lineRule="auto"/>
              <w:rPr>
                <w:rFonts w:hint="eastAsia" w:ascii="宋体" w:hAnsi="宋体" w:eastAsia="宋体" w:cs="宋体"/>
                <w:color w:val="auto"/>
              </w:rPr>
            </w:pPr>
            <w:r>
              <w:rPr>
                <w:rFonts w:hint="eastAsia" w:ascii="宋体" w:hAnsi="宋体" w:eastAsia="宋体" w:cs="宋体"/>
                <w:color w:val="auto"/>
              </w:rPr>
              <w:t>提供实施进度计划和控制措施，确保按期完成</w:t>
            </w:r>
          </w:p>
        </w:tc>
      </w:tr>
      <w:tr w14:paraId="5868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753ED64B">
            <w:pPr>
              <w:pStyle w:val="24"/>
              <w:numPr>
                <w:ilvl w:val="0"/>
                <w:numId w:val="3"/>
              </w:numPr>
              <w:spacing w:line="360" w:lineRule="auto"/>
              <w:ind w:firstLineChars="0"/>
              <w:rPr>
                <w:rFonts w:hint="eastAsia" w:ascii="宋体" w:hAnsi="宋体" w:eastAsia="宋体" w:cs="宋体"/>
                <w:color w:val="auto"/>
                <w:sz w:val="24"/>
                <w:szCs w:val="32"/>
              </w:rPr>
            </w:pPr>
          </w:p>
        </w:tc>
        <w:tc>
          <w:tcPr>
            <w:tcW w:w="1445" w:type="pct"/>
            <w:vAlign w:val="center"/>
          </w:tcPr>
          <w:p w14:paraId="06AFFFCC">
            <w:pPr>
              <w:spacing w:line="360" w:lineRule="auto"/>
              <w:rPr>
                <w:rFonts w:hint="eastAsia" w:ascii="宋体" w:hAnsi="宋体" w:eastAsia="宋体" w:cs="宋体"/>
                <w:color w:val="auto"/>
              </w:rPr>
            </w:pPr>
            <w:r>
              <w:rPr>
                <w:rFonts w:hint="eastAsia" w:ascii="宋体" w:hAnsi="宋体" w:eastAsia="宋体" w:cs="宋体"/>
                <w:color w:val="auto"/>
              </w:rPr>
              <w:t>项目安装过程安排</w:t>
            </w:r>
          </w:p>
        </w:tc>
        <w:tc>
          <w:tcPr>
            <w:tcW w:w="3123" w:type="pct"/>
            <w:vAlign w:val="center"/>
          </w:tcPr>
          <w:p w14:paraId="28F4F506">
            <w:pPr>
              <w:spacing w:line="360" w:lineRule="auto"/>
              <w:rPr>
                <w:rFonts w:hint="eastAsia" w:ascii="宋体" w:hAnsi="宋体" w:eastAsia="宋体" w:cs="宋体"/>
                <w:color w:val="auto"/>
              </w:rPr>
            </w:pPr>
            <w:r>
              <w:rPr>
                <w:rFonts w:hint="eastAsia" w:ascii="宋体" w:hAnsi="宋体" w:eastAsia="宋体" w:cs="宋体"/>
                <w:color w:val="auto"/>
              </w:rPr>
              <w:t>提供项目服务整体方案，含服务技术能力和服务质量及服务保证措施。</w:t>
            </w:r>
          </w:p>
        </w:tc>
      </w:tr>
      <w:tr w14:paraId="4128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4568927F">
            <w:pPr>
              <w:pStyle w:val="24"/>
              <w:numPr>
                <w:ilvl w:val="0"/>
                <w:numId w:val="3"/>
              </w:numPr>
              <w:spacing w:line="360" w:lineRule="auto"/>
              <w:ind w:firstLineChars="0"/>
              <w:rPr>
                <w:rFonts w:hint="eastAsia" w:ascii="宋体" w:hAnsi="宋体" w:eastAsia="宋体" w:cs="宋体"/>
                <w:color w:val="auto"/>
                <w:sz w:val="24"/>
                <w:szCs w:val="32"/>
              </w:rPr>
            </w:pPr>
          </w:p>
        </w:tc>
        <w:tc>
          <w:tcPr>
            <w:tcW w:w="1445" w:type="pct"/>
            <w:vAlign w:val="center"/>
          </w:tcPr>
          <w:p w14:paraId="57C8F830">
            <w:pPr>
              <w:spacing w:line="360" w:lineRule="auto"/>
              <w:rPr>
                <w:rFonts w:hint="eastAsia" w:ascii="宋体" w:hAnsi="宋体" w:eastAsia="宋体" w:cs="宋体"/>
                <w:color w:val="auto"/>
              </w:rPr>
            </w:pPr>
            <w:r>
              <w:rPr>
                <w:rFonts w:hint="eastAsia" w:ascii="宋体" w:hAnsi="宋体" w:eastAsia="宋体" w:cs="宋体"/>
                <w:color w:val="auto"/>
              </w:rPr>
              <w:t>项目验收安排</w:t>
            </w:r>
          </w:p>
        </w:tc>
        <w:tc>
          <w:tcPr>
            <w:tcW w:w="3123" w:type="pct"/>
            <w:vAlign w:val="center"/>
          </w:tcPr>
          <w:p w14:paraId="53E63269">
            <w:pPr>
              <w:spacing w:line="360" w:lineRule="auto"/>
              <w:rPr>
                <w:rFonts w:hint="eastAsia" w:ascii="宋体" w:hAnsi="宋体" w:eastAsia="宋体" w:cs="宋体"/>
                <w:color w:val="auto"/>
              </w:rPr>
            </w:pPr>
            <w:r>
              <w:rPr>
                <w:rFonts w:hint="eastAsia" w:ascii="宋体" w:hAnsi="宋体" w:eastAsia="宋体" w:cs="宋体"/>
                <w:color w:val="auto"/>
              </w:rPr>
              <w:t>提供项目测试和验收方案，验收后项目文档交付方案。</w:t>
            </w:r>
          </w:p>
        </w:tc>
      </w:tr>
      <w:tr w14:paraId="2D45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561A3888">
            <w:pPr>
              <w:pStyle w:val="24"/>
              <w:numPr>
                <w:ilvl w:val="0"/>
                <w:numId w:val="3"/>
              </w:numPr>
              <w:spacing w:line="360" w:lineRule="auto"/>
              <w:ind w:firstLineChars="0"/>
              <w:rPr>
                <w:rFonts w:hint="eastAsia" w:ascii="宋体" w:hAnsi="宋体" w:eastAsia="宋体" w:cs="宋体"/>
                <w:color w:val="auto"/>
                <w:sz w:val="24"/>
                <w:szCs w:val="32"/>
              </w:rPr>
            </w:pPr>
          </w:p>
        </w:tc>
        <w:tc>
          <w:tcPr>
            <w:tcW w:w="1445" w:type="pct"/>
            <w:vAlign w:val="center"/>
          </w:tcPr>
          <w:p w14:paraId="46F7ACF2">
            <w:pPr>
              <w:spacing w:line="360" w:lineRule="auto"/>
              <w:rPr>
                <w:rFonts w:hint="eastAsia" w:ascii="宋体" w:hAnsi="宋体" w:eastAsia="宋体" w:cs="宋体"/>
                <w:color w:val="auto"/>
              </w:rPr>
            </w:pPr>
            <w:r>
              <w:rPr>
                <w:rFonts w:hint="eastAsia" w:ascii="宋体" w:hAnsi="宋体" w:eastAsia="宋体" w:cs="宋体"/>
                <w:color w:val="auto"/>
              </w:rPr>
              <w:t>项目培训安排</w:t>
            </w:r>
          </w:p>
        </w:tc>
        <w:tc>
          <w:tcPr>
            <w:tcW w:w="3123" w:type="pct"/>
            <w:vAlign w:val="center"/>
          </w:tcPr>
          <w:p w14:paraId="26B29D34">
            <w:pPr>
              <w:spacing w:line="360" w:lineRule="auto"/>
              <w:rPr>
                <w:rFonts w:hint="eastAsia" w:ascii="宋体" w:hAnsi="宋体" w:eastAsia="宋体" w:cs="宋体"/>
                <w:color w:val="auto"/>
              </w:rPr>
            </w:pPr>
            <w:r>
              <w:rPr>
                <w:rFonts w:hint="eastAsia" w:ascii="宋体" w:hAnsi="宋体" w:eastAsia="宋体" w:cs="宋体"/>
                <w:color w:val="auto"/>
              </w:rPr>
              <w:t>提供完善培训方案。</w:t>
            </w:r>
          </w:p>
        </w:tc>
      </w:tr>
    </w:tbl>
    <w:p w14:paraId="6038C961">
      <w:pPr>
        <w:rPr>
          <w:rFonts w:hint="eastAsia" w:ascii="宋体" w:hAnsi="宋体" w:eastAsia="宋体" w:cs="宋体"/>
          <w:color w:val="auto"/>
        </w:rPr>
      </w:pPr>
    </w:p>
    <w:p w14:paraId="7D926DB2">
      <w:pPr>
        <w:pStyle w:val="2"/>
        <w:bidi w:val="0"/>
        <w:rPr>
          <w:rFonts w:hint="eastAsia"/>
        </w:rPr>
      </w:pPr>
      <w:r>
        <w:rPr>
          <w:rFonts w:hint="eastAsia"/>
        </w:rPr>
        <w:t>集成技术及实施服务要求</w:t>
      </w:r>
    </w:p>
    <w:tbl>
      <w:tblPr>
        <w:tblStyle w:val="16"/>
        <w:tblW w:w="5000" w:type="pct"/>
        <w:tblInd w:w="0" w:type="dxa"/>
        <w:tblLayout w:type="autofit"/>
        <w:tblCellMar>
          <w:top w:w="0" w:type="dxa"/>
          <w:left w:w="108" w:type="dxa"/>
          <w:bottom w:w="0" w:type="dxa"/>
          <w:right w:w="108" w:type="dxa"/>
        </w:tblCellMar>
      </w:tblPr>
      <w:tblGrid>
        <w:gridCol w:w="1072"/>
        <w:gridCol w:w="7450"/>
      </w:tblGrid>
      <w:tr w14:paraId="5B334324">
        <w:tblPrEx>
          <w:tblCellMar>
            <w:top w:w="0" w:type="dxa"/>
            <w:left w:w="108" w:type="dxa"/>
            <w:bottom w:w="0" w:type="dxa"/>
            <w:right w:w="108" w:type="dxa"/>
          </w:tblCellMar>
        </w:tblPrEx>
        <w:tc>
          <w:tcPr>
            <w:tcW w:w="629" w:type="pct"/>
            <w:tcBorders>
              <w:top w:val="single" w:color="auto" w:sz="4" w:space="0"/>
              <w:left w:val="single" w:color="auto" w:sz="4" w:space="0"/>
              <w:bottom w:val="single" w:color="auto" w:sz="4" w:space="0"/>
              <w:right w:val="single" w:color="auto" w:sz="4" w:space="0"/>
            </w:tcBorders>
            <w:vAlign w:val="center"/>
          </w:tcPr>
          <w:p w14:paraId="75872F3C">
            <w:pPr>
              <w:snapToGri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4371" w:type="pct"/>
            <w:tcBorders>
              <w:top w:val="single" w:color="auto" w:sz="4" w:space="0"/>
              <w:left w:val="single" w:color="auto" w:sz="4" w:space="0"/>
              <w:bottom w:val="single" w:color="auto" w:sz="4" w:space="0"/>
              <w:right w:val="single" w:color="auto" w:sz="4" w:space="0"/>
            </w:tcBorders>
            <w:vAlign w:val="center"/>
          </w:tcPr>
          <w:p w14:paraId="5E2C0E73">
            <w:pPr>
              <w:snapToGri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服务要求</w:t>
            </w:r>
          </w:p>
        </w:tc>
      </w:tr>
      <w:tr w14:paraId="5FAFA68E">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58A3B576">
            <w:pPr>
              <w:numPr>
                <w:ilvl w:val="0"/>
                <w:numId w:val="4"/>
              </w:numPr>
              <w:spacing w:line="360" w:lineRule="auto"/>
              <w:jc w:val="center"/>
              <w:rPr>
                <w:rFonts w:hint="eastAsia" w:ascii="宋体" w:hAnsi="宋体" w:eastAsia="宋体" w:cs="宋体"/>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1B755399">
            <w:pPr>
              <w:spacing w:line="360" w:lineRule="auto"/>
              <w:rPr>
                <w:rFonts w:hint="eastAsia" w:ascii="宋体" w:hAnsi="宋体" w:eastAsia="宋体" w:cs="宋体"/>
                <w:color w:val="auto"/>
                <w:szCs w:val="21"/>
              </w:rPr>
            </w:pPr>
            <w:r>
              <w:rPr>
                <w:rFonts w:hint="eastAsia" w:ascii="宋体" w:hAnsi="宋体" w:eastAsia="宋体" w:cs="宋体"/>
                <w:color w:val="auto"/>
                <w:szCs w:val="21"/>
              </w:rPr>
              <w:t>(一)供应商须在院方支付合同首款后的30个工作日内向院方提交采购清单中的物品。</w:t>
            </w:r>
          </w:p>
          <w:p w14:paraId="7F14E55A">
            <w:pPr>
              <w:spacing w:line="360" w:lineRule="auto"/>
              <w:rPr>
                <w:rFonts w:hint="eastAsia" w:ascii="宋体" w:hAnsi="宋体" w:eastAsia="宋体" w:cs="宋体"/>
                <w:bCs/>
                <w:color w:val="auto"/>
                <w:szCs w:val="21"/>
              </w:rPr>
            </w:pPr>
            <w:r>
              <w:rPr>
                <w:rFonts w:hint="eastAsia" w:ascii="宋体" w:hAnsi="宋体" w:eastAsia="宋体" w:cs="宋体"/>
                <w:color w:val="auto"/>
                <w:szCs w:val="21"/>
              </w:rPr>
              <w:t>(二)交货日期以货物到达院方指定货运详细地址的日期为准。</w:t>
            </w:r>
          </w:p>
        </w:tc>
      </w:tr>
      <w:tr w14:paraId="2732AF84">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70956EF9">
            <w:pPr>
              <w:numPr>
                <w:ilvl w:val="0"/>
                <w:numId w:val="4"/>
              </w:numPr>
              <w:spacing w:line="360" w:lineRule="auto"/>
              <w:jc w:val="center"/>
              <w:rPr>
                <w:rFonts w:hint="eastAsia" w:ascii="宋体" w:hAnsi="宋体" w:eastAsia="宋体" w:cs="宋体"/>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2FCF3B0C">
            <w:pPr>
              <w:spacing w:line="360" w:lineRule="auto"/>
              <w:rPr>
                <w:rFonts w:hint="eastAsia" w:ascii="宋体" w:hAnsi="宋体" w:eastAsia="宋体" w:cs="宋体"/>
                <w:color w:val="auto"/>
              </w:rPr>
            </w:pPr>
            <w:r>
              <w:rPr>
                <w:rFonts w:hint="eastAsia" w:ascii="宋体" w:hAnsi="宋体" w:eastAsia="宋体" w:cs="宋体"/>
                <w:color w:val="auto"/>
              </w:rPr>
              <w:t>(一)供应商应按时将货物送至院方指定货运详细地址。</w:t>
            </w:r>
          </w:p>
          <w:p w14:paraId="3C19071D">
            <w:pPr>
              <w:spacing w:line="360" w:lineRule="auto"/>
              <w:rPr>
                <w:rFonts w:hint="eastAsia" w:ascii="宋体" w:hAnsi="宋体" w:eastAsia="宋体" w:cs="宋体"/>
                <w:color w:val="auto"/>
              </w:rPr>
            </w:pPr>
            <w:r>
              <w:rPr>
                <w:rFonts w:hint="eastAsia" w:ascii="宋体" w:hAnsi="宋体" w:eastAsia="宋体" w:cs="宋体"/>
                <w:color w:val="auto"/>
              </w:rPr>
              <w:t>(二)交货完成的有效证明：供应商送货人，必须随货物提交交货签收单给院方收货人，交货签收单必须有院方、供应商两方的签字方有效。</w:t>
            </w:r>
          </w:p>
        </w:tc>
      </w:tr>
      <w:tr w14:paraId="2FC16D30">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5E841578">
            <w:pPr>
              <w:numPr>
                <w:ilvl w:val="0"/>
                <w:numId w:val="4"/>
              </w:numPr>
              <w:spacing w:line="360" w:lineRule="auto"/>
              <w:jc w:val="center"/>
              <w:rPr>
                <w:rFonts w:hint="eastAsia" w:ascii="宋体" w:hAnsi="宋体" w:eastAsia="宋体" w:cs="宋体"/>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0C38977B">
            <w:pPr>
              <w:spacing w:line="360" w:lineRule="auto"/>
              <w:rPr>
                <w:rFonts w:hint="eastAsia" w:ascii="宋体" w:hAnsi="宋体" w:eastAsia="宋体" w:cs="宋体"/>
                <w:color w:val="auto"/>
              </w:rPr>
            </w:pPr>
            <w:r>
              <w:rPr>
                <w:rFonts w:hint="eastAsia" w:ascii="宋体" w:hAnsi="宋体" w:eastAsia="宋体" w:cs="宋体"/>
                <w:color w:val="auto"/>
              </w:rPr>
              <w:t>(一)供应商负责合同内设备的安装调试。</w:t>
            </w:r>
          </w:p>
          <w:p w14:paraId="7217F8F6">
            <w:pPr>
              <w:spacing w:line="360" w:lineRule="auto"/>
              <w:rPr>
                <w:rFonts w:hint="eastAsia" w:ascii="宋体" w:hAnsi="宋体" w:eastAsia="宋体" w:cs="宋体"/>
                <w:color w:val="auto"/>
              </w:rPr>
            </w:pPr>
            <w:r>
              <w:rPr>
                <w:rFonts w:hint="eastAsia" w:ascii="宋体" w:hAnsi="宋体" w:eastAsia="宋体" w:cs="宋体"/>
                <w:color w:val="auto"/>
              </w:rPr>
              <w:t>(二)供应商应按院方指定的安装日期、安装要求进行安装工作。</w:t>
            </w:r>
          </w:p>
          <w:p w14:paraId="1CB6E6D0">
            <w:pPr>
              <w:spacing w:line="360" w:lineRule="auto"/>
              <w:rPr>
                <w:rFonts w:hint="eastAsia" w:ascii="宋体" w:hAnsi="宋体" w:eastAsia="宋体" w:cs="宋体"/>
                <w:b/>
                <w:bCs/>
                <w:color w:val="auto"/>
              </w:rPr>
            </w:pPr>
            <w:r>
              <w:rPr>
                <w:rFonts w:hint="eastAsia" w:ascii="宋体" w:hAnsi="宋体" w:eastAsia="宋体" w:cs="宋体"/>
                <w:color w:val="auto"/>
              </w:rPr>
              <w:t>(三)供应商需根据院方的详细需求，提交项目产品的安装、调试及培训实施方案，方案得到院方确认后实施，保证系统按时、正常地投入运行。</w:t>
            </w:r>
          </w:p>
        </w:tc>
      </w:tr>
      <w:tr w14:paraId="3FFACD34">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2A86AA0C">
            <w:pPr>
              <w:numPr>
                <w:ilvl w:val="0"/>
                <w:numId w:val="4"/>
              </w:numPr>
              <w:spacing w:line="360" w:lineRule="auto"/>
              <w:jc w:val="center"/>
              <w:rPr>
                <w:rFonts w:hint="eastAsia" w:ascii="宋体" w:hAnsi="宋体" w:eastAsia="宋体" w:cs="宋体"/>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0B365F83">
            <w:pPr>
              <w:spacing w:line="360" w:lineRule="auto"/>
              <w:rPr>
                <w:rFonts w:hint="eastAsia" w:ascii="宋体" w:hAnsi="宋体" w:eastAsia="宋体" w:cs="宋体"/>
                <w:color w:val="auto"/>
              </w:rPr>
            </w:pPr>
            <w:r>
              <w:rPr>
                <w:rFonts w:hint="eastAsia" w:ascii="宋体" w:hAnsi="宋体" w:eastAsia="宋体" w:cs="宋体"/>
                <w:color w:val="auto"/>
              </w:rPr>
              <w:t>供应商需承诺根据院方技术需求提供不低于本次采购设备配置的备机，供应商报价时应充分考虑，院方在合同金额之外不再另行支付任何费用。</w:t>
            </w:r>
          </w:p>
        </w:tc>
      </w:tr>
      <w:tr w14:paraId="12AA4E89">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139F089A">
            <w:pPr>
              <w:numPr>
                <w:ilvl w:val="0"/>
                <w:numId w:val="4"/>
              </w:numPr>
              <w:spacing w:line="360" w:lineRule="auto"/>
              <w:jc w:val="center"/>
              <w:rPr>
                <w:rFonts w:hint="eastAsia" w:ascii="宋体" w:hAnsi="宋体" w:eastAsia="宋体" w:cs="宋体"/>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5719C513">
            <w:pPr>
              <w:spacing w:line="360" w:lineRule="auto"/>
              <w:rPr>
                <w:rFonts w:hint="eastAsia" w:ascii="宋体" w:hAnsi="宋体" w:eastAsia="宋体" w:cs="宋体"/>
                <w:color w:val="auto"/>
              </w:rPr>
            </w:pPr>
            <w:r>
              <w:rPr>
                <w:rFonts w:hint="eastAsia" w:ascii="宋体" w:hAnsi="宋体" w:eastAsia="宋体" w:cs="宋体"/>
                <w:color w:val="auto"/>
              </w:rPr>
              <w:t>供应商需承诺</w:t>
            </w:r>
            <w:r>
              <w:rPr>
                <w:rFonts w:hint="eastAsia" w:ascii="宋体" w:hAnsi="宋体" w:eastAsia="宋体" w:cs="宋体"/>
                <w:color w:val="auto"/>
                <w:lang w:val="en-US" w:eastAsia="zh-CN"/>
              </w:rPr>
              <w:t>在服务器实施部署服务实施</w:t>
            </w:r>
            <w:r>
              <w:rPr>
                <w:rFonts w:hint="eastAsia" w:ascii="宋体" w:hAnsi="宋体" w:eastAsia="宋体" w:cs="宋体"/>
                <w:color w:val="auto"/>
              </w:rPr>
              <w:t>期间，不得出现任何导致院方现有设备性能减低、设备软硬件故障等影响正常使用的情况。若出现异常或影响业务访问的问题，且在30分钟内未能解决,应立即采取回退措施保障业务系统的正常访问，并于24小时内分析出具体原因，并优化实施方案。若为设备硬件故障，应出具《故障处理报告》（至少包含故障现象、故障原因和故障处置措施）。若造成重大影响，应出具《重大问题故障说明》（至少包含问题故障分析、应急保障措施和情况说明）。</w:t>
            </w:r>
          </w:p>
        </w:tc>
      </w:tr>
      <w:tr w14:paraId="6B77676D">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2FEE5DB8">
            <w:pPr>
              <w:numPr>
                <w:ilvl w:val="0"/>
                <w:numId w:val="4"/>
              </w:numPr>
              <w:spacing w:line="360" w:lineRule="auto"/>
              <w:jc w:val="center"/>
              <w:rPr>
                <w:rFonts w:hint="eastAsia" w:ascii="宋体" w:hAnsi="宋体" w:eastAsia="宋体" w:cs="宋体"/>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6399D9CC">
            <w:pPr>
              <w:numPr>
                <w:ilvl w:val="0"/>
                <w:numId w:val="5"/>
              </w:num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供应商应结合本项目科研及实际应用需求，提供配套人工智能计算环境实施服务，完成GPU服务器部署、操作系统及驱动安装、AI开发训练环境及相关算法框架配置，并针对多模态数据融合分析及疾病早期预警模型构建需求，完成数据处理、模型训练、测试及推理所需计算环境的部署适配、性能调优和测试验证。</w:t>
            </w:r>
          </w:p>
          <w:p w14:paraId="4D854C8E">
            <w:pPr>
              <w:numPr>
                <w:ilvl w:val="0"/>
                <w:numId w:val="5"/>
              </w:num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供应商应充分考虑多模态数据处理、GPU资源调度、AI框架及算法环境、软硬件兼容性，以及与采购人现有科研平台、数据环境及相关系统的适配和联调需求，相关部署、适配、联调、测试及优化费用应全部包含在报价总价中。提供3年的技术支持和故障协助。</w:t>
            </w:r>
          </w:p>
          <w:p w14:paraId="7FBD3E41">
            <w:pPr>
              <w:numPr>
                <w:ilvl w:val="0"/>
                <w:numId w:val="5"/>
              </w:num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项目验收不以服务器到货、上架或基础环境安装完成作为最终验收条件，应确保所建设的人工智能计算环境能够正常支撑影像、临床及蛋白质组学等多模态数据处理，并满足疾病早期预警模型开发、训练、测试及推理验证需求，通过相关功能、兼容性、稳定性及性能测试后方可验收。</w:t>
            </w:r>
          </w:p>
        </w:tc>
      </w:tr>
    </w:tbl>
    <w:p w14:paraId="0CDF7DE2">
      <w:pPr>
        <w:rPr>
          <w:rFonts w:hint="eastAsia" w:ascii="宋体" w:hAnsi="宋体" w:eastAsia="宋体" w:cs="宋体"/>
          <w:color w:val="auto"/>
        </w:rPr>
      </w:pPr>
    </w:p>
    <w:p w14:paraId="79E4934E">
      <w:pPr>
        <w:pStyle w:val="2"/>
        <w:bidi w:val="0"/>
        <w:rPr>
          <w:rFonts w:hint="eastAsia"/>
        </w:rPr>
      </w:pPr>
      <w:r>
        <w:rPr>
          <w:rFonts w:hint="eastAsia"/>
        </w:rPr>
        <w:t>保修要求</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747"/>
        <w:gridCol w:w="5906"/>
      </w:tblGrid>
      <w:tr w14:paraId="2AE0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510" w:type="pct"/>
            <w:shd w:val="clear" w:color="auto" w:fill="auto"/>
            <w:vAlign w:val="center"/>
          </w:tcPr>
          <w:p w14:paraId="50F41B82">
            <w:pPr>
              <w:snapToGri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1025" w:type="pct"/>
            <w:shd w:val="clear" w:color="auto" w:fill="auto"/>
            <w:vAlign w:val="center"/>
          </w:tcPr>
          <w:p w14:paraId="3FD033F3">
            <w:pPr>
              <w:snapToGri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内容</w:t>
            </w:r>
          </w:p>
        </w:tc>
        <w:tc>
          <w:tcPr>
            <w:tcW w:w="3465" w:type="pct"/>
            <w:shd w:val="clear" w:color="auto" w:fill="auto"/>
            <w:vAlign w:val="center"/>
          </w:tcPr>
          <w:p w14:paraId="3165D66F">
            <w:pPr>
              <w:snapToGri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服务要求标准</w:t>
            </w:r>
          </w:p>
        </w:tc>
      </w:tr>
      <w:tr w14:paraId="3A7B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10" w:type="pct"/>
            <w:vAlign w:val="center"/>
          </w:tcPr>
          <w:p w14:paraId="72A0A2EA">
            <w:pPr>
              <w:numPr>
                <w:ilvl w:val="0"/>
                <w:numId w:val="6"/>
              </w:numPr>
              <w:spacing w:line="360" w:lineRule="auto"/>
              <w:jc w:val="center"/>
              <w:rPr>
                <w:rFonts w:hint="eastAsia" w:ascii="宋体" w:hAnsi="宋体" w:eastAsia="宋体" w:cs="宋体"/>
                <w:color w:val="auto"/>
                <w:szCs w:val="21"/>
              </w:rPr>
            </w:pPr>
          </w:p>
        </w:tc>
        <w:tc>
          <w:tcPr>
            <w:tcW w:w="1025" w:type="pct"/>
            <w:vAlign w:val="center"/>
          </w:tcPr>
          <w:p w14:paraId="1796F1CE">
            <w:pPr>
              <w:spacing w:line="360" w:lineRule="auto"/>
              <w:rPr>
                <w:rFonts w:hint="eastAsia" w:ascii="宋体" w:hAnsi="宋体" w:eastAsia="宋体" w:cs="宋体"/>
                <w:color w:val="auto"/>
                <w:szCs w:val="21"/>
              </w:rPr>
            </w:pPr>
            <w:r>
              <w:rPr>
                <w:rFonts w:hint="eastAsia" w:ascii="宋体" w:hAnsi="宋体" w:eastAsia="宋体" w:cs="宋体"/>
                <w:color w:val="auto"/>
                <w:szCs w:val="21"/>
              </w:rPr>
              <w:t>供应商售后服务承诺函</w:t>
            </w:r>
          </w:p>
        </w:tc>
        <w:tc>
          <w:tcPr>
            <w:tcW w:w="3465" w:type="pct"/>
            <w:vAlign w:val="center"/>
          </w:tcPr>
          <w:p w14:paraId="14C73CFC">
            <w:pPr>
              <w:spacing w:line="360" w:lineRule="auto"/>
              <w:rPr>
                <w:rFonts w:hint="eastAsia" w:ascii="宋体" w:hAnsi="宋体" w:eastAsia="宋体" w:cs="宋体"/>
                <w:color w:val="auto"/>
                <w:szCs w:val="21"/>
              </w:rPr>
            </w:pPr>
            <w:r>
              <w:rPr>
                <w:rFonts w:hint="eastAsia" w:ascii="宋体" w:hAnsi="宋体" w:eastAsia="宋体" w:cs="宋体"/>
                <w:color w:val="auto"/>
                <w:szCs w:val="21"/>
              </w:rPr>
              <w:t>供应商需承诺提供原厂商</w:t>
            </w:r>
            <w:r>
              <w:rPr>
                <w:rFonts w:hint="eastAsia" w:cs="宋体"/>
                <w:color w:val="auto"/>
                <w:szCs w:val="21"/>
                <w:lang w:val="en-US" w:eastAsia="zh-CN"/>
              </w:rPr>
              <w:t>3年</w:t>
            </w:r>
            <w:r>
              <w:rPr>
                <w:rFonts w:hint="eastAsia" w:ascii="宋体" w:hAnsi="宋体" w:eastAsia="宋体" w:cs="宋体"/>
                <w:color w:val="auto"/>
                <w:szCs w:val="21"/>
              </w:rPr>
              <w:t>保修服务。</w:t>
            </w:r>
          </w:p>
        </w:tc>
      </w:tr>
      <w:tr w14:paraId="6B42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10" w:type="pct"/>
            <w:vAlign w:val="center"/>
          </w:tcPr>
          <w:p w14:paraId="29E5FF64">
            <w:pPr>
              <w:numPr>
                <w:ilvl w:val="0"/>
                <w:numId w:val="6"/>
              </w:numPr>
              <w:spacing w:line="360" w:lineRule="auto"/>
              <w:jc w:val="center"/>
              <w:rPr>
                <w:rFonts w:hint="eastAsia" w:ascii="宋体" w:hAnsi="宋体" w:eastAsia="宋体" w:cs="宋体"/>
                <w:color w:val="auto"/>
                <w:szCs w:val="21"/>
              </w:rPr>
            </w:pPr>
          </w:p>
        </w:tc>
        <w:tc>
          <w:tcPr>
            <w:tcW w:w="1025" w:type="pct"/>
            <w:vAlign w:val="center"/>
          </w:tcPr>
          <w:p w14:paraId="77836874">
            <w:pPr>
              <w:spacing w:line="360" w:lineRule="auto"/>
              <w:rPr>
                <w:rFonts w:hint="eastAsia" w:ascii="宋体" w:hAnsi="宋体" w:eastAsia="宋体" w:cs="宋体"/>
                <w:color w:val="auto"/>
                <w:szCs w:val="21"/>
              </w:rPr>
            </w:pPr>
            <w:r>
              <w:rPr>
                <w:rFonts w:hint="eastAsia" w:ascii="宋体" w:hAnsi="宋体" w:eastAsia="宋体" w:cs="宋体"/>
                <w:color w:val="auto"/>
                <w:szCs w:val="21"/>
              </w:rPr>
              <w:t>供应商服务标准</w:t>
            </w:r>
          </w:p>
        </w:tc>
        <w:tc>
          <w:tcPr>
            <w:tcW w:w="3465" w:type="pct"/>
            <w:vAlign w:val="center"/>
          </w:tcPr>
          <w:p w14:paraId="074B3523">
            <w:pPr>
              <w:spacing w:line="360" w:lineRule="auto"/>
              <w:rPr>
                <w:rFonts w:hint="eastAsia" w:ascii="宋体" w:hAnsi="宋体" w:eastAsia="宋体" w:cs="宋体"/>
                <w:color w:val="auto"/>
                <w:szCs w:val="21"/>
              </w:rPr>
            </w:pPr>
            <w:r>
              <w:rPr>
                <w:rFonts w:hint="eastAsia" w:ascii="宋体" w:hAnsi="宋体" w:eastAsia="宋体" w:cs="宋体"/>
                <w:color w:val="auto"/>
                <w:szCs w:val="21"/>
              </w:rPr>
              <w:t>供应商需承诺报修后4小时内达到现场、12小时内排除故障。</w:t>
            </w:r>
          </w:p>
        </w:tc>
      </w:tr>
      <w:tr w14:paraId="185C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510" w:type="pct"/>
            <w:vAlign w:val="center"/>
          </w:tcPr>
          <w:p w14:paraId="65623417">
            <w:pPr>
              <w:numPr>
                <w:ilvl w:val="0"/>
                <w:numId w:val="6"/>
              </w:numPr>
              <w:spacing w:line="360" w:lineRule="auto"/>
              <w:jc w:val="center"/>
              <w:rPr>
                <w:rFonts w:hint="eastAsia" w:ascii="宋体" w:hAnsi="宋体" w:eastAsia="宋体" w:cs="宋体"/>
                <w:color w:val="auto"/>
                <w:szCs w:val="21"/>
              </w:rPr>
            </w:pPr>
          </w:p>
        </w:tc>
        <w:tc>
          <w:tcPr>
            <w:tcW w:w="1025" w:type="pct"/>
            <w:vAlign w:val="center"/>
          </w:tcPr>
          <w:p w14:paraId="03755669">
            <w:pPr>
              <w:spacing w:line="360" w:lineRule="auto"/>
              <w:rPr>
                <w:rFonts w:hint="eastAsia" w:ascii="宋体" w:hAnsi="宋体" w:eastAsia="宋体" w:cs="宋体"/>
                <w:color w:val="auto"/>
                <w:szCs w:val="21"/>
              </w:rPr>
            </w:pPr>
            <w:r>
              <w:rPr>
                <w:rFonts w:hint="eastAsia" w:ascii="宋体" w:hAnsi="宋体" w:eastAsia="宋体" w:cs="宋体"/>
                <w:color w:val="auto"/>
                <w:szCs w:val="21"/>
              </w:rPr>
              <w:t>集成标准</w:t>
            </w:r>
          </w:p>
        </w:tc>
        <w:tc>
          <w:tcPr>
            <w:tcW w:w="3465" w:type="pct"/>
            <w:vAlign w:val="center"/>
          </w:tcPr>
          <w:p w14:paraId="3101425F">
            <w:pPr>
              <w:spacing w:line="360" w:lineRule="auto"/>
              <w:rPr>
                <w:rFonts w:hint="eastAsia" w:ascii="宋体" w:hAnsi="宋体" w:eastAsia="宋体" w:cs="宋体"/>
                <w:color w:val="auto"/>
                <w:szCs w:val="21"/>
              </w:rPr>
            </w:pPr>
            <w:r>
              <w:rPr>
                <w:rFonts w:hint="eastAsia" w:ascii="宋体" w:hAnsi="宋体" w:eastAsia="宋体" w:cs="宋体"/>
                <w:color w:val="auto"/>
                <w:szCs w:val="21"/>
              </w:rPr>
              <w:t>供应商应组织完成本项目的部署实施工作，组织完成集成、安装、调试，并完成与院方现有软、硬件系统之间的联调工作。</w:t>
            </w:r>
          </w:p>
        </w:tc>
      </w:tr>
      <w:tr w14:paraId="70A7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10" w:type="pct"/>
            <w:vAlign w:val="center"/>
          </w:tcPr>
          <w:p w14:paraId="1D11D3B5">
            <w:pPr>
              <w:numPr>
                <w:ilvl w:val="0"/>
                <w:numId w:val="6"/>
              </w:numPr>
              <w:spacing w:line="360" w:lineRule="auto"/>
              <w:jc w:val="center"/>
              <w:rPr>
                <w:rFonts w:hint="eastAsia" w:ascii="宋体" w:hAnsi="宋体" w:eastAsia="宋体" w:cs="宋体"/>
                <w:color w:val="auto"/>
                <w:szCs w:val="21"/>
              </w:rPr>
            </w:pPr>
          </w:p>
        </w:tc>
        <w:tc>
          <w:tcPr>
            <w:tcW w:w="1025" w:type="pct"/>
            <w:vAlign w:val="center"/>
          </w:tcPr>
          <w:p w14:paraId="4FF39594">
            <w:pPr>
              <w:spacing w:line="360" w:lineRule="auto"/>
              <w:rPr>
                <w:rFonts w:hint="eastAsia" w:ascii="宋体" w:hAnsi="宋体" w:eastAsia="宋体" w:cs="宋体"/>
                <w:color w:val="auto"/>
                <w:szCs w:val="21"/>
              </w:rPr>
            </w:pPr>
            <w:r>
              <w:rPr>
                <w:rFonts w:hint="eastAsia" w:ascii="宋体" w:hAnsi="宋体" w:eastAsia="宋体" w:cs="宋体"/>
                <w:color w:val="auto"/>
                <w:szCs w:val="21"/>
              </w:rPr>
              <w:t>培训标准</w:t>
            </w:r>
          </w:p>
        </w:tc>
        <w:tc>
          <w:tcPr>
            <w:tcW w:w="3465" w:type="pct"/>
            <w:vAlign w:val="center"/>
          </w:tcPr>
          <w:p w14:paraId="4EBE2BE7">
            <w:pPr>
              <w:spacing w:line="360" w:lineRule="auto"/>
              <w:rPr>
                <w:rFonts w:hint="eastAsia" w:ascii="宋体" w:hAnsi="宋体" w:eastAsia="宋体" w:cs="宋体"/>
                <w:color w:val="auto"/>
                <w:szCs w:val="21"/>
              </w:rPr>
            </w:pPr>
            <w:r>
              <w:rPr>
                <w:rFonts w:hint="eastAsia" w:ascii="宋体" w:hAnsi="宋体" w:eastAsia="宋体" w:cs="宋体"/>
                <w:color w:val="auto"/>
                <w:szCs w:val="21"/>
              </w:rPr>
              <w:t>供应商需承诺提供不少于1天不少于3人的工程师安装配置等实操培训课程，场地、交通等与培训相关的费用均由供应商承担。</w:t>
            </w:r>
          </w:p>
        </w:tc>
      </w:tr>
      <w:tr w14:paraId="3D6D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10" w:type="pct"/>
            <w:vAlign w:val="center"/>
          </w:tcPr>
          <w:p w14:paraId="53DC10C3">
            <w:pPr>
              <w:numPr>
                <w:ilvl w:val="0"/>
                <w:numId w:val="6"/>
              </w:numPr>
              <w:spacing w:line="360" w:lineRule="auto"/>
              <w:jc w:val="center"/>
              <w:rPr>
                <w:rFonts w:hint="eastAsia" w:ascii="宋体" w:hAnsi="宋体" w:eastAsia="宋体" w:cs="宋体"/>
                <w:color w:val="auto"/>
                <w:szCs w:val="21"/>
              </w:rPr>
            </w:pPr>
          </w:p>
        </w:tc>
        <w:tc>
          <w:tcPr>
            <w:tcW w:w="1025" w:type="pct"/>
            <w:vAlign w:val="center"/>
          </w:tcPr>
          <w:p w14:paraId="3C7BE7A0">
            <w:pPr>
              <w:spacing w:line="360" w:lineRule="auto"/>
              <w:rPr>
                <w:rFonts w:hint="eastAsia" w:ascii="宋体" w:hAnsi="宋体" w:eastAsia="宋体" w:cs="宋体"/>
                <w:color w:val="auto"/>
                <w:szCs w:val="21"/>
              </w:rPr>
            </w:pPr>
            <w:r>
              <w:rPr>
                <w:rFonts w:hint="eastAsia" w:ascii="宋体" w:hAnsi="宋体" w:eastAsia="宋体" w:cs="宋体"/>
                <w:color w:val="auto"/>
                <w:szCs w:val="21"/>
              </w:rPr>
              <w:t>巡检服务</w:t>
            </w:r>
          </w:p>
        </w:tc>
        <w:tc>
          <w:tcPr>
            <w:tcW w:w="3465" w:type="pct"/>
            <w:vAlign w:val="center"/>
          </w:tcPr>
          <w:p w14:paraId="7871B658">
            <w:pPr>
              <w:spacing w:line="360" w:lineRule="auto"/>
              <w:rPr>
                <w:rFonts w:hint="eastAsia" w:ascii="宋体" w:hAnsi="宋体" w:eastAsia="宋体" w:cs="宋体"/>
                <w:color w:val="auto"/>
                <w:szCs w:val="21"/>
              </w:rPr>
            </w:pPr>
            <w:r>
              <w:rPr>
                <w:rFonts w:hint="eastAsia" w:ascii="宋体" w:hAnsi="宋体" w:eastAsia="宋体" w:cs="宋体"/>
                <w:color w:val="auto"/>
                <w:szCs w:val="21"/>
              </w:rPr>
              <w:t>供应商需承诺提供不少于1年</w:t>
            </w:r>
            <w:r>
              <w:rPr>
                <w:rFonts w:hint="eastAsia" w:cs="宋体"/>
                <w:color w:val="auto"/>
                <w:szCs w:val="21"/>
                <w:lang w:val="en-US" w:eastAsia="zh-CN"/>
              </w:rPr>
              <w:t>1</w:t>
            </w:r>
            <w:r>
              <w:rPr>
                <w:rFonts w:hint="eastAsia" w:ascii="宋体" w:hAnsi="宋体" w:eastAsia="宋体" w:cs="宋体"/>
                <w:color w:val="auto"/>
                <w:szCs w:val="21"/>
              </w:rPr>
              <w:t>次的巡检服务，对本次项目内所含的产品进行全面检查，并且在巡检后3个工作日内提交巡检报告，如发现异常需及时汇报并提供解决方案。</w:t>
            </w:r>
          </w:p>
        </w:tc>
      </w:tr>
    </w:tbl>
    <w:p w14:paraId="24C74675">
      <w:pPr>
        <w:spacing w:before="100" w:beforeAutospacing="1"/>
        <w:rPr>
          <w:rFonts w:hint="eastAsia" w:ascii="宋体" w:hAnsi="宋体" w:eastAsia="宋体" w:cs="宋体"/>
          <w:b/>
          <w:color w:val="auto"/>
        </w:rPr>
      </w:pPr>
    </w:p>
    <w:p w14:paraId="183E7CC9"/>
    <w:sectPr>
      <w:footerReference r:id="rId3" w:type="default"/>
      <w:pgSz w:w="11900" w:h="16840"/>
      <w:pgMar w:top="1440" w:right="1797" w:bottom="1440" w:left="1797"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s>
  <wne:acds>
    <wne:acd wne:argValue="AQAAAAM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6074722"/>
    </w:sdtPr>
    <w:sdtContent>
      <w:p w14:paraId="468E3250">
        <w:pPr>
          <w:pStyle w:val="12"/>
          <w:jc w:val="center"/>
        </w:pPr>
        <w:r>
          <w:fldChar w:fldCharType="begin"/>
        </w:r>
        <w:r>
          <w:instrText xml:space="preserve">PAGE   \* MERGEFORMAT</w:instrText>
        </w:r>
        <w:r>
          <w:fldChar w:fldCharType="separate"/>
        </w:r>
        <w:r>
          <w:rPr>
            <w:lang w:val="zh-CN"/>
          </w:rPr>
          <w:t>1</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7D2BEA"/>
    <w:multiLevelType w:val="multilevel"/>
    <w:tmpl w:val="F97D2BEA"/>
    <w:lvl w:ilvl="0" w:tentative="0">
      <w:start w:val="1"/>
      <w:numFmt w:val="chineseCounting"/>
      <w:pStyle w:val="2"/>
      <w:suff w:val="nothing"/>
      <w:lvlText w:val="%1、"/>
      <w:lvlJc w:val="left"/>
      <w:pPr>
        <w:tabs>
          <w:tab w:val="left" w:pos="0"/>
        </w:tabs>
        <w:ind w:left="432" w:hanging="432"/>
      </w:pPr>
      <w:rPr>
        <w:rFonts w:hint="eastAsia"/>
      </w:rPr>
    </w:lvl>
    <w:lvl w:ilvl="1" w:tentative="0">
      <w:start w:val="1"/>
      <w:numFmt w:val="decimal"/>
      <w:pStyle w:val="3"/>
      <w:isLgl/>
      <w:lvlText w:val="%1.%2."/>
      <w:lvlJc w:val="left"/>
      <w:pPr>
        <w:ind w:left="575" w:hanging="575"/>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isLgl/>
      <w:lvlText w:val="%1.%2.%3.%4.%5.%6."/>
      <w:lvlJc w:val="left"/>
      <w:pPr>
        <w:ind w:left="1151" w:hanging="1151"/>
      </w:pPr>
      <w:rPr>
        <w:rFonts w:hint="eastAsia"/>
      </w:rPr>
    </w:lvl>
    <w:lvl w:ilvl="6" w:tentative="0">
      <w:start w:val="1"/>
      <w:numFmt w:val="decimal"/>
      <w:pStyle w:val="8"/>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3" w:hanging="1583"/>
      </w:pPr>
      <w:rPr>
        <w:rFonts w:hint="eastAsia"/>
      </w:rPr>
    </w:lvl>
  </w:abstractNum>
  <w:abstractNum w:abstractNumId="1">
    <w:nsid w:val="FF598B42"/>
    <w:multiLevelType w:val="singleLevel"/>
    <w:tmpl w:val="FF598B42"/>
    <w:lvl w:ilvl="0" w:tentative="0">
      <w:start w:val="1"/>
      <w:numFmt w:val="decimal"/>
      <w:suff w:val="nothing"/>
      <w:lvlText w:val="（%1）"/>
      <w:lvlJc w:val="left"/>
    </w:lvl>
  </w:abstractNum>
  <w:abstractNum w:abstractNumId="2">
    <w:nsid w:val="0E8E02D5"/>
    <w:multiLevelType w:val="multilevel"/>
    <w:tmpl w:val="0E8E02D5"/>
    <w:lvl w:ilvl="0" w:tentative="0">
      <w:start w:val="1"/>
      <w:numFmt w:val="decimal"/>
      <w:lvlText w:val="%1"/>
      <w:lvlJc w:val="left"/>
      <w:pPr>
        <w:ind w:left="440" w:hanging="44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8540B2"/>
    <w:multiLevelType w:val="multilevel"/>
    <w:tmpl w:val="368540B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6401E27"/>
    <w:multiLevelType w:val="multilevel"/>
    <w:tmpl w:val="56401E2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2BE540B"/>
    <w:multiLevelType w:val="multilevel"/>
    <w:tmpl w:val="62BE540B"/>
    <w:lvl w:ilvl="0" w:tentative="0">
      <w:start w:val="1"/>
      <w:numFmt w:val="decimal"/>
      <w:lvlText w:val="%1"/>
      <w:lvlJc w:val="left"/>
      <w:pPr>
        <w:ind w:left="440" w:hanging="44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13BD"/>
    <w:rsid w:val="007217C2"/>
    <w:rsid w:val="021270F5"/>
    <w:rsid w:val="026B4187"/>
    <w:rsid w:val="031402FA"/>
    <w:rsid w:val="039842CF"/>
    <w:rsid w:val="04533B7A"/>
    <w:rsid w:val="048655CD"/>
    <w:rsid w:val="053C7B73"/>
    <w:rsid w:val="05BD11EE"/>
    <w:rsid w:val="06555F05"/>
    <w:rsid w:val="068832E8"/>
    <w:rsid w:val="069468A4"/>
    <w:rsid w:val="06B37672"/>
    <w:rsid w:val="085C4273"/>
    <w:rsid w:val="09CA1445"/>
    <w:rsid w:val="09DF25C2"/>
    <w:rsid w:val="09F55F3B"/>
    <w:rsid w:val="0B4D44B6"/>
    <w:rsid w:val="0CBA44E4"/>
    <w:rsid w:val="0D91253F"/>
    <w:rsid w:val="0D95045A"/>
    <w:rsid w:val="0EF820C6"/>
    <w:rsid w:val="0F64150A"/>
    <w:rsid w:val="106B2322"/>
    <w:rsid w:val="10D34B99"/>
    <w:rsid w:val="1105322F"/>
    <w:rsid w:val="11360D37"/>
    <w:rsid w:val="11FD754E"/>
    <w:rsid w:val="135A334F"/>
    <w:rsid w:val="13FB0805"/>
    <w:rsid w:val="14263C1E"/>
    <w:rsid w:val="155A51DE"/>
    <w:rsid w:val="16F92E7F"/>
    <w:rsid w:val="181635BD"/>
    <w:rsid w:val="187F5C6A"/>
    <w:rsid w:val="18A33621"/>
    <w:rsid w:val="18C96881"/>
    <w:rsid w:val="1934019F"/>
    <w:rsid w:val="19EC2108"/>
    <w:rsid w:val="1ADA2151"/>
    <w:rsid w:val="1C46713B"/>
    <w:rsid w:val="1C5624DF"/>
    <w:rsid w:val="1CBB4733"/>
    <w:rsid w:val="1CED18DB"/>
    <w:rsid w:val="1CFB28E2"/>
    <w:rsid w:val="1D0E51AB"/>
    <w:rsid w:val="1EE84387"/>
    <w:rsid w:val="1EFA7794"/>
    <w:rsid w:val="20AF2801"/>
    <w:rsid w:val="20C73DEA"/>
    <w:rsid w:val="211F1734"/>
    <w:rsid w:val="21BF6A73"/>
    <w:rsid w:val="22C42A45"/>
    <w:rsid w:val="239C706C"/>
    <w:rsid w:val="244C0D50"/>
    <w:rsid w:val="248558DA"/>
    <w:rsid w:val="257E33D4"/>
    <w:rsid w:val="27022309"/>
    <w:rsid w:val="273F77F4"/>
    <w:rsid w:val="27441EA6"/>
    <w:rsid w:val="280E13D0"/>
    <w:rsid w:val="296A12DA"/>
    <w:rsid w:val="29FB6949"/>
    <w:rsid w:val="29FD58D1"/>
    <w:rsid w:val="2A320DD4"/>
    <w:rsid w:val="2AC72B7A"/>
    <w:rsid w:val="2AF60E7E"/>
    <w:rsid w:val="2B3A219B"/>
    <w:rsid w:val="2B5E72FD"/>
    <w:rsid w:val="2BC27F72"/>
    <w:rsid w:val="2C29790B"/>
    <w:rsid w:val="2CAE51FC"/>
    <w:rsid w:val="2F320885"/>
    <w:rsid w:val="2F5E6ABF"/>
    <w:rsid w:val="2F837A4C"/>
    <w:rsid w:val="2FB8241F"/>
    <w:rsid w:val="2FE56D7A"/>
    <w:rsid w:val="2FFF5A2C"/>
    <w:rsid w:val="321102CB"/>
    <w:rsid w:val="33F80361"/>
    <w:rsid w:val="34580D8D"/>
    <w:rsid w:val="34637732"/>
    <w:rsid w:val="34887F62"/>
    <w:rsid w:val="3710594F"/>
    <w:rsid w:val="37117919"/>
    <w:rsid w:val="373801EF"/>
    <w:rsid w:val="37AF33BA"/>
    <w:rsid w:val="387D4B73"/>
    <w:rsid w:val="38A329BC"/>
    <w:rsid w:val="3BF11DB7"/>
    <w:rsid w:val="3C197B5F"/>
    <w:rsid w:val="3C2F6385"/>
    <w:rsid w:val="3C843020"/>
    <w:rsid w:val="3D5422E7"/>
    <w:rsid w:val="3E021D6A"/>
    <w:rsid w:val="3E826B98"/>
    <w:rsid w:val="3EC22607"/>
    <w:rsid w:val="3F9EA63E"/>
    <w:rsid w:val="3FB90595"/>
    <w:rsid w:val="3FBE66A4"/>
    <w:rsid w:val="4036288D"/>
    <w:rsid w:val="418C02C8"/>
    <w:rsid w:val="41AF30B5"/>
    <w:rsid w:val="41B0689C"/>
    <w:rsid w:val="428044C2"/>
    <w:rsid w:val="43783472"/>
    <w:rsid w:val="440F0077"/>
    <w:rsid w:val="47337DDD"/>
    <w:rsid w:val="478D37F2"/>
    <w:rsid w:val="48117779"/>
    <w:rsid w:val="482A03B1"/>
    <w:rsid w:val="483416BA"/>
    <w:rsid w:val="488937B4"/>
    <w:rsid w:val="49575660"/>
    <w:rsid w:val="49650C06"/>
    <w:rsid w:val="49774473"/>
    <w:rsid w:val="4A7B7FBE"/>
    <w:rsid w:val="4B08264C"/>
    <w:rsid w:val="4B4E6E91"/>
    <w:rsid w:val="4BFB4CAF"/>
    <w:rsid w:val="4CC53F3C"/>
    <w:rsid w:val="4CE94821"/>
    <w:rsid w:val="4DB972FE"/>
    <w:rsid w:val="4E632B69"/>
    <w:rsid w:val="4EA47A73"/>
    <w:rsid w:val="51BB72A8"/>
    <w:rsid w:val="51DF2696"/>
    <w:rsid w:val="522B58DB"/>
    <w:rsid w:val="529E009F"/>
    <w:rsid w:val="53334A48"/>
    <w:rsid w:val="53734FEA"/>
    <w:rsid w:val="53AB1EBF"/>
    <w:rsid w:val="54B971CF"/>
    <w:rsid w:val="550F2F8A"/>
    <w:rsid w:val="5782683E"/>
    <w:rsid w:val="5A59138D"/>
    <w:rsid w:val="5BE44F68"/>
    <w:rsid w:val="5BF86671"/>
    <w:rsid w:val="5C9C65FD"/>
    <w:rsid w:val="5CB00EB7"/>
    <w:rsid w:val="5E0713C6"/>
    <w:rsid w:val="5E3D5BA1"/>
    <w:rsid w:val="5F84662B"/>
    <w:rsid w:val="5FF34165"/>
    <w:rsid w:val="6151078F"/>
    <w:rsid w:val="61E97A82"/>
    <w:rsid w:val="62763D02"/>
    <w:rsid w:val="62AA35C5"/>
    <w:rsid w:val="638F1633"/>
    <w:rsid w:val="649030B3"/>
    <w:rsid w:val="64920299"/>
    <w:rsid w:val="66861C71"/>
    <w:rsid w:val="67691940"/>
    <w:rsid w:val="67B101D9"/>
    <w:rsid w:val="67FF876A"/>
    <w:rsid w:val="69BD3298"/>
    <w:rsid w:val="69F04FE9"/>
    <w:rsid w:val="6A6D0E17"/>
    <w:rsid w:val="6AF65012"/>
    <w:rsid w:val="6B8F25DF"/>
    <w:rsid w:val="6B930322"/>
    <w:rsid w:val="6CB54176"/>
    <w:rsid w:val="6D2F7BD6"/>
    <w:rsid w:val="6D510145"/>
    <w:rsid w:val="6D997745"/>
    <w:rsid w:val="6DC64680"/>
    <w:rsid w:val="6E6B7334"/>
    <w:rsid w:val="6F273616"/>
    <w:rsid w:val="6F6D5A23"/>
    <w:rsid w:val="7053381D"/>
    <w:rsid w:val="70C95346"/>
    <w:rsid w:val="713A123F"/>
    <w:rsid w:val="713F0E77"/>
    <w:rsid w:val="71A01F3A"/>
    <w:rsid w:val="73F0360B"/>
    <w:rsid w:val="752D2A24"/>
    <w:rsid w:val="753907A9"/>
    <w:rsid w:val="76355009"/>
    <w:rsid w:val="767F3F6D"/>
    <w:rsid w:val="76E432BB"/>
    <w:rsid w:val="76E77774"/>
    <w:rsid w:val="7780267B"/>
    <w:rsid w:val="77862AE9"/>
    <w:rsid w:val="79342346"/>
    <w:rsid w:val="79F857F4"/>
    <w:rsid w:val="7A4A42A1"/>
    <w:rsid w:val="7BDD45FF"/>
    <w:rsid w:val="7D0E09B5"/>
    <w:rsid w:val="7D493119"/>
    <w:rsid w:val="7DF03E77"/>
    <w:rsid w:val="7FB41CEA"/>
    <w:rsid w:val="B3EF4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22"/>
    <w:qFormat/>
    <w:uiPriority w:val="0"/>
    <w:pPr>
      <w:keepNext/>
      <w:keepLines/>
      <w:numPr>
        <w:ilvl w:val="0"/>
        <w:numId w:val="1"/>
      </w:numPr>
      <w:spacing w:line="360" w:lineRule="auto"/>
      <w:jc w:val="left"/>
      <w:outlineLvl w:val="0"/>
    </w:pPr>
    <w:rPr>
      <w:rFonts w:ascii="宋体" w:hAnsi="宋体" w:eastAsia="宋体"/>
      <w:b/>
      <w:bCs/>
      <w:kern w:val="44"/>
      <w:sz w:val="32"/>
      <w:szCs w:val="32"/>
    </w:rPr>
  </w:style>
  <w:style w:type="paragraph" w:styleId="3">
    <w:name w:val="heading 2"/>
    <w:basedOn w:val="1"/>
    <w:next w:val="1"/>
    <w:link w:val="20"/>
    <w:unhideWhenUsed/>
    <w:qFormat/>
    <w:uiPriority w:val="0"/>
    <w:pPr>
      <w:keepNext/>
      <w:keepLines/>
      <w:numPr>
        <w:ilvl w:val="1"/>
        <w:numId w:val="1"/>
      </w:numPr>
      <w:spacing w:beforeLines="0" w:beforeAutospacing="0" w:afterLines="0" w:afterAutospacing="0" w:line="360" w:lineRule="auto"/>
      <w:ind w:left="575" w:hanging="575"/>
      <w:outlineLvl w:val="1"/>
    </w:pPr>
    <w:rPr>
      <w:rFonts w:ascii="宋体" w:hAnsi="宋体" w:eastAsia="宋体" w:cs="宋体"/>
      <w:b/>
      <w:bCs/>
      <w:sz w:val="30"/>
      <w:szCs w:val="30"/>
    </w:rPr>
  </w:style>
  <w:style w:type="paragraph" w:styleId="4">
    <w:name w:val="heading 3"/>
    <w:basedOn w:val="1"/>
    <w:next w:val="1"/>
    <w:link w:val="21"/>
    <w:semiHidden/>
    <w:unhideWhenUsed/>
    <w:qFormat/>
    <w:uiPriority w:val="0"/>
    <w:pPr>
      <w:numPr>
        <w:ilvl w:val="2"/>
        <w:numId w:val="1"/>
      </w:numPr>
      <w:spacing w:line="360" w:lineRule="auto"/>
      <w:ind w:left="720" w:hanging="720"/>
      <w:jc w:val="left"/>
      <w:outlineLvl w:val="2"/>
    </w:pPr>
    <w:rPr>
      <w:rFonts w:ascii="宋体" w:hAnsi="宋体" w:eastAsia="宋体" w:cs="宋体"/>
      <w:b/>
      <w:bCs/>
      <w:sz w:val="28"/>
      <w:szCs w:val="28"/>
    </w:rPr>
  </w:style>
  <w:style w:type="paragraph" w:styleId="5">
    <w:name w:val="heading 4"/>
    <w:basedOn w:val="1"/>
    <w:next w:val="1"/>
    <w:link w:val="23"/>
    <w:semiHidden/>
    <w:unhideWhenUsed/>
    <w:qFormat/>
    <w:uiPriority w:val="0"/>
    <w:pPr>
      <w:keepLines/>
      <w:numPr>
        <w:ilvl w:val="3"/>
        <w:numId w:val="1"/>
      </w:numPr>
      <w:snapToGrid w:val="0"/>
      <w:ind w:left="864" w:right="0" w:rightChars="0" w:hanging="864"/>
      <w:outlineLvl w:val="3"/>
    </w:pPr>
    <w:rPr>
      <w:rFonts w:ascii="宋体" w:hAnsi="宋体" w:eastAsia="宋体" w:cs="宋体"/>
      <w:b/>
      <w:bCs/>
      <w:color w:val="auto"/>
      <w:sz w:val="24"/>
      <w:szCs w:val="24"/>
    </w:rPr>
  </w:style>
  <w:style w:type="paragraph" w:styleId="6">
    <w:name w:val="heading 5"/>
    <w:basedOn w:val="1"/>
    <w:next w:val="1"/>
    <w:semiHidden/>
    <w:unhideWhenUsed/>
    <w:qFormat/>
    <w:uiPriority w:val="0"/>
    <w:pPr>
      <w:keepNext/>
      <w:keepLines/>
      <w:numPr>
        <w:ilvl w:val="4"/>
        <w:numId w:val="1"/>
      </w:numPr>
      <w:spacing w:beforeLines="0" w:beforeAutospacing="0" w:afterLines="0" w:afterAutospacing="0" w:line="360" w:lineRule="auto"/>
      <w:ind w:left="1008" w:hanging="1008"/>
      <w:outlineLvl w:val="4"/>
    </w:pPr>
    <w:rPr>
      <w:b/>
      <w:sz w:val="24"/>
    </w:rPr>
  </w:style>
  <w:style w:type="paragraph" w:styleId="7">
    <w:name w:val="heading 6"/>
    <w:basedOn w:val="1"/>
    <w:next w:val="1"/>
    <w:semiHidden/>
    <w:unhideWhenUsed/>
    <w:qFormat/>
    <w:uiPriority w:val="0"/>
    <w:pPr>
      <w:keepNext/>
      <w:keepLines/>
      <w:numPr>
        <w:ilvl w:val="5"/>
        <w:numId w:val="1"/>
      </w:numPr>
      <w:spacing w:line="360" w:lineRule="auto"/>
      <w:ind w:left="1151" w:hanging="1151"/>
      <w:outlineLvl w:val="5"/>
    </w:pPr>
    <w:rPr>
      <w:rFonts w:ascii="宋体" w:hAnsi="宋体" w:eastAsia="宋体" w:cs="宋体"/>
      <w:b/>
      <w:sz w:val="24"/>
      <w:szCs w:val="21"/>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7">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11">
    <w:name w:val="annotation text"/>
    <w:basedOn w:val="1"/>
    <w:unhideWhenUsed/>
    <w:qFormat/>
    <w:uiPriority w:val="0"/>
  </w:style>
  <w:style w:type="paragraph" w:styleId="12">
    <w:name w:val="footer"/>
    <w:basedOn w:val="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3">
    <w:name w:val="toc 1"/>
    <w:basedOn w:val="1"/>
    <w:next w:val="1"/>
    <w:qFormat/>
    <w:uiPriority w:val="0"/>
    <w:pPr>
      <w:spacing w:line="240" w:lineRule="auto"/>
      <w:ind w:firstLine="0" w:firstLineChars="0"/>
      <w:jc w:val="left"/>
    </w:pPr>
    <w:rPr>
      <w:rFonts w:ascii="宋体" w:hAnsi="宋体" w:eastAsia="宋体" w:cs="宋体"/>
      <w:b/>
      <w:caps/>
      <w:sz w:val="30"/>
      <w:szCs w:val="30"/>
    </w:rPr>
  </w:style>
  <w:style w:type="paragraph" w:styleId="14">
    <w:name w:val="Normal (Web)"/>
    <w:basedOn w:val="1"/>
    <w:qFormat/>
    <w:uiPriority w:val="0"/>
    <w:rPr>
      <w:sz w:val="24"/>
    </w:rPr>
  </w:style>
  <w:style w:type="paragraph" w:styleId="15">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styleId="18">
    <w:name w:val="Strong"/>
    <w:basedOn w:val="17"/>
    <w:qFormat/>
    <w:uiPriority w:val="22"/>
    <w:rPr>
      <w:b/>
      <w:bCs/>
    </w:rPr>
  </w:style>
  <w:style w:type="character" w:styleId="19">
    <w:name w:val="annotation reference"/>
    <w:basedOn w:val="17"/>
    <w:unhideWhenUsed/>
    <w:qFormat/>
    <w:uiPriority w:val="0"/>
    <w:rPr>
      <w:sz w:val="21"/>
    </w:rPr>
  </w:style>
  <w:style w:type="character" w:customStyle="1" w:styleId="20">
    <w:name w:val="标题 2 字符"/>
    <w:link w:val="3"/>
    <w:autoRedefine/>
    <w:qFormat/>
    <w:uiPriority w:val="0"/>
    <w:rPr>
      <w:rFonts w:ascii="宋体" w:hAnsi="宋体" w:eastAsia="宋体" w:cs="宋体"/>
      <w:b/>
      <w:bCs/>
      <w:kern w:val="2"/>
      <w:sz w:val="30"/>
      <w:szCs w:val="30"/>
    </w:rPr>
  </w:style>
  <w:style w:type="character" w:customStyle="1" w:styleId="21">
    <w:name w:val="标题 3 字符"/>
    <w:basedOn w:val="17"/>
    <w:link w:val="4"/>
    <w:autoRedefine/>
    <w:qFormat/>
    <w:uiPriority w:val="0"/>
    <w:rPr>
      <w:rFonts w:ascii="宋体" w:hAnsi="宋体" w:eastAsia="宋体" w:cs="宋体"/>
      <w:b/>
      <w:sz w:val="24"/>
      <w:szCs w:val="20"/>
    </w:rPr>
  </w:style>
  <w:style w:type="character" w:customStyle="1" w:styleId="22">
    <w:name w:val="标题 1 字符"/>
    <w:link w:val="2"/>
    <w:qFormat/>
    <w:uiPriority w:val="9"/>
    <w:rPr>
      <w:rFonts w:ascii="宋体" w:hAnsi="宋体" w:eastAsia="宋体" w:cs="宋体"/>
      <w:b/>
      <w:bCs/>
      <w:kern w:val="44"/>
      <w:sz w:val="32"/>
      <w:szCs w:val="32"/>
    </w:rPr>
  </w:style>
  <w:style w:type="character" w:customStyle="1" w:styleId="23">
    <w:name w:val="标题 4 字符"/>
    <w:link w:val="5"/>
    <w:semiHidden/>
    <w:qFormat/>
    <w:uiPriority w:val="9"/>
    <w:rPr>
      <w:rFonts w:ascii="宋体" w:hAnsi="宋体" w:eastAsia="宋体" w:cs="宋体"/>
      <w:b/>
      <w:bCs/>
      <w:color w:val="auto"/>
      <w:kern w:val="2"/>
      <w:sz w:val="24"/>
      <w:szCs w:val="24"/>
      <w:lang w:val="en-US" w:eastAsia="zh-CN" w:bidi="ar-SA"/>
    </w:rPr>
  </w:style>
  <w:style w:type="paragraph" w:styleId="24">
    <w:name w:val="List Paragraph"/>
    <w:basedOn w:val="1"/>
    <w:qFormat/>
    <w:uiPriority w:val="99"/>
    <w:pPr>
      <w:widowControl w:val="0"/>
      <w:ind w:firstLine="420" w:firstLineChars="200"/>
      <w:jc w:val="both"/>
    </w:pPr>
    <w:rPr>
      <w:rFonts w:asciiTheme="minorHAnsi" w:hAnsiTheme="minorHAnsi" w:eastAsiaTheme="minorEastAsia" w:cstheme="minorBidi"/>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1991</Words>
  <Characters>2139</Characters>
  <Lines>0</Lines>
  <Paragraphs>0</Paragraphs>
  <TotalTime>19</TotalTime>
  <ScaleCrop>false</ScaleCrop>
  <LinksUpToDate>false</LinksUpToDate>
  <CharactersWithSpaces>2154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2025-02-27T17:31:00Z</dcterms:created>
  <dc:creator>17478</dc:creator>
  <cp:lastModifiedBy>赵杰</cp:lastModifiedBy>
  <dcterms:modified xsi:type="dcterms:W3CDTF">2026-08-18T08:21:45Z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B6B13BFD7247DCF1C2717D6AE9581628_43</vt:lpwstr>
  </property>
  <property fmtid="{D5CDD505-2E9C-101B-9397-08002B2CF9AE}" pid="4" name="KSOTemplateDocerSaveRecord">
    <vt:lpwstr>eyJoZGlkIjoiZTNmZWQ4ZDMyMDU2MTY4ZmY4YjFhYjNkNzYxMTI0OWEiLCJ1c2VySWQiOiI4MjEzNDE2NTAifQ==</vt:lpwstr>
  </property>
</Properties>
</file>