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3E3E4">
      <w:pPr>
        <w:widowControl w:val="0"/>
        <w:numPr>
          <w:ilvl w:val="0"/>
          <w:numId w:val="0"/>
        </w:numPr>
        <w:jc w:val="center"/>
        <w:rPr>
          <w:rFonts w:hint="default" w:ascii="新宋体" w:hAnsi="新宋体" w:eastAsia="新宋体" w:cs="新宋体"/>
          <w:sz w:val="32"/>
          <w:szCs w:val="40"/>
          <w:lang w:val="en-US" w:eastAsia="zh-CN"/>
        </w:rPr>
      </w:pPr>
      <w:r>
        <w:rPr>
          <w:rFonts w:hint="eastAsia" w:ascii="新宋体" w:hAnsi="新宋体" w:eastAsia="新宋体" w:cs="新宋体"/>
          <w:sz w:val="32"/>
          <w:szCs w:val="40"/>
          <w:lang w:val="en-US" w:eastAsia="zh-CN"/>
        </w:rPr>
        <w:t>广东省人民医院综合监控信息展示屏采购项目需求</w:t>
      </w:r>
    </w:p>
    <w:p w14:paraId="7A184D13">
      <w:pPr>
        <w:widowControl w:val="0"/>
        <w:numPr>
          <w:ilvl w:val="0"/>
          <w:numId w:val="0"/>
        </w:numPr>
        <w:jc w:val="both"/>
      </w:pPr>
    </w:p>
    <w:p w14:paraId="29BFA376">
      <w:pPr>
        <w:ind w:firstLine="560" w:firstLineChars="200"/>
        <w:rPr>
          <w:rFonts w:hint="eastAsia" w:ascii="新宋体" w:hAnsi="新宋体" w:eastAsia="新宋体" w:cs="新宋体"/>
          <w:sz w:val="28"/>
          <w:szCs w:val="28"/>
        </w:rPr>
      </w:pPr>
      <w:r>
        <w:rPr>
          <w:rFonts w:hint="eastAsia" w:ascii="新宋体" w:hAnsi="新宋体" w:eastAsia="新宋体" w:cs="新宋体"/>
          <w:sz w:val="28"/>
          <w:szCs w:val="28"/>
          <w:lang w:val="en-US" w:eastAsia="zh-CN"/>
        </w:rPr>
        <w:t>建设一套LED显示屏，结合现有的机房动力环境、网络运行、系统运行监控实现综合展示</w:t>
      </w:r>
      <w:r>
        <w:rPr>
          <w:rFonts w:hint="eastAsia" w:ascii="新宋体" w:hAnsi="新宋体" w:eastAsia="新宋体" w:cs="新宋体"/>
          <w:sz w:val="28"/>
          <w:szCs w:val="28"/>
        </w:rPr>
        <w:t>。实现多区域数据的集中在同一界面</w:t>
      </w:r>
      <w:r>
        <w:rPr>
          <w:rFonts w:hint="eastAsia" w:ascii="新宋体" w:hAnsi="新宋体" w:eastAsia="新宋体" w:cs="新宋体"/>
          <w:sz w:val="28"/>
          <w:szCs w:val="28"/>
          <w:lang w:val="en-US" w:eastAsia="zh-CN"/>
        </w:rPr>
        <w:t>内</w:t>
      </w:r>
      <w:r>
        <w:rPr>
          <w:rFonts w:hint="eastAsia" w:ascii="新宋体" w:hAnsi="新宋体" w:eastAsia="新宋体" w:cs="新宋体"/>
          <w:sz w:val="28"/>
          <w:szCs w:val="28"/>
        </w:rPr>
        <w:t>分</w:t>
      </w:r>
      <w:r>
        <w:rPr>
          <w:rFonts w:hint="eastAsia" w:ascii="新宋体" w:hAnsi="新宋体" w:eastAsia="新宋体" w:cs="新宋体"/>
          <w:sz w:val="28"/>
          <w:szCs w:val="28"/>
          <w:lang w:val="en-US" w:eastAsia="zh-CN"/>
        </w:rPr>
        <w:t>区</w:t>
      </w:r>
      <w:r>
        <w:rPr>
          <w:rFonts w:hint="eastAsia" w:ascii="新宋体" w:hAnsi="新宋体" w:eastAsia="新宋体" w:cs="新宋体"/>
          <w:sz w:val="28"/>
          <w:szCs w:val="28"/>
        </w:rPr>
        <w:t>展示，满足机房 “一屏观全域” 的监控需求。</w:t>
      </w:r>
    </w:p>
    <w:p w14:paraId="31E3C985">
      <w:pPr>
        <w:rPr>
          <w:sz w:val="28"/>
          <w:szCs w:val="28"/>
        </w:rPr>
      </w:pPr>
      <w:r>
        <w:rPr>
          <w:rFonts w:hint="eastAsia"/>
          <w:sz w:val="28"/>
          <w:szCs w:val="28"/>
        </w:rPr>
        <w:t>一、项目名称</w:t>
      </w:r>
    </w:p>
    <w:p w14:paraId="292E0684">
      <w:pPr>
        <w:ind w:firstLine="560" w:firstLineChars="200"/>
        <w:rPr>
          <w:rFonts w:hint="default" w:ascii="新宋体" w:hAnsi="新宋体" w:eastAsia="新宋体" w:cs="新宋体"/>
          <w:sz w:val="28"/>
          <w:szCs w:val="28"/>
          <w:lang w:val="en-US" w:eastAsia="zh-CN"/>
        </w:rPr>
      </w:pPr>
      <w:r>
        <w:rPr>
          <w:rFonts w:hint="eastAsia" w:ascii="新宋体" w:hAnsi="新宋体" w:eastAsia="新宋体" w:cs="新宋体"/>
          <w:sz w:val="28"/>
          <w:szCs w:val="28"/>
          <w:lang w:val="en-US" w:eastAsia="zh-CN"/>
        </w:rPr>
        <w:t>项目名称：综合监控信息展示屏采购项目</w:t>
      </w:r>
    </w:p>
    <w:p w14:paraId="29C89BDB">
      <w:pPr>
        <w:rPr>
          <w:rFonts w:hint="eastAsia"/>
          <w:sz w:val="28"/>
          <w:szCs w:val="28"/>
        </w:rPr>
      </w:pPr>
      <w:r>
        <w:rPr>
          <w:rFonts w:hint="eastAsia"/>
          <w:sz w:val="28"/>
          <w:szCs w:val="28"/>
        </w:rPr>
        <w:t>二、采购清单</w:t>
      </w:r>
    </w:p>
    <w:p w14:paraId="54C54B01">
      <w:pPr>
        <w:ind w:firstLine="560" w:firstLineChars="200"/>
        <w:rPr>
          <w:rFonts w:hint="eastAsia" w:ascii="新宋体" w:hAnsi="新宋体" w:eastAsia="新宋体" w:cs="新宋体"/>
          <w:sz w:val="28"/>
        </w:rPr>
      </w:pPr>
      <w:r>
        <w:rPr>
          <w:rFonts w:hint="eastAsia" w:ascii="新宋体" w:hAnsi="新宋体" w:eastAsia="新宋体" w:cs="新宋体"/>
          <w:sz w:val="28"/>
        </w:rPr>
        <w:t>设备采购数量</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02"/>
        <w:gridCol w:w="3657"/>
        <w:gridCol w:w="2203"/>
      </w:tblGrid>
      <w:tr w14:paraId="5D692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jc w:val="center"/>
        </w:trPr>
        <w:tc>
          <w:tcPr>
            <w:tcW w:w="1302" w:type="dxa"/>
            <w:noWrap w:val="0"/>
            <w:vAlign w:val="center"/>
          </w:tcPr>
          <w:p w14:paraId="1A132256">
            <w:pPr>
              <w:jc w:val="center"/>
              <w:rPr>
                <w:rFonts w:hint="eastAsia" w:ascii="新宋体" w:hAnsi="新宋体" w:eastAsia="新宋体" w:cs="新宋体"/>
                <w:sz w:val="28"/>
                <w:szCs w:val="28"/>
              </w:rPr>
            </w:pPr>
            <w:r>
              <w:rPr>
                <w:rFonts w:hint="eastAsia" w:ascii="新宋体" w:hAnsi="新宋体" w:eastAsia="新宋体" w:cs="新宋体"/>
                <w:sz w:val="28"/>
                <w:szCs w:val="28"/>
              </w:rPr>
              <w:t>序号</w:t>
            </w:r>
          </w:p>
        </w:tc>
        <w:tc>
          <w:tcPr>
            <w:tcW w:w="3657" w:type="dxa"/>
            <w:noWrap w:val="0"/>
            <w:vAlign w:val="center"/>
          </w:tcPr>
          <w:p w14:paraId="584CBC27">
            <w:pPr>
              <w:jc w:val="center"/>
              <w:rPr>
                <w:rFonts w:hint="eastAsia" w:ascii="新宋体" w:hAnsi="新宋体" w:eastAsia="新宋体" w:cs="新宋体"/>
                <w:sz w:val="28"/>
                <w:szCs w:val="28"/>
              </w:rPr>
            </w:pPr>
            <w:r>
              <w:rPr>
                <w:rFonts w:hint="eastAsia" w:ascii="新宋体" w:hAnsi="新宋体" w:eastAsia="新宋体" w:cs="新宋体"/>
                <w:sz w:val="28"/>
                <w:szCs w:val="28"/>
              </w:rPr>
              <w:t>采购产品</w:t>
            </w:r>
          </w:p>
        </w:tc>
        <w:tc>
          <w:tcPr>
            <w:tcW w:w="2203" w:type="dxa"/>
            <w:noWrap w:val="0"/>
            <w:vAlign w:val="center"/>
          </w:tcPr>
          <w:p w14:paraId="07C422D7">
            <w:pPr>
              <w:jc w:val="center"/>
              <w:rPr>
                <w:rFonts w:hint="eastAsia" w:ascii="新宋体" w:hAnsi="新宋体" w:eastAsia="新宋体" w:cs="新宋体"/>
                <w:sz w:val="28"/>
                <w:szCs w:val="28"/>
              </w:rPr>
            </w:pPr>
            <w:r>
              <w:rPr>
                <w:rFonts w:hint="eastAsia" w:ascii="新宋体" w:hAnsi="新宋体" w:eastAsia="新宋体" w:cs="新宋体"/>
                <w:sz w:val="28"/>
                <w:szCs w:val="28"/>
              </w:rPr>
              <w:t>数量</w:t>
            </w:r>
          </w:p>
        </w:tc>
      </w:tr>
      <w:tr w14:paraId="3CED4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jc w:val="center"/>
        </w:trPr>
        <w:tc>
          <w:tcPr>
            <w:tcW w:w="1302" w:type="dxa"/>
            <w:noWrap w:val="0"/>
            <w:vAlign w:val="center"/>
          </w:tcPr>
          <w:p w14:paraId="41D52281">
            <w:pPr>
              <w:jc w:val="center"/>
              <w:rPr>
                <w:rFonts w:hint="eastAsia" w:ascii="新宋体" w:hAnsi="新宋体" w:eastAsia="新宋体" w:cs="新宋体"/>
                <w:sz w:val="28"/>
                <w:szCs w:val="28"/>
              </w:rPr>
            </w:pPr>
            <w:r>
              <w:rPr>
                <w:rFonts w:hint="eastAsia" w:ascii="新宋体" w:hAnsi="新宋体" w:eastAsia="新宋体" w:cs="新宋体"/>
                <w:sz w:val="28"/>
                <w:szCs w:val="28"/>
              </w:rPr>
              <w:t>1</w:t>
            </w:r>
          </w:p>
        </w:tc>
        <w:tc>
          <w:tcPr>
            <w:tcW w:w="3657" w:type="dxa"/>
            <w:noWrap w:val="0"/>
            <w:vAlign w:val="center"/>
          </w:tcPr>
          <w:p w14:paraId="58BEF32B">
            <w:pPr>
              <w:jc w:val="center"/>
              <w:rPr>
                <w:rFonts w:hint="default" w:ascii="新宋体" w:hAnsi="新宋体" w:eastAsia="新宋体" w:cs="新宋体"/>
                <w:sz w:val="28"/>
                <w:szCs w:val="28"/>
                <w:lang w:val="en-US" w:eastAsia="zh-CN"/>
              </w:rPr>
            </w:pPr>
            <w:r>
              <w:rPr>
                <w:rFonts w:hint="eastAsia" w:ascii="新宋体" w:hAnsi="新宋体" w:eastAsia="新宋体" w:cs="新宋体"/>
                <w:sz w:val="32"/>
                <w:szCs w:val="40"/>
                <w:lang w:val="en-US" w:eastAsia="zh-CN"/>
              </w:rPr>
              <w:t>综合监控信息展示屏</w:t>
            </w:r>
          </w:p>
        </w:tc>
        <w:tc>
          <w:tcPr>
            <w:tcW w:w="2203" w:type="dxa"/>
            <w:noWrap w:val="0"/>
            <w:vAlign w:val="center"/>
          </w:tcPr>
          <w:p w14:paraId="619DA710">
            <w:pPr>
              <w:jc w:val="center"/>
              <w:rPr>
                <w:rFonts w:hint="eastAsia" w:ascii="新宋体" w:hAnsi="新宋体" w:eastAsia="新宋体" w:cs="新宋体"/>
                <w:sz w:val="28"/>
                <w:szCs w:val="28"/>
                <w:lang w:val="en-US" w:eastAsia="zh-CN"/>
              </w:rPr>
            </w:pPr>
            <w:r>
              <w:rPr>
                <w:rFonts w:hint="eastAsia" w:ascii="新宋体" w:hAnsi="新宋体" w:eastAsia="新宋体" w:cs="新宋体"/>
                <w:sz w:val="28"/>
                <w:szCs w:val="28"/>
                <w:lang w:val="en-US" w:eastAsia="zh-CN"/>
              </w:rPr>
              <w:t>1</w:t>
            </w:r>
          </w:p>
        </w:tc>
      </w:tr>
    </w:tbl>
    <w:p w14:paraId="23428E70">
      <w:pPr>
        <w:pStyle w:val="18"/>
        <w:keepNext/>
        <w:keepLines/>
        <w:numPr>
          <w:ilvl w:val="0"/>
          <w:numId w:val="1"/>
        </w:numPr>
        <w:spacing w:before="340" w:after="330" w:line="578" w:lineRule="auto"/>
        <w:ind w:firstLineChars="0"/>
        <w:outlineLvl w:val="0"/>
        <w:rPr>
          <w:rFonts w:hint="eastAsia" w:ascii="宋体" w:hAnsi="宋体" w:eastAsia="宋体"/>
          <w:b/>
          <w:bCs/>
          <w:vanish/>
          <w:kern w:val="44"/>
          <w:sz w:val="44"/>
          <w:szCs w:val="44"/>
        </w:rPr>
      </w:pPr>
    </w:p>
    <w:p w14:paraId="531D1B4D">
      <w:pPr>
        <w:pStyle w:val="18"/>
        <w:keepNext/>
        <w:keepLines/>
        <w:numPr>
          <w:ilvl w:val="0"/>
          <w:numId w:val="1"/>
        </w:numPr>
        <w:spacing w:before="340" w:after="330" w:line="578" w:lineRule="auto"/>
        <w:ind w:firstLineChars="0"/>
        <w:outlineLvl w:val="0"/>
        <w:rPr>
          <w:rFonts w:hint="eastAsia" w:ascii="宋体" w:hAnsi="宋体" w:eastAsia="宋体"/>
          <w:b/>
          <w:bCs/>
          <w:vanish/>
          <w:kern w:val="44"/>
          <w:sz w:val="44"/>
          <w:szCs w:val="44"/>
        </w:rPr>
      </w:pPr>
    </w:p>
    <w:p w14:paraId="38EEC217">
      <w:pPr>
        <w:pStyle w:val="18"/>
        <w:keepNext/>
        <w:keepLines/>
        <w:numPr>
          <w:ilvl w:val="0"/>
          <w:numId w:val="1"/>
        </w:numPr>
        <w:spacing w:before="340" w:after="330" w:line="578" w:lineRule="auto"/>
        <w:ind w:firstLineChars="0"/>
        <w:outlineLvl w:val="0"/>
        <w:rPr>
          <w:rFonts w:hint="eastAsia" w:ascii="宋体" w:hAnsi="宋体" w:eastAsia="宋体"/>
          <w:b/>
          <w:bCs/>
          <w:vanish/>
          <w:kern w:val="44"/>
          <w:sz w:val="44"/>
          <w:szCs w:val="44"/>
        </w:rPr>
      </w:pPr>
    </w:p>
    <w:p w14:paraId="37DDCDBD">
      <w:pPr>
        <w:pStyle w:val="18"/>
        <w:keepNext/>
        <w:keepLines/>
        <w:numPr>
          <w:ilvl w:val="1"/>
          <w:numId w:val="1"/>
        </w:numPr>
        <w:spacing w:before="340" w:after="330" w:line="578" w:lineRule="auto"/>
        <w:ind w:firstLineChars="0"/>
        <w:outlineLvl w:val="0"/>
        <w:rPr>
          <w:rFonts w:hint="eastAsia" w:ascii="宋体" w:hAnsi="宋体" w:eastAsia="宋体"/>
          <w:b/>
          <w:bCs/>
          <w:vanish/>
          <w:kern w:val="44"/>
          <w:sz w:val="44"/>
          <w:szCs w:val="44"/>
        </w:rPr>
      </w:pPr>
    </w:p>
    <w:p w14:paraId="46424A1A"/>
    <w:p w14:paraId="6A96D960">
      <w:pPr>
        <w:numPr>
          <w:ilvl w:val="0"/>
          <w:numId w:val="2"/>
        </w:numPr>
        <w:rPr>
          <w:rFonts w:hint="eastAsia"/>
          <w:sz w:val="28"/>
          <w:szCs w:val="28"/>
        </w:rPr>
      </w:pPr>
      <w:r>
        <w:rPr>
          <w:rFonts w:hint="eastAsia"/>
          <w:sz w:val="28"/>
          <w:szCs w:val="28"/>
        </w:rPr>
        <w:t>采购需求</w:t>
      </w:r>
    </w:p>
    <w:tbl>
      <w:tblPr>
        <w:tblStyle w:val="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8"/>
        <w:gridCol w:w="716"/>
        <w:gridCol w:w="6025"/>
        <w:gridCol w:w="861"/>
        <w:gridCol w:w="472"/>
      </w:tblGrid>
      <w:tr w14:paraId="3E4E1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F293F">
            <w:pPr>
              <w:keepNext w:val="0"/>
              <w:keepLines w:val="0"/>
              <w:widowControl/>
              <w:suppressLineNumbers w:val="0"/>
              <w:snapToGrid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pacing w:val="6"/>
                <w:kern w:val="0"/>
                <w:sz w:val="20"/>
                <w:szCs w:val="20"/>
                <w:u w:val="none"/>
                <w:lang w:val="en-US" w:eastAsia="zh-CN" w:bidi="ar"/>
              </w:rPr>
              <w:t>序号</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5C53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模块</w:t>
            </w:r>
          </w:p>
        </w:tc>
        <w:tc>
          <w:tcPr>
            <w:tcW w:w="3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61D48">
            <w:pPr>
              <w:keepNext w:val="0"/>
              <w:keepLines w:val="0"/>
              <w:widowControl/>
              <w:suppressLineNumbers w:val="0"/>
              <w:snapToGrid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参数</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4B42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数量</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2973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单位</w:t>
            </w:r>
          </w:p>
        </w:tc>
      </w:tr>
      <w:tr w14:paraId="4B2EB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F38D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1</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44AE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LED箱体</w:t>
            </w:r>
          </w:p>
        </w:tc>
        <w:tc>
          <w:tcPr>
            <w:tcW w:w="3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0E91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1.点间距≤</w:t>
            </w:r>
            <w:bookmarkStart w:id="0" w:name="_GoBack"/>
            <w:bookmarkEnd w:id="0"/>
            <w:r>
              <w:rPr>
                <w:rFonts w:hint="eastAsia" w:ascii="宋体" w:hAnsi="宋体" w:eastAsia="宋体" w:cs="宋体"/>
                <w:i w:val="0"/>
                <w:iCs w:val="0"/>
                <w:color w:val="000000"/>
                <w:spacing w:val="6"/>
                <w:kern w:val="0"/>
                <w:sz w:val="20"/>
                <w:szCs w:val="20"/>
                <w:u w:val="none"/>
                <w:lang w:val="en-US" w:eastAsia="zh-CN" w:bidi="ar"/>
              </w:rPr>
              <w:t>1.25mm，显示尺寸5.4米*1.0125米，分辨为：4320*810</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2.为满足使用高可靠性要求，全彩LED显示屏RGB采用COB集成封装，恒流驱动，采用全倒装共阴工艺，微米级倒装芯片单边≤100μm，无键合引线，具备防撞、耐磨、耐冲击特点，满足使用高可靠性要求；</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3.亮度均匀性≥99.2%，对比度≥25000:1，垂直≥178度，水平≥178度，刷新频率≥4200Hz；</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4.在维持实际的灰度位数不变的情况下，通过软件实现图像抖动的算法，提升显示屏 4bit的灰度位数；</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5.采用全前维护、前安装设计，灯板与连接板采用硬连方式（两块板卡连接无需排线、电源线），灯板支持热插拔，所有元器件皆可从正面拆装、维护，有效节约安装空间（需提供检测机构出具的第三方专业检测报告，加盖原厂公章）；</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6.外壳防护等级≥IP65；</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7.支持7*24H连续正常工作，平均无故障运行时间≧100000小时，连续12个月使用不经维修坏点率不高于5PPM；</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8.箱体为压铸铝合金材质，全金属自然散热结构，无风扇，无孔，防尘、静音设计；；</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9.显示符合广电级显示效果，高色域重合度，色域重合度≥99%：色域覆盖率：DCI-P3色域覆盖率≥99.3%;NTSC色域覆盖率≥120%；</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10.支持 HDR3.0 高清显示,可同时支持 HDR10 和 HLG功能,真实还原视频源所要表达的亮度范围和色彩空间，提升图像显示效果能力，使画面更加逼真（需提供检测机构出具的第三方专业检测报告，加盖原厂公章）；</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11.显示单元间隙≤0.03mm，显示单元平整度≤0.03mm，模组平整度≤0.03mm，模组间隙≤0.03mm，相对错位偏差（水平／垂直）≤1.0%；</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12.换帧频率：支持20Hz-120Hz调节，支持3D显示；</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13.具备低亮高灰特性，在亮度150cd/㎡时，对比度不低于8000:1（需提供检测机构出具的第三方专业检测报告，加盖原厂公章）；</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14.灯板上的红、绿、蓝灯支持2.8-3.8V供电，并且供电电压支持软件调节；</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15.图像有降噪、运动补偿、增强、色坐标变化处理、钝化处理、无几何失真和非线性失真现象、消鬼影拖尾，无毛毛虫鬼影跟随现象；</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16.PCB原材为母料，非回收料，且使用环保OSP表面处理工艺；内部线材低烟无卤；显示屏核心原材料满足环保要求；</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17.当整机需要多画面显示（两分屏、三分屏或四分屏）时，每个分屏的窗口大小支持用户自定义；</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18.符合CESI TS006-2020超高清显示认证、CESI TS009一2018《LED显示屏绿色健康分级认证技术规范》提供相关证明材料；</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19.支持过流，过压，过温，短路等保护功能（需提供检测机构出具的第三方专业检测报告，加盖原厂公章）；</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20.当灯极出现短路时，灯板会自动保护，避免烧坏灯板上的元器件（需提供检测机构出具的第三方专业检测报告，加盖原厂公章）。</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C4F9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≥5.4675</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8982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平方</w:t>
            </w:r>
          </w:p>
        </w:tc>
      </w:tr>
      <w:tr w14:paraId="7F443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8EB0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2</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4056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二合一处理器</w:t>
            </w:r>
          </w:p>
        </w:tc>
        <w:tc>
          <w:tcPr>
            <w:tcW w:w="3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FAA8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1、采用标准 19 英寸金属结构机箱，机箱为后挂耳结构，上盖无螺钉安装:外壳防护等级符合GBIT 4280-2017中IP20的要求;采用纯硬件 FPGA 架构设计、运行稳定、可靠、高效。</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2、输入接口至少包括1路HDMI2.0+LOOP,2路HDMI1.3，1路USB3.0，可支持≥4096*2160@60HZ信号输入，支持选配1路3G-SDI（IN+LOOP）。</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3、视频输出支持不少于8路千兆网口输出，1路10G-OPT光口，最大带载可达520万像素，最宽支持10240,最高8192。</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4、音频输入支持视频口伴随音频输入及独立输入两种模式，音频输出支持网口扩展输出及3.5mm独立音频口输出；</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5、支持输入源备份功能，主源丢失下，无需人为操作可自动切换至备源显示，切换过程无黑屏；</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6、可支持144HZ高帧率输入输出，输出支持插帧、抽帧、倍频（2倍频、3倍频、4倍频）功能，可将30HZ信号，倍频至120HZ输出；</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7、图层能力：最大可支持≥6个2K图层或1个4K图层+2个2K图层，全部图层大小和位置可单独调节。4K接口输入2K信号，按2K图层计算图层资源；</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8、支持通过上位机软件实现对显示屏的连接，控制，包括：输入源切换，窗口位置及大小调节，分辨率自定义等；软件端支持可视化呈现设备各接口实时状态，包括视频输入状态及分辨率、网口带载利用率、监控界面支持接收卡温度、电压、误码率、通讯状态等的检测；</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9、支持U盘即插即播功能，最大支持4K级（3840*2160@60fps）图片和视频的流畅播放，播放列表计切换效果支持自定义编排，最多支持≥20图片切换特效，如：水波涟漪、镜头拉近、直接推出、立体翻转、百叶窗等；</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10、标配全彩液晶，搭配实体按键，方便设备整体状态的监控及设备功能的控制，设备功能按键及丝印信息采用全中文提示;</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11、支持标准模式模式；</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12、支持微信小程序快捷控制，包括亮度调节、输出画质调节、待机模式、画面冻结、场景切换、U盘播放等功能；</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13、支持平板对控制器进行快捷控制，包括亮度调节、图层布局调节、画面冻结、黑屏、场景切换、音量大小、OSD开关等功能；</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14、支持创建多个设备还原点，将当前设备的配屏，场景，输出等参数存储为还原点，当系统工作异常时，可根据还原点一键快速还原；</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15、支持控制设备白名单，可通过MAC地址限制控制设备，非白名单内设备无法控制设备，不允许对设备进行操作；</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16、MTBF≥150000小时，MTTR平均修复小于10分钟可用度大于 99%，整机寿命不小于150000小时。产品稳定性高、性能卓越、纯硬件结构，上电即可正常工作，无需做任何其它设置。</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17、设备控制支持BS架构，可兼容多种操作系统包括但不限于：Windows、MAC OS、深度 Linux、银河麒麟、统信 UOS、中标麒麟(NeoKylin)、优麒麟(UbuntuKylin)等;</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6CCF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1</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21EB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套</w:t>
            </w:r>
          </w:p>
        </w:tc>
      </w:tr>
      <w:tr w14:paraId="592B6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1C7C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3</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2009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配电箱</w:t>
            </w:r>
          </w:p>
        </w:tc>
        <w:tc>
          <w:tcPr>
            <w:tcW w:w="3534" w:type="pct"/>
            <w:tcBorders>
              <w:top w:val="single" w:color="000000" w:sz="4" w:space="0"/>
              <w:left w:val="single" w:color="000000" w:sz="4" w:space="0"/>
              <w:bottom w:val="single" w:color="000000" w:sz="4" w:space="0"/>
              <w:right w:val="nil"/>
            </w:tcBorders>
            <w:shd w:val="clear" w:color="auto" w:fill="auto"/>
            <w:vAlign w:val="center"/>
          </w:tcPr>
          <w:p w14:paraId="7AF38BA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LED专用配电箱  ，满足屏幕要求，支持手动和远程开关模式,PLC远程控制,具有过压、过流、短路、断路等保护功能</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C763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1</w:t>
            </w:r>
          </w:p>
        </w:tc>
        <w:tc>
          <w:tcPr>
            <w:tcW w:w="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2379D34">
            <w:pPr>
              <w:keepNext w:val="0"/>
              <w:keepLines w:val="0"/>
              <w:widowControl/>
              <w:suppressLineNumbers w:val="0"/>
              <w:snapToGrid w:val="0"/>
              <w:jc w:val="center"/>
              <w:textAlignment w:val="center"/>
              <w:rPr>
                <w:rFonts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spacing w:val="6"/>
                <w:kern w:val="0"/>
                <w:sz w:val="20"/>
                <w:szCs w:val="20"/>
                <w:u w:val="none"/>
                <w:lang w:val="en-US" w:eastAsia="zh-CN" w:bidi="ar"/>
              </w:rPr>
              <w:t>台</w:t>
            </w:r>
          </w:p>
        </w:tc>
      </w:tr>
      <w:tr w14:paraId="01BFC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899D3">
            <w:pPr>
              <w:keepNext w:val="0"/>
              <w:keepLines w:val="0"/>
              <w:widowControl/>
              <w:suppressLineNumbers w:val="0"/>
              <w:snapToGrid w:val="0"/>
              <w:jc w:val="center"/>
              <w:textAlignment w:val="center"/>
              <w:rPr>
                <w:rFonts w:hint="default" w:ascii="宋体" w:hAnsi="宋体" w:eastAsia="宋体" w:cs="宋体"/>
                <w:i w:val="0"/>
                <w:iCs w:val="0"/>
                <w:color w:val="000000"/>
                <w:spacing w:val="6"/>
                <w:kern w:val="0"/>
                <w:sz w:val="20"/>
                <w:szCs w:val="20"/>
                <w:u w:val="none"/>
                <w:lang w:val="en-US" w:eastAsia="zh-CN" w:bidi="ar"/>
              </w:rPr>
            </w:pPr>
            <w:r>
              <w:rPr>
                <w:rFonts w:hint="eastAsia" w:ascii="宋体" w:hAnsi="宋体" w:eastAsia="宋体" w:cs="宋体"/>
                <w:i w:val="0"/>
                <w:iCs w:val="0"/>
                <w:color w:val="000000"/>
                <w:spacing w:val="6"/>
                <w:kern w:val="0"/>
                <w:sz w:val="20"/>
                <w:szCs w:val="20"/>
                <w:u w:val="none"/>
                <w:lang w:val="en-US" w:eastAsia="zh-CN" w:bidi="ar"/>
              </w:rPr>
              <w:t>4</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008E9">
            <w:pPr>
              <w:keepNext w:val="0"/>
              <w:keepLines w:val="0"/>
              <w:widowControl/>
              <w:suppressLineNumbers w:val="0"/>
              <w:snapToGrid w:val="0"/>
              <w:jc w:val="center"/>
              <w:textAlignment w:val="center"/>
              <w:rPr>
                <w:rFonts w:hint="default" w:ascii="宋体" w:hAnsi="宋体" w:eastAsia="宋体" w:cs="宋体"/>
                <w:i w:val="0"/>
                <w:iCs w:val="0"/>
                <w:color w:val="000000"/>
                <w:spacing w:val="6"/>
                <w:kern w:val="0"/>
                <w:sz w:val="20"/>
                <w:szCs w:val="20"/>
                <w:u w:val="none"/>
                <w:lang w:val="en-US" w:eastAsia="zh-CN" w:bidi="ar"/>
              </w:rPr>
            </w:pPr>
            <w:r>
              <w:rPr>
                <w:rFonts w:hint="eastAsia" w:ascii="宋体" w:hAnsi="宋体" w:eastAsia="宋体" w:cs="宋体"/>
                <w:i w:val="0"/>
                <w:iCs w:val="0"/>
                <w:color w:val="000000"/>
                <w:spacing w:val="6"/>
                <w:kern w:val="0"/>
                <w:sz w:val="20"/>
                <w:szCs w:val="20"/>
                <w:u w:val="none"/>
                <w:lang w:val="en-US" w:eastAsia="zh-CN" w:bidi="ar"/>
              </w:rPr>
              <w:t>保修</w:t>
            </w:r>
          </w:p>
        </w:tc>
        <w:tc>
          <w:tcPr>
            <w:tcW w:w="3534" w:type="pct"/>
            <w:tcBorders>
              <w:top w:val="single" w:color="000000" w:sz="4" w:space="0"/>
              <w:left w:val="single" w:color="000000" w:sz="4" w:space="0"/>
              <w:bottom w:val="single" w:color="000000" w:sz="4" w:space="0"/>
              <w:right w:val="nil"/>
            </w:tcBorders>
            <w:shd w:val="clear" w:color="auto" w:fill="auto"/>
            <w:vAlign w:val="center"/>
          </w:tcPr>
          <w:p w14:paraId="7FE4EECC">
            <w:pPr>
              <w:keepNext w:val="0"/>
              <w:keepLines w:val="0"/>
              <w:widowControl/>
              <w:suppressLineNumbers w:val="0"/>
              <w:snapToGrid w:val="0"/>
              <w:jc w:val="left"/>
              <w:textAlignment w:val="center"/>
              <w:rPr>
                <w:rFonts w:hint="default" w:ascii="宋体" w:hAnsi="宋体" w:eastAsia="宋体" w:cs="宋体"/>
                <w:i w:val="0"/>
                <w:iCs w:val="0"/>
                <w:color w:val="000000"/>
                <w:spacing w:val="6"/>
                <w:kern w:val="0"/>
                <w:sz w:val="20"/>
                <w:szCs w:val="20"/>
                <w:u w:val="none"/>
                <w:lang w:val="en-US" w:eastAsia="zh-CN" w:bidi="ar"/>
              </w:rPr>
            </w:pPr>
            <w:r>
              <w:rPr>
                <w:rFonts w:hint="eastAsia" w:ascii="宋体" w:hAnsi="宋体" w:eastAsia="宋体" w:cs="宋体"/>
                <w:i w:val="0"/>
                <w:iCs w:val="0"/>
                <w:color w:val="000000"/>
                <w:spacing w:val="6"/>
                <w:kern w:val="0"/>
                <w:sz w:val="20"/>
                <w:szCs w:val="20"/>
                <w:u w:val="none"/>
                <w:lang w:val="en-US" w:eastAsia="zh-CN" w:bidi="ar"/>
              </w:rPr>
              <w:t>三年原厂保修（含配件+人力）</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D1A02">
            <w:pPr>
              <w:keepNext w:val="0"/>
              <w:keepLines w:val="0"/>
              <w:widowControl/>
              <w:suppressLineNumbers w:val="0"/>
              <w:snapToGrid w:val="0"/>
              <w:jc w:val="center"/>
              <w:textAlignment w:val="center"/>
              <w:rPr>
                <w:rFonts w:hint="eastAsia" w:ascii="宋体" w:hAnsi="宋体" w:eastAsia="宋体" w:cs="宋体"/>
                <w:i w:val="0"/>
                <w:iCs w:val="0"/>
                <w:color w:val="000000"/>
                <w:spacing w:val="6"/>
                <w:kern w:val="0"/>
                <w:sz w:val="20"/>
                <w:szCs w:val="20"/>
                <w:u w:val="none"/>
                <w:lang w:val="en-US" w:eastAsia="zh-CN" w:bidi="ar"/>
              </w:rPr>
            </w:pPr>
          </w:p>
        </w:tc>
        <w:tc>
          <w:tcPr>
            <w:tcW w:w="2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6C3C190">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pacing w:val="6"/>
                <w:kern w:val="0"/>
                <w:sz w:val="20"/>
                <w:szCs w:val="20"/>
                <w:u w:val="none"/>
                <w:lang w:val="en-US" w:eastAsia="zh-CN" w:bidi="ar"/>
              </w:rPr>
            </w:pPr>
          </w:p>
        </w:tc>
      </w:tr>
    </w:tbl>
    <w:p w14:paraId="73BEC766"/>
    <w:p w14:paraId="7F8702EA">
      <w:pPr>
        <w:rPr>
          <w:rFonts w:hint="eastAsia" w:ascii="宋体" w:hAnsi="宋体" w:cs="宋体"/>
          <w:sz w:val="20"/>
          <w:szCs w:val="20"/>
        </w:rPr>
      </w:pPr>
      <w:r>
        <w:rPr>
          <w:rFonts w:hint="eastAsia" w:ascii="宋体" w:hAnsi="宋体" w:cs="宋体"/>
          <w:sz w:val="20"/>
          <w:szCs w:val="20"/>
        </w:rPr>
        <w:t>★采购人在合同签订前有权保留对</w:t>
      </w:r>
      <w:r>
        <w:rPr>
          <w:rFonts w:hint="eastAsia" w:ascii="宋体" w:hAnsi="宋体" w:cs="宋体"/>
          <w:sz w:val="20"/>
          <w:szCs w:val="20"/>
          <w:lang w:val="en-US" w:eastAsia="zh-CN"/>
        </w:rPr>
        <w:t>报价人</w:t>
      </w:r>
      <w:r>
        <w:rPr>
          <w:rFonts w:hint="eastAsia" w:ascii="宋体" w:hAnsi="宋体" w:cs="宋体"/>
          <w:sz w:val="20"/>
          <w:szCs w:val="20"/>
        </w:rPr>
        <w:t>所提供的</w:t>
      </w:r>
      <w:r>
        <w:rPr>
          <w:rFonts w:hint="eastAsia" w:ascii="宋体" w:hAnsi="宋体" w:cs="宋体"/>
          <w:sz w:val="20"/>
          <w:szCs w:val="20"/>
          <w:lang w:val="en-US" w:eastAsia="zh-CN"/>
        </w:rPr>
        <w:t>产品</w:t>
      </w:r>
      <w:r>
        <w:rPr>
          <w:rFonts w:hint="eastAsia" w:ascii="宋体" w:hAnsi="宋体" w:cs="宋体"/>
          <w:sz w:val="20"/>
          <w:szCs w:val="20"/>
        </w:rPr>
        <w:t>进行测试验证的权力，以确保采购人得到符合采购要求的产品，测试费用包含在投标总价中，采购人不再另行支付，如测试验证发现</w:t>
      </w:r>
      <w:r>
        <w:rPr>
          <w:rFonts w:hint="eastAsia" w:ascii="宋体" w:hAnsi="宋体" w:cs="宋体"/>
          <w:sz w:val="20"/>
          <w:szCs w:val="20"/>
          <w:lang w:val="en-US" w:eastAsia="zh-CN"/>
        </w:rPr>
        <w:t>报价</w:t>
      </w:r>
      <w:r>
        <w:rPr>
          <w:rFonts w:hint="eastAsia" w:ascii="宋体" w:hAnsi="宋体" w:cs="宋体"/>
          <w:sz w:val="20"/>
          <w:szCs w:val="20"/>
        </w:rPr>
        <w:t>人所提供</w:t>
      </w:r>
      <w:r>
        <w:rPr>
          <w:rFonts w:hint="eastAsia" w:ascii="宋体" w:hAnsi="宋体" w:cs="宋体"/>
          <w:sz w:val="20"/>
          <w:szCs w:val="20"/>
          <w:lang w:val="en-US" w:eastAsia="zh-CN"/>
        </w:rPr>
        <w:t>的产品</w:t>
      </w:r>
      <w:r>
        <w:rPr>
          <w:rFonts w:hint="eastAsia" w:ascii="宋体" w:hAnsi="宋体" w:cs="宋体"/>
          <w:sz w:val="20"/>
          <w:szCs w:val="20"/>
        </w:rPr>
        <w:t>不满足</w:t>
      </w:r>
      <w:r>
        <w:rPr>
          <w:rFonts w:hint="eastAsia" w:ascii="宋体" w:hAnsi="宋体" w:cs="宋体"/>
          <w:sz w:val="20"/>
          <w:szCs w:val="20"/>
          <w:lang w:val="en-US" w:eastAsia="zh-CN"/>
        </w:rPr>
        <w:t>采购</w:t>
      </w:r>
      <w:r>
        <w:rPr>
          <w:rFonts w:hint="eastAsia" w:ascii="宋体" w:hAnsi="宋体" w:cs="宋体"/>
          <w:sz w:val="20"/>
          <w:szCs w:val="20"/>
        </w:rPr>
        <w:t>文件要求，采购人有权</w:t>
      </w:r>
      <w:r>
        <w:rPr>
          <w:rFonts w:hint="eastAsia" w:ascii="宋体" w:hAnsi="宋体" w:cs="宋体"/>
          <w:sz w:val="20"/>
          <w:szCs w:val="20"/>
          <w:lang w:val="en-US" w:eastAsia="zh-CN"/>
        </w:rPr>
        <w:t>将报价人列入黑名单</w:t>
      </w:r>
      <w:r>
        <w:rPr>
          <w:rFonts w:hint="eastAsia" w:ascii="宋体" w:hAnsi="宋体" w:cs="宋体"/>
          <w:sz w:val="20"/>
          <w:szCs w:val="20"/>
        </w:rPr>
        <w:t>。</w:t>
      </w:r>
    </w:p>
    <w:p w14:paraId="2D820A54">
      <w:pPr>
        <w:rPr>
          <w:rFonts w:hint="eastAsia" w:ascii="宋体" w:hAnsi="宋体" w:cs="宋体"/>
          <w:sz w:val="20"/>
          <w:szCs w:val="20"/>
        </w:rPr>
      </w:pPr>
    </w:p>
    <w:p w14:paraId="1AB7D937">
      <w:pPr>
        <w:numPr>
          <w:ilvl w:val="0"/>
          <w:numId w:val="2"/>
        </w:numPr>
        <w:ind w:left="0" w:leftChars="0" w:firstLine="0" w:firstLineChars="0"/>
        <w:rPr>
          <w:rFonts w:hint="eastAsia" w:ascii="宋体" w:hAnsi="宋体" w:cs="宋体"/>
          <w:sz w:val="20"/>
          <w:szCs w:val="20"/>
          <w:lang w:val="en-US" w:eastAsia="zh-CN"/>
        </w:rPr>
      </w:pPr>
      <w:r>
        <w:rPr>
          <w:rFonts w:hint="eastAsia" w:ascii="宋体" w:hAnsi="宋体" w:cs="宋体"/>
          <w:sz w:val="20"/>
          <w:szCs w:val="20"/>
          <w:lang w:val="en-US" w:eastAsia="zh-CN"/>
        </w:rPr>
        <w:t>备件要求</w:t>
      </w:r>
    </w:p>
    <w:p w14:paraId="56907063">
      <w:pPr>
        <w:numPr>
          <w:ilvl w:val="0"/>
          <w:numId w:val="0"/>
        </w:numPr>
        <w:ind w:leftChars="0"/>
        <w:rPr>
          <w:rFonts w:hint="eastAsia" w:ascii="宋体" w:hAnsi="宋体" w:eastAsia="宋体" w:cs="宋体"/>
          <w:i w:val="0"/>
          <w:iCs w:val="0"/>
          <w:color w:val="000000"/>
          <w:spacing w:val="6"/>
          <w:kern w:val="0"/>
          <w:sz w:val="20"/>
          <w:szCs w:val="20"/>
          <w:u w:val="none"/>
          <w:lang w:val="en-US" w:eastAsia="zh-CN" w:bidi="ar"/>
        </w:rPr>
      </w:pPr>
      <w:r>
        <w:rPr>
          <w:rFonts w:hint="eastAsia" w:ascii="宋体" w:hAnsi="宋体" w:eastAsia="宋体" w:cs="宋体"/>
          <w:i w:val="0"/>
          <w:iCs w:val="0"/>
          <w:color w:val="000000"/>
          <w:spacing w:val="6"/>
          <w:kern w:val="0"/>
          <w:sz w:val="20"/>
          <w:szCs w:val="20"/>
          <w:u w:val="none"/>
          <w:lang w:val="en-US" w:eastAsia="zh-CN" w:bidi="ar"/>
        </w:rPr>
        <w:t>报价人必须提供同批次COB备用灯板≥12张，同批次接收HUB板≥5张，备件由报价人保管，产品出现故障时及时使用备件维修。保修期结束前，报价人将备件交给采购人。报价人提供承诺函加盖公章；合同签订前提供备件照片。</w:t>
      </w:r>
    </w:p>
    <w:p w14:paraId="5E32D9A4">
      <w:pPr>
        <w:numPr>
          <w:ilvl w:val="0"/>
          <w:numId w:val="0"/>
        </w:numPr>
        <w:ind w:leftChars="0"/>
        <w:rPr>
          <w:rFonts w:hint="eastAsia" w:ascii="宋体" w:hAnsi="宋体" w:eastAsia="宋体" w:cs="宋体"/>
          <w:i w:val="0"/>
          <w:iCs w:val="0"/>
          <w:color w:val="000000"/>
          <w:spacing w:val="6"/>
          <w:kern w:val="0"/>
          <w:sz w:val="20"/>
          <w:szCs w:val="20"/>
          <w:u w:val="none"/>
          <w:lang w:val="en-US" w:eastAsia="zh-CN" w:bidi="ar"/>
        </w:rPr>
      </w:pPr>
    </w:p>
    <w:p w14:paraId="6D1E12DB">
      <w:pPr>
        <w:numPr>
          <w:ilvl w:val="0"/>
          <w:numId w:val="2"/>
        </w:numPr>
        <w:ind w:left="0" w:leftChars="0" w:firstLine="0" w:firstLineChars="0"/>
        <w:rPr>
          <w:rFonts w:hint="eastAsia" w:ascii="宋体" w:hAnsi="宋体" w:eastAsia="宋体" w:cs="宋体"/>
          <w:i w:val="0"/>
          <w:iCs w:val="0"/>
          <w:color w:val="000000"/>
          <w:spacing w:val="6"/>
          <w:kern w:val="0"/>
          <w:sz w:val="20"/>
          <w:szCs w:val="20"/>
          <w:u w:val="none"/>
          <w:lang w:val="en-US" w:eastAsia="zh-CN" w:bidi="ar"/>
        </w:rPr>
      </w:pPr>
      <w:r>
        <w:rPr>
          <w:rFonts w:hint="eastAsia" w:ascii="宋体" w:hAnsi="宋体" w:eastAsia="宋体" w:cs="宋体"/>
          <w:i w:val="0"/>
          <w:iCs w:val="0"/>
          <w:color w:val="000000"/>
          <w:spacing w:val="6"/>
          <w:kern w:val="0"/>
          <w:sz w:val="20"/>
          <w:szCs w:val="20"/>
          <w:u w:val="none"/>
          <w:lang w:val="en-US" w:eastAsia="zh-CN" w:bidi="ar"/>
        </w:rPr>
        <w:t>安装要求</w:t>
      </w:r>
    </w:p>
    <w:p w14:paraId="09FA8C47">
      <w:pPr>
        <w:spacing w:line="360" w:lineRule="auto"/>
        <w:rPr>
          <w:szCs w:val="21"/>
        </w:rPr>
      </w:pPr>
      <w:r>
        <w:rPr>
          <w:rFonts w:hint="eastAsia"/>
          <w:szCs w:val="21"/>
        </w:rPr>
        <w:t>1</w:t>
      </w:r>
      <w:r>
        <w:rPr>
          <w:rFonts w:hint="eastAsia"/>
          <w:szCs w:val="21"/>
          <w:lang w:eastAsia="zh-CN"/>
        </w:rPr>
        <w:t>、</w:t>
      </w:r>
      <w:r>
        <w:rPr>
          <w:rFonts w:hint="eastAsia"/>
          <w:szCs w:val="21"/>
        </w:rPr>
        <w:t xml:space="preserve">此次采购的软硬件系统，供应商须承诺提供原厂商的部署实施服务 </w:t>
      </w:r>
    </w:p>
    <w:p w14:paraId="4A57DC19">
      <w:pPr>
        <w:numPr>
          <w:ilvl w:val="0"/>
          <w:numId w:val="0"/>
        </w:numPr>
        <w:ind w:leftChars="0"/>
        <w:rPr>
          <w:rFonts w:hint="eastAsia"/>
          <w:szCs w:val="21"/>
        </w:rPr>
      </w:pPr>
      <w:r>
        <w:rPr>
          <w:rFonts w:hint="eastAsia"/>
          <w:szCs w:val="21"/>
        </w:rPr>
        <w:t>2</w:t>
      </w:r>
      <w:r>
        <w:rPr>
          <w:rFonts w:hint="eastAsia"/>
          <w:szCs w:val="21"/>
          <w:lang w:eastAsia="zh-CN"/>
        </w:rPr>
        <w:t>、</w:t>
      </w:r>
      <w:r>
        <w:rPr>
          <w:rFonts w:hint="eastAsia"/>
          <w:szCs w:val="21"/>
        </w:rPr>
        <w:t>供应商应组织完成本项目的部署实施工作，组织完成集成、安装、调试，并完成与院方现有软、硬件系统之间的联调工作。</w:t>
      </w:r>
    </w:p>
    <w:p w14:paraId="151E1D70">
      <w:pPr>
        <w:numPr>
          <w:ilvl w:val="0"/>
          <w:numId w:val="0"/>
        </w:numPr>
        <w:ind w:leftChars="0"/>
        <w:rPr>
          <w:rFonts w:hint="eastAsia"/>
          <w:szCs w:val="21"/>
        </w:rPr>
      </w:pPr>
      <w:r>
        <w:rPr>
          <w:rFonts w:hint="eastAsia"/>
          <w:szCs w:val="21"/>
          <w:lang w:val="en-US" w:eastAsia="zh-CN"/>
        </w:rPr>
        <w:t>3、</w:t>
      </w:r>
      <w:r>
        <w:rPr>
          <w:rFonts w:hint="eastAsia"/>
          <w:szCs w:val="21"/>
        </w:rPr>
        <w:t>全部设备皆采用220V电源，50Hz。供应商应提供厂商原装、完整、全新的、符合国家及采购人提出的有关质量标准的设备及部件。</w:t>
      </w:r>
    </w:p>
    <w:p w14:paraId="71E8E9CB">
      <w:pPr>
        <w:numPr>
          <w:ilvl w:val="0"/>
          <w:numId w:val="0"/>
        </w:numPr>
        <w:ind w:leftChars="0"/>
        <w:rPr>
          <w:rFonts w:hint="eastAsia"/>
          <w:szCs w:val="21"/>
        </w:rPr>
      </w:pPr>
      <w:r>
        <w:rPr>
          <w:rFonts w:hint="eastAsia"/>
          <w:szCs w:val="21"/>
          <w:lang w:val="en-US" w:eastAsia="zh-CN"/>
        </w:rPr>
        <w:t>4、</w:t>
      </w:r>
      <w:r>
        <w:rPr>
          <w:rFonts w:hint="eastAsia"/>
          <w:szCs w:val="21"/>
        </w:rPr>
        <w:t>要求对全部设备、产品、型号、规格、数量、外型、外观、包装及资料、文件（如装箱单、保修单、随箱介质等）的检查。供应商报价中应已经包含设备连接并构成完整运行环境所必要的配件、辅件、配线、许可。</w:t>
      </w:r>
    </w:p>
    <w:p w14:paraId="3B96E6F4">
      <w:pPr>
        <w:numPr>
          <w:ilvl w:val="0"/>
          <w:numId w:val="0"/>
        </w:numPr>
        <w:ind w:leftChars="0"/>
        <w:rPr>
          <w:rFonts w:hint="eastAsia"/>
          <w:szCs w:val="21"/>
        </w:rPr>
      </w:pPr>
      <w:r>
        <w:rPr>
          <w:rFonts w:hint="eastAsia"/>
          <w:szCs w:val="21"/>
          <w:lang w:val="en-US" w:eastAsia="zh-CN"/>
        </w:rPr>
        <w:t>5、</w:t>
      </w:r>
      <w:r>
        <w:rPr>
          <w:rFonts w:hint="eastAsia"/>
          <w:szCs w:val="21"/>
        </w:rPr>
        <w:t>凡列入《中华人民共和国实施强制性产品认证的产品目录》的产品在检查时出具CCC认证证书复印件，并以在产品外部加施认证标志作为验收依据之一。</w:t>
      </w:r>
    </w:p>
    <w:p w14:paraId="53636A80">
      <w:pPr>
        <w:numPr>
          <w:ilvl w:val="0"/>
          <w:numId w:val="0"/>
        </w:numPr>
        <w:ind w:leftChars="0"/>
        <w:rPr>
          <w:rFonts w:hint="eastAsia"/>
          <w:szCs w:val="21"/>
        </w:rPr>
      </w:pPr>
      <w:r>
        <w:rPr>
          <w:rFonts w:hint="eastAsia"/>
          <w:szCs w:val="21"/>
          <w:lang w:val="en-US" w:eastAsia="zh-CN"/>
        </w:rPr>
        <w:t>6、</w:t>
      </w:r>
      <w:r>
        <w:rPr>
          <w:rFonts w:hint="eastAsia"/>
          <w:szCs w:val="21"/>
        </w:rPr>
        <w:t>供应商应负责在项目验收时，将系统的全部有关产品说明书、原厂家安装手册、技术文件、资料、及安装、验收报告等文档汇集成册交付设备使用单位。</w:t>
      </w:r>
    </w:p>
    <w:p w14:paraId="0EC7D0BC">
      <w:pPr>
        <w:numPr>
          <w:ilvl w:val="0"/>
          <w:numId w:val="0"/>
        </w:numPr>
        <w:ind w:leftChars="0"/>
        <w:rPr>
          <w:rFonts w:hint="eastAsia"/>
          <w:szCs w:val="21"/>
        </w:rPr>
      </w:pPr>
      <w:r>
        <w:rPr>
          <w:rFonts w:hint="eastAsia"/>
          <w:szCs w:val="21"/>
          <w:lang w:val="en-US" w:eastAsia="zh-CN"/>
        </w:rPr>
        <w:t>7、</w:t>
      </w:r>
      <w:r>
        <w:rPr>
          <w:rFonts w:hint="eastAsia"/>
          <w:szCs w:val="21"/>
        </w:rPr>
        <w:t>所有设备、器材在开箱时须完好，无破损。配置与装箱单相符。数量、质量及性能不低于合同要求。</w:t>
      </w:r>
    </w:p>
    <w:p w14:paraId="3F9D5F0D">
      <w:pPr>
        <w:numPr>
          <w:ilvl w:val="0"/>
          <w:numId w:val="0"/>
        </w:numPr>
        <w:ind w:leftChars="0"/>
        <w:rPr>
          <w:rFonts w:hint="eastAsia"/>
          <w:szCs w:val="21"/>
        </w:rPr>
      </w:pPr>
      <w:r>
        <w:rPr>
          <w:rFonts w:hint="eastAsia"/>
          <w:szCs w:val="21"/>
          <w:lang w:val="en-US" w:eastAsia="zh-CN"/>
        </w:rPr>
        <w:t>8、</w:t>
      </w:r>
      <w:r>
        <w:rPr>
          <w:rFonts w:hint="eastAsia"/>
          <w:szCs w:val="21"/>
        </w:rPr>
        <w:t>拆箱后，供应商应对其全部产品、零件、配件、用户许可证书、资料、介质造册登记，并与装箱单对比，如有出入应立即书面记录，由供货商解决，如影响安装则按合同有关条款处理。</w:t>
      </w:r>
    </w:p>
    <w:p w14:paraId="1AE638DA">
      <w:pPr>
        <w:numPr>
          <w:ilvl w:val="0"/>
          <w:numId w:val="0"/>
        </w:numPr>
        <w:ind w:leftChars="0"/>
        <w:rPr>
          <w:rFonts w:hint="eastAsia" w:eastAsiaTheme="minorEastAsia"/>
          <w:szCs w:val="21"/>
          <w:lang w:val="en-US" w:eastAsia="zh-CN"/>
        </w:rPr>
      </w:pPr>
      <w:r>
        <w:rPr>
          <w:rFonts w:hint="eastAsia"/>
          <w:szCs w:val="21"/>
          <w:lang w:val="en-US" w:eastAsia="zh-CN"/>
        </w:rPr>
        <w:t>9、设备部署所需的任何线材、辅件等由报价人提供，项目不再不支付任何额外的费用</w:t>
      </w:r>
    </w:p>
    <w:p w14:paraId="1BE1D4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auto"/>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015205"/>
    <w:multiLevelType w:val="multilevel"/>
    <w:tmpl w:val="29015205"/>
    <w:lvl w:ilvl="0" w:tentative="0">
      <w:start w:val="1"/>
      <w:numFmt w:val="decimal"/>
      <w:lvlText w:val="%1"/>
      <w:lvlJc w:val="left"/>
      <w:pPr>
        <w:ind w:left="432" w:hanging="432"/>
      </w:pPr>
      <w:rPr>
        <w:rFonts w:hint="eastAsia"/>
      </w:rPr>
    </w:lvl>
    <w:lvl w:ilvl="1" w:tentative="0">
      <w:start w:val="1"/>
      <w:numFmt w:val="decimal"/>
      <w:lvlText w:val="4.%2"/>
      <w:lvlJc w:val="left"/>
      <w:pPr>
        <w:ind w:left="576" w:hanging="576"/>
      </w:pPr>
      <w:rPr>
        <w:rFonts w:hint="eastAsia"/>
      </w:rPr>
    </w:lvl>
    <w:lvl w:ilvl="2" w:tentative="0">
      <w:start w:val="1"/>
      <w:numFmt w:val="decimal"/>
      <w:lvlText w:val="6.2.%3"/>
      <w:lvlJc w:val="left"/>
      <w:pPr>
        <w:ind w:left="720" w:hanging="720"/>
      </w:pPr>
      <w:rPr>
        <w:rFonts w:hint="eastAsia"/>
      </w:rPr>
    </w:lvl>
    <w:lvl w:ilvl="3" w:tentative="0">
      <w:start w:val="1"/>
      <w:numFmt w:val="decimal"/>
      <w:lvlText w:val="5.1.1.%4"/>
      <w:lvlJc w:val="left"/>
      <w:pPr>
        <w:ind w:left="864" w:hanging="864"/>
      </w:pPr>
      <w:rPr>
        <w:rFonts w:hint="eastAsia"/>
      </w:rPr>
    </w:lvl>
    <w:lvl w:ilvl="4" w:tentative="0">
      <w:start w:val="1"/>
      <w:numFmt w:val="decimal"/>
      <w:lvlText w:val="5.1.1.1.%5"/>
      <w:lvlJc w:val="left"/>
      <w:pPr>
        <w:ind w:left="2142"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
    <w:nsid w:val="5747450B"/>
    <w:multiLevelType w:val="singleLevel"/>
    <w:tmpl w:val="5747450B"/>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376296"/>
    <w:rsid w:val="00121AC3"/>
    <w:rsid w:val="00153576"/>
    <w:rsid w:val="001F31F9"/>
    <w:rsid w:val="001F54EA"/>
    <w:rsid w:val="00262FFB"/>
    <w:rsid w:val="0047393A"/>
    <w:rsid w:val="00893EBB"/>
    <w:rsid w:val="00BE2DFF"/>
    <w:rsid w:val="05281663"/>
    <w:rsid w:val="0AF03523"/>
    <w:rsid w:val="0D25591E"/>
    <w:rsid w:val="14DD0A4E"/>
    <w:rsid w:val="1E7321CA"/>
    <w:rsid w:val="21B56B7B"/>
    <w:rsid w:val="22061653"/>
    <w:rsid w:val="227F7259"/>
    <w:rsid w:val="27661BA9"/>
    <w:rsid w:val="2816415B"/>
    <w:rsid w:val="2A1243CB"/>
    <w:rsid w:val="2AA42601"/>
    <w:rsid w:val="2B0E42B7"/>
    <w:rsid w:val="2E684941"/>
    <w:rsid w:val="31964884"/>
    <w:rsid w:val="33C565E9"/>
    <w:rsid w:val="3DB33C4D"/>
    <w:rsid w:val="3EBF3A09"/>
    <w:rsid w:val="40585F20"/>
    <w:rsid w:val="456F4189"/>
    <w:rsid w:val="477008FD"/>
    <w:rsid w:val="48917477"/>
    <w:rsid w:val="48995346"/>
    <w:rsid w:val="4F4E18EC"/>
    <w:rsid w:val="51E732EF"/>
    <w:rsid w:val="55AE77F0"/>
    <w:rsid w:val="5E452E5B"/>
    <w:rsid w:val="5E9807BF"/>
    <w:rsid w:val="6D161E0E"/>
    <w:rsid w:val="6E944B31"/>
    <w:rsid w:val="76667FDF"/>
    <w:rsid w:val="77EE068E"/>
    <w:rsid w:val="787F24BF"/>
    <w:rsid w:val="7A0F67AD"/>
    <w:rsid w:val="7D8FCFDF"/>
    <w:rsid w:val="7E5C0A47"/>
    <w:rsid w:val="7F7F7C2C"/>
    <w:rsid w:val="DFFB5693"/>
    <w:rsid w:val="F7DFF65A"/>
    <w:rsid w:val="FBBF2C9B"/>
    <w:rsid w:val="FD376296"/>
    <w:rsid w:val="FF9E3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outlineLvl w:val="0"/>
    </w:pPr>
    <w:rPr>
      <w:rFonts w:eastAsia="微软雅黑"/>
      <w:b/>
      <w:kern w:val="44"/>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spacing w:before="120" w:beforeLines="50" w:line="360" w:lineRule="auto"/>
      <w:ind w:firstLine="512" w:firstLineChars="200"/>
    </w:pPr>
    <w:rPr>
      <w:spacing w:val="8"/>
      <w:sz w:val="24"/>
      <w:szCs w:val="20"/>
    </w:rPr>
  </w:style>
  <w:style w:type="paragraph" w:styleId="4">
    <w:name w:val="Body Text"/>
    <w:basedOn w:val="1"/>
    <w:next w:val="1"/>
    <w:qFormat/>
    <w:uiPriority w:val="0"/>
    <w:pPr>
      <w:spacing w:after="120"/>
    </w:p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customStyle="1" w:styleId="9">
    <w:name w:val="font81"/>
    <w:basedOn w:val="7"/>
    <w:qFormat/>
    <w:uiPriority w:val="0"/>
    <w:rPr>
      <w:rFonts w:hint="default" w:ascii="微软雅黑" w:hAnsi="微软雅黑" w:eastAsia="微软雅黑" w:cs="微软雅黑"/>
      <w:color w:val="000000"/>
      <w:sz w:val="18"/>
      <w:szCs w:val="18"/>
      <w:u w:val="none"/>
    </w:rPr>
  </w:style>
  <w:style w:type="character" w:customStyle="1" w:styleId="10">
    <w:name w:val="font91"/>
    <w:basedOn w:val="7"/>
    <w:qFormat/>
    <w:uiPriority w:val="0"/>
    <w:rPr>
      <w:rFonts w:hint="default" w:ascii="等线" w:hAnsi="等线" w:eastAsia="等线" w:cs="等线"/>
      <w:color w:val="FF0000"/>
      <w:sz w:val="18"/>
      <w:szCs w:val="18"/>
      <w:u w:val="single"/>
    </w:rPr>
  </w:style>
  <w:style w:type="character" w:customStyle="1" w:styleId="11">
    <w:name w:val="font51"/>
    <w:basedOn w:val="7"/>
    <w:qFormat/>
    <w:uiPriority w:val="0"/>
    <w:rPr>
      <w:rFonts w:hint="default" w:ascii="微软雅黑" w:hAnsi="微软雅黑" w:eastAsia="微软雅黑" w:cs="微软雅黑"/>
      <w:color w:val="FF0000"/>
      <w:sz w:val="20"/>
      <w:szCs w:val="20"/>
      <w:u w:val="single"/>
    </w:rPr>
  </w:style>
  <w:style w:type="character" w:customStyle="1" w:styleId="12">
    <w:name w:val="font41"/>
    <w:basedOn w:val="7"/>
    <w:qFormat/>
    <w:uiPriority w:val="0"/>
    <w:rPr>
      <w:rFonts w:hint="default" w:ascii="微软雅黑" w:hAnsi="微软雅黑" w:eastAsia="微软雅黑" w:cs="微软雅黑"/>
      <w:color w:val="000000"/>
      <w:sz w:val="20"/>
      <w:szCs w:val="20"/>
      <w:u w:val="none"/>
    </w:rPr>
  </w:style>
  <w:style w:type="character" w:customStyle="1" w:styleId="13">
    <w:name w:val="font61"/>
    <w:basedOn w:val="7"/>
    <w:qFormat/>
    <w:uiPriority w:val="0"/>
    <w:rPr>
      <w:rFonts w:hint="default" w:ascii="微软雅黑" w:hAnsi="微软雅黑" w:eastAsia="微软雅黑" w:cs="微软雅黑"/>
      <w:color w:val="FF0000"/>
      <w:sz w:val="20"/>
      <w:szCs w:val="20"/>
      <w:u w:val="none"/>
    </w:rPr>
  </w:style>
  <w:style w:type="character" w:customStyle="1" w:styleId="14">
    <w:name w:val="font31"/>
    <w:basedOn w:val="7"/>
    <w:qFormat/>
    <w:uiPriority w:val="0"/>
    <w:rPr>
      <w:rFonts w:hint="eastAsia" w:ascii="宋体" w:hAnsi="宋体" w:eastAsia="宋体" w:cs="宋体"/>
      <w:color w:val="000000"/>
      <w:sz w:val="21"/>
      <w:szCs w:val="21"/>
      <w:u w:val="none"/>
    </w:rPr>
  </w:style>
  <w:style w:type="character" w:customStyle="1" w:styleId="15">
    <w:name w:val="font11"/>
    <w:basedOn w:val="7"/>
    <w:qFormat/>
    <w:uiPriority w:val="0"/>
    <w:rPr>
      <w:rFonts w:hint="eastAsia" w:ascii="宋体" w:hAnsi="宋体" w:eastAsia="宋体" w:cs="宋体"/>
      <w:color w:val="000000"/>
      <w:sz w:val="21"/>
      <w:szCs w:val="21"/>
      <w:u w:val="none"/>
    </w:rPr>
  </w:style>
  <w:style w:type="paragraph" w:customStyle="1" w:styleId="16">
    <w:name w:val="列表段落1"/>
    <w:basedOn w:val="1"/>
    <w:qFormat/>
    <w:uiPriority w:val="34"/>
    <w:pPr>
      <w:ind w:firstLine="420" w:firstLineChars="200"/>
    </w:pPr>
  </w:style>
  <w:style w:type="character" w:customStyle="1" w:styleId="17">
    <w:name w:val="font21"/>
    <w:basedOn w:val="7"/>
    <w:qFormat/>
    <w:uiPriority w:val="0"/>
    <w:rPr>
      <w:rFonts w:hint="eastAsia" w:ascii="微软雅黑" w:hAnsi="微软雅黑" w:eastAsia="微软雅黑" w:cs="微软雅黑"/>
      <w:color w:val="000000"/>
      <w:sz w:val="18"/>
      <w:szCs w:val="18"/>
      <w:u w:val="none"/>
    </w:rPr>
  </w:style>
  <w:style w:type="paragraph" w:styleId="1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2985</Words>
  <Characters>3413</Characters>
  <Lines>18</Lines>
  <Paragraphs>5</Paragraphs>
  <TotalTime>3</TotalTime>
  <ScaleCrop>false</ScaleCrop>
  <LinksUpToDate>false</LinksUpToDate>
  <CharactersWithSpaces>3433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2026-03-02T10:00:00Z</dcterms:created>
  <dc:creator>admin</dc:creator>
  <cp:lastModifiedBy>潘天祥</cp:lastModifiedBy>
  <dcterms:modified xsi:type="dcterms:W3CDTF">2026-07-24T09:51:45Z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09E702F653BD44708D614ABAC39E59BA_13</vt:lpwstr>
  </property>
  <property fmtid="{D5CDD505-2E9C-101B-9397-08002B2CF9AE}" pid="4" name="KSOTemplateDocerSaveRecord">
    <vt:lpwstr>eyJoZGlkIjoiYThhYjEyNWZhZGZhNGVjOTYzZTIxMjgzN2JiZjI4YjUiLCJ1c2VySWQiOiIxNzY2MTAwMTE4In0=</vt:lpwstr>
  </property>
</Properties>
</file>