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28D02D">
      <w:pPr>
        <w:pStyle w:val="3"/>
        <w:ind w:left="482" w:hanging="482" w:hangingChars="100"/>
        <w:jc w:val="center"/>
        <w:rPr>
          <w:rFonts w:cs="Times New Roman"/>
        </w:rPr>
      </w:pPr>
      <w:r>
        <w:rPr>
          <w:rFonts w:hint="eastAsia" w:asciiTheme="majorEastAsia" w:hAnsiTheme="majorEastAsia" w:cstheme="majorEastAsia"/>
          <w:sz w:val="48"/>
          <w:szCs w:val="56"/>
          <w:lang w:val="en-US" w:eastAsia="zh-CN"/>
        </w:rPr>
        <w:t>电子病历业务系统日志智能管理平台项目需求</w:t>
      </w:r>
    </w:p>
    <w:p w14:paraId="118DDB36">
      <w:pPr>
        <w:spacing w:line="360" w:lineRule="auto"/>
        <w:rPr>
          <w:rFonts w:hint="default" w:ascii="宋体" w:hAnsi="宋体" w:eastAsiaTheme="minorEastAsia"/>
          <w:b/>
          <w:bCs/>
          <w:sz w:val="32"/>
          <w:szCs w:val="32"/>
          <w:lang w:val="en-US" w:eastAsia="zh-CN"/>
        </w:rPr>
      </w:pPr>
      <w:r>
        <w:rPr>
          <w:rFonts w:hint="eastAsia" w:asciiTheme="majorHAnsi" w:hAnsiTheme="majorHAnsi" w:eastAsiaTheme="majorEastAsia" w:cstheme="majorBidi"/>
          <w:b/>
          <w:bCs/>
          <w:kern w:val="2"/>
          <w:sz w:val="32"/>
          <w:szCs w:val="32"/>
          <w:lang w:val="en-US" w:eastAsia="zh-CN" w:bidi="ar-SA"/>
        </w:rPr>
        <w:t>一、项目名称</w:t>
      </w:r>
      <w:r>
        <w:rPr>
          <w:rFonts w:hint="eastAsia" w:ascii="宋体" w:hAnsi="宋体"/>
          <w:sz w:val="28"/>
          <w:szCs w:val="28"/>
          <w:lang w:val="en-US" w:eastAsia="zh-CN"/>
        </w:rPr>
        <w:br w:type="textWrapping"/>
      </w:r>
      <w:r>
        <w:rPr>
          <w:rFonts w:hint="eastAsia" w:ascii="宋体" w:hAnsi="宋体"/>
          <w:sz w:val="28"/>
          <w:szCs w:val="28"/>
          <w:lang w:val="en-US" w:eastAsia="zh-CN"/>
        </w:rPr>
        <w:t>项目名称：电子病历业务系统日志智能管理平台</w:t>
      </w:r>
      <w:bookmarkStart w:id="0" w:name="_GoBack"/>
      <w:bookmarkEnd w:id="0"/>
    </w:p>
    <w:p w14:paraId="08A66D74">
      <w:pPr>
        <w:pStyle w:val="3"/>
      </w:pPr>
      <w:r>
        <w:rPr>
          <w:rFonts w:hint="eastAsia"/>
        </w:rPr>
        <w:t>二、项目背景</w:t>
      </w:r>
    </w:p>
    <w:p w14:paraId="7E1E29AE">
      <w:pPr>
        <w:spacing w:line="360" w:lineRule="auto"/>
        <w:ind w:firstLine="560" w:firstLineChars="200"/>
        <w:jc w:val="both"/>
        <w:rPr>
          <w:rFonts w:ascii="宋体" w:hAnsi="宋体"/>
          <w:sz w:val="28"/>
          <w:szCs w:val="28"/>
        </w:rPr>
      </w:pPr>
      <w:r>
        <w:rPr>
          <w:rFonts w:hint="eastAsia" w:ascii="宋体" w:hAnsi="宋体"/>
          <w:sz w:val="28"/>
          <w:szCs w:val="28"/>
        </w:rPr>
        <w:t>随着医疗数字化转型深化，网络攻击、数据</w:t>
      </w:r>
      <w:r>
        <w:rPr>
          <w:rFonts w:hint="eastAsia" w:ascii="宋体" w:hAnsi="宋体"/>
          <w:sz w:val="28"/>
          <w:szCs w:val="28"/>
          <w:lang w:eastAsia="zh-CN"/>
        </w:rPr>
        <w:t>泄漏</w:t>
      </w:r>
      <w:r>
        <w:rPr>
          <w:rFonts w:hint="eastAsia" w:ascii="宋体" w:hAnsi="宋体"/>
          <w:sz w:val="28"/>
          <w:szCs w:val="28"/>
        </w:rPr>
        <w:t>风险持续加剧，同时需严格满足网络安全合规要求。现有安全体系存在告警分散、研判效率偏低、业务侧安全感知不足等短板，难以适配医院复杂业务场景的高等级防护需求。</w:t>
      </w:r>
    </w:p>
    <w:p w14:paraId="0952846D">
      <w:pPr>
        <w:jc w:val="both"/>
        <w:rPr>
          <w:rFonts w:hint="eastAsia" w:ascii="宋体" w:hAnsi="宋体"/>
          <w:sz w:val="28"/>
          <w:szCs w:val="28"/>
        </w:rPr>
      </w:pPr>
      <w:r>
        <w:rPr>
          <w:rFonts w:hint="eastAsia" w:ascii="宋体" w:hAnsi="宋体"/>
          <w:sz w:val="28"/>
          <w:szCs w:val="28"/>
          <w:lang w:val="en-US" w:eastAsia="zh-CN"/>
        </w:rPr>
        <w:t xml:space="preserve">    </w:t>
      </w:r>
      <w:r>
        <w:rPr>
          <w:rFonts w:hint="eastAsia" w:ascii="宋体" w:hAnsi="宋体"/>
          <w:sz w:val="28"/>
          <w:szCs w:val="28"/>
        </w:rPr>
        <w:t>为全面提升安全运营</w:t>
      </w:r>
      <w:r>
        <w:rPr>
          <w:rFonts w:hint="eastAsia" w:ascii="宋体" w:hAnsi="宋体"/>
          <w:sz w:val="28"/>
          <w:szCs w:val="28"/>
          <w:lang w:val="en-US" w:eastAsia="zh-CN"/>
        </w:rPr>
        <w:t>监测的</w:t>
      </w:r>
      <w:r>
        <w:rPr>
          <w:rFonts w:hint="eastAsia" w:ascii="宋体" w:hAnsi="宋体"/>
          <w:sz w:val="28"/>
          <w:szCs w:val="28"/>
        </w:rPr>
        <w:t>智能化水平，强化安全防护能力，</w:t>
      </w:r>
      <w:r>
        <w:rPr>
          <w:rFonts w:hint="eastAsia" w:ascii="宋体" w:hAnsi="宋体"/>
          <w:sz w:val="28"/>
          <w:szCs w:val="28"/>
          <w:lang w:val="en-US" w:eastAsia="zh-CN"/>
        </w:rPr>
        <w:t>我</w:t>
      </w:r>
      <w:r>
        <w:rPr>
          <w:rFonts w:hint="eastAsia" w:ascii="宋体" w:hAnsi="宋体"/>
          <w:sz w:val="28"/>
          <w:szCs w:val="28"/>
        </w:rPr>
        <w:t>院启动</w:t>
      </w:r>
      <w:r>
        <w:rPr>
          <w:rFonts w:hint="eastAsia" w:ascii="宋体" w:hAnsi="宋体"/>
          <w:sz w:val="28"/>
          <w:szCs w:val="28"/>
          <w:lang w:val="en-US" w:eastAsia="zh-CN"/>
        </w:rPr>
        <w:t>电子病历业务系统日志智能管理平台</w:t>
      </w:r>
      <w:r>
        <w:rPr>
          <w:rFonts w:hint="eastAsia" w:ascii="宋体" w:hAnsi="宋体"/>
          <w:sz w:val="28"/>
          <w:szCs w:val="28"/>
        </w:rPr>
        <w:t>项目。项目依托安全智能体技术，打通设备联动、业务安全分析、可视化报表全链路，构建适配医疗场景的</w:t>
      </w:r>
      <w:r>
        <w:rPr>
          <w:rFonts w:hint="eastAsia" w:ascii="宋体" w:hAnsi="宋体"/>
          <w:sz w:val="28"/>
          <w:szCs w:val="28"/>
          <w:lang w:eastAsia="zh-CN"/>
        </w:rPr>
        <w:t>“</w:t>
      </w:r>
      <w:r>
        <w:rPr>
          <w:rFonts w:hint="eastAsia" w:ascii="宋体" w:hAnsi="宋体"/>
          <w:sz w:val="28"/>
          <w:szCs w:val="28"/>
        </w:rPr>
        <w:t>采集-分析-处置</w:t>
      </w:r>
      <w:r>
        <w:rPr>
          <w:rFonts w:hint="eastAsia" w:ascii="宋体" w:hAnsi="宋体"/>
          <w:sz w:val="28"/>
          <w:szCs w:val="28"/>
          <w:lang w:eastAsia="zh-CN"/>
        </w:rPr>
        <w:t>”</w:t>
      </w:r>
      <w:r>
        <w:rPr>
          <w:rFonts w:hint="eastAsia" w:ascii="宋体" w:hAnsi="宋体"/>
          <w:sz w:val="28"/>
          <w:szCs w:val="28"/>
        </w:rPr>
        <w:t>闭环运营体系，实现安全运营降本提效与合规风险闭环管控</w:t>
      </w:r>
      <w:r>
        <w:rPr>
          <w:rFonts w:hint="eastAsia" w:ascii="宋体" w:hAnsi="宋体"/>
          <w:sz w:val="28"/>
          <w:szCs w:val="28"/>
          <w:lang w:val="en-US" w:eastAsia="zh-CN"/>
        </w:rPr>
        <w:t>。</w:t>
      </w:r>
      <w:r>
        <w:rPr>
          <w:rFonts w:hint="eastAsia" w:ascii="宋体" w:hAnsi="宋体"/>
          <w:sz w:val="28"/>
          <w:szCs w:val="28"/>
        </w:rPr>
        <w:br w:type="textWrapping"/>
      </w:r>
      <w:r>
        <w:rPr>
          <w:rFonts w:hint="eastAsia" w:asciiTheme="majorHAnsi" w:hAnsiTheme="majorHAnsi" w:eastAsiaTheme="majorEastAsia" w:cstheme="majorBidi"/>
          <w:b/>
          <w:bCs/>
          <w:kern w:val="2"/>
          <w:sz w:val="32"/>
          <w:szCs w:val="32"/>
          <w:lang w:val="en-US" w:eastAsia="zh-CN" w:bidi="ar-SA"/>
        </w:rPr>
        <w:t>三、采购需求</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5"/>
        <w:gridCol w:w="3320"/>
        <w:gridCol w:w="4307"/>
      </w:tblGrid>
      <w:tr w14:paraId="362F12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trPr>
        <w:tc>
          <w:tcPr>
            <w:tcW w:w="895" w:type="dxa"/>
            <w:vAlign w:val="top"/>
          </w:tcPr>
          <w:p w14:paraId="6E582C5F">
            <w:pPr>
              <w:jc w:val="center"/>
              <w:rPr>
                <w:rFonts w:hint="eastAsia" w:ascii="宋体" w:hAnsi="宋体" w:eastAsiaTheme="minorEastAsia"/>
                <w:sz w:val="28"/>
                <w:szCs w:val="28"/>
                <w:vertAlign w:val="baseline"/>
                <w:lang w:val="en-US" w:eastAsia="zh-CN"/>
              </w:rPr>
            </w:pPr>
            <w:r>
              <w:rPr>
                <w:rFonts w:hint="eastAsia" w:ascii="宋体" w:hAnsi="宋体"/>
                <w:sz w:val="28"/>
                <w:szCs w:val="28"/>
                <w:vertAlign w:val="baseline"/>
                <w:lang w:val="en-US" w:eastAsia="zh-CN"/>
              </w:rPr>
              <w:t>序号</w:t>
            </w:r>
          </w:p>
        </w:tc>
        <w:tc>
          <w:tcPr>
            <w:tcW w:w="3320" w:type="dxa"/>
            <w:vAlign w:val="top"/>
          </w:tcPr>
          <w:p w14:paraId="4A49F474">
            <w:pPr>
              <w:jc w:val="center"/>
              <w:rPr>
                <w:rFonts w:hint="eastAsia" w:ascii="宋体" w:hAnsi="宋体" w:eastAsiaTheme="minorEastAsia"/>
                <w:sz w:val="28"/>
                <w:szCs w:val="28"/>
                <w:vertAlign w:val="baseline"/>
                <w:lang w:val="en-US" w:eastAsia="zh-CN"/>
              </w:rPr>
            </w:pPr>
            <w:r>
              <w:rPr>
                <w:rFonts w:hint="eastAsia" w:ascii="宋体" w:hAnsi="宋体"/>
                <w:sz w:val="28"/>
                <w:szCs w:val="28"/>
                <w:vertAlign w:val="baseline"/>
                <w:lang w:val="en-US" w:eastAsia="zh-CN"/>
              </w:rPr>
              <w:t>模块</w:t>
            </w:r>
          </w:p>
        </w:tc>
        <w:tc>
          <w:tcPr>
            <w:tcW w:w="4307" w:type="dxa"/>
            <w:vAlign w:val="top"/>
          </w:tcPr>
          <w:p w14:paraId="4EA53326">
            <w:pPr>
              <w:jc w:val="center"/>
              <w:rPr>
                <w:rFonts w:hint="eastAsia" w:ascii="宋体" w:hAnsi="宋体" w:eastAsiaTheme="minorEastAsia"/>
                <w:sz w:val="28"/>
                <w:szCs w:val="28"/>
                <w:vertAlign w:val="baseline"/>
                <w:lang w:val="en-US" w:eastAsia="zh-CN"/>
              </w:rPr>
            </w:pPr>
            <w:r>
              <w:rPr>
                <w:rFonts w:hint="eastAsia" w:ascii="宋体" w:hAnsi="宋体"/>
                <w:sz w:val="28"/>
                <w:szCs w:val="28"/>
                <w:vertAlign w:val="baseline"/>
                <w:lang w:val="en-US" w:eastAsia="zh-CN"/>
              </w:rPr>
              <w:t>需求</w:t>
            </w:r>
          </w:p>
        </w:tc>
      </w:tr>
      <w:tr w14:paraId="000B83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5" w:type="dxa"/>
            <w:vAlign w:val="top"/>
          </w:tcPr>
          <w:p w14:paraId="2078D794">
            <w:pPr>
              <w:jc w:val="center"/>
              <w:rPr>
                <w:rFonts w:hint="eastAsia" w:ascii="宋体" w:hAnsi="宋体" w:eastAsiaTheme="minorEastAsia"/>
                <w:sz w:val="28"/>
                <w:szCs w:val="28"/>
                <w:vertAlign w:val="baseline"/>
                <w:lang w:val="en-US" w:eastAsia="zh-CN"/>
              </w:rPr>
            </w:pPr>
            <w:r>
              <w:rPr>
                <w:rFonts w:hint="eastAsia" w:ascii="宋体" w:hAnsi="宋体"/>
                <w:sz w:val="28"/>
                <w:szCs w:val="28"/>
                <w:vertAlign w:val="baseline"/>
                <w:lang w:val="en-US" w:eastAsia="zh-CN"/>
              </w:rPr>
              <w:t>1</w:t>
            </w:r>
          </w:p>
        </w:tc>
        <w:tc>
          <w:tcPr>
            <w:tcW w:w="3320" w:type="dxa"/>
            <w:vAlign w:val="top"/>
          </w:tcPr>
          <w:p w14:paraId="7986CFE4">
            <w:pPr>
              <w:jc w:val="center"/>
              <w:rPr>
                <w:rFonts w:hint="eastAsia" w:ascii="宋体" w:hAnsi="宋体" w:eastAsiaTheme="minorEastAsia"/>
                <w:sz w:val="28"/>
                <w:szCs w:val="28"/>
                <w:vertAlign w:val="baseline"/>
                <w:lang w:val="en-US" w:eastAsia="zh-CN"/>
              </w:rPr>
            </w:pPr>
            <w:r>
              <w:rPr>
                <w:rFonts w:hint="eastAsia" w:ascii="宋体" w:hAnsi="宋体"/>
                <w:sz w:val="28"/>
                <w:szCs w:val="28"/>
                <w:vertAlign w:val="baseline"/>
                <w:lang w:val="en-US" w:eastAsia="zh-CN"/>
              </w:rPr>
              <w:t>日志采集</w:t>
            </w:r>
          </w:p>
        </w:tc>
        <w:tc>
          <w:tcPr>
            <w:tcW w:w="4307" w:type="dxa"/>
            <w:vAlign w:val="top"/>
          </w:tcPr>
          <w:p w14:paraId="02F3ED2B">
            <w:pPr>
              <w:jc w:val="center"/>
              <w:rPr>
                <w:rFonts w:hint="default" w:ascii="宋体" w:hAnsi="宋体" w:eastAsiaTheme="minorEastAsia"/>
                <w:sz w:val="28"/>
                <w:szCs w:val="28"/>
                <w:vertAlign w:val="baseline"/>
                <w:lang w:val="en-US" w:eastAsia="zh-CN"/>
              </w:rPr>
            </w:pPr>
            <w:r>
              <w:rPr>
                <w:rFonts w:hint="eastAsia" w:ascii="宋体" w:hAnsi="宋体"/>
                <w:sz w:val="28"/>
                <w:szCs w:val="28"/>
                <w:vertAlign w:val="baseline"/>
                <w:lang w:val="en-US" w:eastAsia="zh-CN"/>
              </w:rPr>
              <w:t>详见4.1</w:t>
            </w:r>
          </w:p>
        </w:tc>
      </w:tr>
      <w:tr w14:paraId="199693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5" w:type="dxa"/>
            <w:vAlign w:val="top"/>
          </w:tcPr>
          <w:p w14:paraId="5D67D6F4">
            <w:pPr>
              <w:jc w:val="center"/>
              <w:rPr>
                <w:rFonts w:hint="default" w:ascii="宋体" w:hAnsi="宋体"/>
                <w:sz w:val="28"/>
                <w:szCs w:val="28"/>
                <w:vertAlign w:val="baseline"/>
                <w:lang w:val="en-US" w:eastAsia="zh-CN"/>
              </w:rPr>
            </w:pPr>
            <w:r>
              <w:rPr>
                <w:rFonts w:hint="eastAsia" w:ascii="宋体" w:hAnsi="宋体"/>
                <w:sz w:val="28"/>
                <w:szCs w:val="28"/>
                <w:vertAlign w:val="baseline"/>
                <w:lang w:val="en-US" w:eastAsia="zh-CN"/>
              </w:rPr>
              <w:t>2</w:t>
            </w:r>
          </w:p>
        </w:tc>
        <w:tc>
          <w:tcPr>
            <w:tcW w:w="3320" w:type="dxa"/>
            <w:vAlign w:val="top"/>
          </w:tcPr>
          <w:p w14:paraId="42BE73D9">
            <w:pPr>
              <w:jc w:val="center"/>
              <w:rPr>
                <w:rFonts w:hint="eastAsia" w:ascii="宋体" w:hAnsi="宋体"/>
                <w:sz w:val="28"/>
                <w:szCs w:val="28"/>
                <w:vertAlign w:val="baseline"/>
              </w:rPr>
            </w:pPr>
            <w:r>
              <w:rPr>
                <w:rFonts w:hint="eastAsia" w:ascii="宋体" w:hAnsi="宋体"/>
                <w:sz w:val="28"/>
                <w:szCs w:val="28"/>
                <w:vertAlign w:val="baseline"/>
                <w:lang w:val="en-US" w:eastAsia="zh-CN"/>
              </w:rPr>
              <w:t>数据处理与存储</w:t>
            </w:r>
          </w:p>
        </w:tc>
        <w:tc>
          <w:tcPr>
            <w:tcW w:w="4307" w:type="dxa"/>
            <w:vAlign w:val="top"/>
          </w:tcPr>
          <w:p w14:paraId="7D3210A7">
            <w:pPr>
              <w:jc w:val="center"/>
              <w:rPr>
                <w:rFonts w:hint="default" w:ascii="宋体" w:hAnsi="宋体"/>
                <w:sz w:val="28"/>
                <w:szCs w:val="28"/>
                <w:vertAlign w:val="baseline"/>
                <w:lang w:val="en-US"/>
              </w:rPr>
            </w:pPr>
            <w:r>
              <w:rPr>
                <w:rFonts w:hint="eastAsia" w:ascii="宋体" w:hAnsi="宋体"/>
                <w:sz w:val="28"/>
                <w:szCs w:val="28"/>
                <w:vertAlign w:val="baseline"/>
                <w:lang w:val="en-US" w:eastAsia="zh-CN"/>
              </w:rPr>
              <w:t>详见4.2</w:t>
            </w:r>
          </w:p>
        </w:tc>
      </w:tr>
      <w:tr w14:paraId="311B7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5" w:type="dxa"/>
            <w:vAlign w:val="top"/>
          </w:tcPr>
          <w:p w14:paraId="09CFDF1B">
            <w:pPr>
              <w:jc w:val="center"/>
              <w:rPr>
                <w:rFonts w:hint="default" w:ascii="宋体" w:hAnsi="宋体"/>
                <w:sz w:val="28"/>
                <w:szCs w:val="28"/>
                <w:vertAlign w:val="baseline"/>
                <w:lang w:val="en-US" w:eastAsia="zh-CN"/>
              </w:rPr>
            </w:pPr>
            <w:r>
              <w:rPr>
                <w:rFonts w:hint="eastAsia" w:ascii="宋体" w:hAnsi="宋体"/>
                <w:sz w:val="28"/>
                <w:szCs w:val="28"/>
                <w:vertAlign w:val="baseline"/>
                <w:lang w:val="en-US" w:eastAsia="zh-CN"/>
              </w:rPr>
              <w:t>3</w:t>
            </w:r>
          </w:p>
        </w:tc>
        <w:tc>
          <w:tcPr>
            <w:tcW w:w="3320" w:type="dxa"/>
            <w:vAlign w:val="top"/>
          </w:tcPr>
          <w:p w14:paraId="0237181A">
            <w:pPr>
              <w:jc w:val="center"/>
              <w:rPr>
                <w:rFonts w:hint="eastAsia" w:ascii="宋体" w:hAnsi="宋体"/>
                <w:b w:val="0"/>
                <w:bCs w:val="0"/>
                <w:sz w:val="28"/>
                <w:szCs w:val="28"/>
                <w:vertAlign w:val="baseline"/>
              </w:rPr>
            </w:pPr>
            <w:r>
              <w:rPr>
                <w:rFonts w:hint="eastAsia" w:ascii="宋体" w:hAnsi="宋体"/>
                <w:b w:val="0"/>
                <w:bCs w:val="0"/>
                <w:sz w:val="28"/>
                <w:szCs w:val="28"/>
                <w:vertAlign w:val="baseline"/>
                <w:lang w:val="en-US" w:eastAsia="zh-CN"/>
              </w:rPr>
              <w:t>分析检测</w:t>
            </w:r>
          </w:p>
        </w:tc>
        <w:tc>
          <w:tcPr>
            <w:tcW w:w="4307" w:type="dxa"/>
            <w:vAlign w:val="top"/>
          </w:tcPr>
          <w:p w14:paraId="1CC09F58">
            <w:pPr>
              <w:jc w:val="center"/>
              <w:rPr>
                <w:rFonts w:hint="default" w:ascii="宋体" w:hAnsi="宋体"/>
                <w:sz w:val="28"/>
                <w:szCs w:val="28"/>
                <w:vertAlign w:val="baseline"/>
                <w:lang w:val="en-US"/>
              </w:rPr>
            </w:pPr>
            <w:r>
              <w:rPr>
                <w:rFonts w:hint="eastAsia" w:ascii="宋体" w:hAnsi="宋体"/>
                <w:sz w:val="28"/>
                <w:szCs w:val="28"/>
                <w:vertAlign w:val="baseline"/>
                <w:lang w:val="en-US" w:eastAsia="zh-CN"/>
              </w:rPr>
              <w:t>详见4.3</w:t>
            </w:r>
          </w:p>
        </w:tc>
      </w:tr>
      <w:tr w14:paraId="74A5B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5" w:type="dxa"/>
            <w:vAlign w:val="top"/>
          </w:tcPr>
          <w:p w14:paraId="1D535D24">
            <w:pPr>
              <w:jc w:val="center"/>
              <w:rPr>
                <w:rFonts w:hint="default" w:ascii="宋体" w:hAnsi="宋体"/>
                <w:sz w:val="28"/>
                <w:szCs w:val="28"/>
                <w:vertAlign w:val="baseline"/>
                <w:lang w:val="en-US" w:eastAsia="zh-CN"/>
              </w:rPr>
            </w:pPr>
            <w:r>
              <w:rPr>
                <w:rFonts w:hint="eastAsia" w:ascii="宋体" w:hAnsi="宋体"/>
                <w:sz w:val="28"/>
                <w:szCs w:val="28"/>
                <w:vertAlign w:val="baseline"/>
                <w:lang w:val="en-US" w:eastAsia="zh-CN"/>
              </w:rPr>
              <w:t>4</w:t>
            </w:r>
          </w:p>
        </w:tc>
        <w:tc>
          <w:tcPr>
            <w:tcW w:w="3320" w:type="dxa"/>
            <w:vAlign w:val="top"/>
          </w:tcPr>
          <w:p w14:paraId="69C04735">
            <w:pPr>
              <w:jc w:val="center"/>
              <w:rPr>
                <w:rFonts w:hint="eastAsia" w:ascii="宋体" w:hAnsi="宋体"/>
                <w:b w:val="0"/>
                <w:bCs w:val="0"/>
                <w:sz w:val="28"/>
                <w:szCs w:val="28"/>
                <w:vertAlign w:val="baseline"/>
              </w:rPr>
            </w:pPr>
            <w:r>
              <w:rPr>
                <w:rFonts w:hint="eastAsia" w:ascii="宋体" w:hAnsi="宋体" w:eastAsia="宋体" w:cs="宋体"/>
                <w:b w:val="0"/>
                <w:bCs w:val="0"/>
                <w:sz w:val="28"/>
                <w:szCs w:val="28"/>
                <w:lang w:eastAsia="zh-CN"/>
              </w:rPr>
              <w:t>可视化与交互</w:t>
            </w:r>
          </w:p>
        </w:tc>
        <w:tc>
          <w:tcPr>
            <w:tcW w:w="4307" w:type="dxa"/>
            <w:vAlign w:val="top"/>
          </w:tcPr>
          <w:p w14:paraId="1B6661A0">
            <w:pPr>
              <w:jc w:val="center"/>
              <w:rPr>
                <w:rFonts w:hint="default" w:ascii="宋体" w:hAnsi="宋体"/>
                <w:sz w:val="28"/>
                <w:szCs w:val="28"/>
                <w:vertAlign w:val="baseline"/>
                <w:lang w:val="en-US"/>
              </w:rPr>
            </w:pPr>
            <w:r>
              <w:rPr>
                <w:rFonts w:hint="eastAsia" w:ascii="宋体" w:hAnsi="宋体"/>
                <w:sz w:val="28"/>
                <w:szCs w:val="28"/>
                <w:vertAlign w:val="baseline"/>
                <w:lang w:val="en-US" w:eastAsia="zh-CN"/>
              </w:rPr>
              <w:t>详见4.4</w:t>
            </w:r>
          </w:p>
        </w:tc>
      </w:tr>
      <w:tr w14:paraId="012717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5" w:type="dxa"/>
            <w:vAlign w:val="top"/>
          </w:tcPr>
          <w:p w14:paraId="0463FDB4">
            <w:pPr>
              <w:jc w:val="center"/>
              <w:rPr>
                <w:rFonts w:hint="default" w:ascii="宋体" w:hAnsi="宋体"/>
                <w:sz w:val="28"/>
                <w:szCs w:val="28"/>
                <w:vertAlign w:val="baseline"/>
                <w:lang w:val="en-US" w:eastAsia="zh-CN"/>
              </w:rPr>
            </w:pPr>
            <w:r>
              <w:rPr>
                <w:rFonts w:hint="eastAsia" w:ascii="宋体" w:hAnsi="宋体"/>
                <w:sz w:val="28"/>
                <w:szCs w:val="28"/>
                <w:vertAlign w:val="baseline"/>
                <w:lang w:val="en-US" w:eastAsia="zh-CN"/>
              </w:rPr>
              <w:t>5</w:t>
            </w:r>
          </w:p>
        </w:tc>
        <w:tc>
          <w:tcPr>
            <w:tcW w:w="3320" w:type="dxa"/>
            <w:vAlign w:val="top"/>
          </w:tcPr>
          <w:p w14:paraId="2A82FEA3">
            <w:pPr>
              <w:jc w:val="center"/>
              <w:rPr>
                <w:rFonts w:hint="eastAsia" w:ascii="宋体" w:hAnsi="宋体"/>
                <w:b w:val="0"/>
                <w:bCs w:val="0"/>
                <w:sz w:val="28"/>
                <w:szCs w:val="28"/>
                <w:vertAlign w:val="baseline"/>
              </w:rPr>
            </w:pPr>
            <w:r>
              <w:rPr>
                <w:rFonts w:hint="eastAsia" w:ascii="宋体" w:hAnsi="宋体" w:eastAsia="宋体" w:cs="宋体"/>
                <w:b w:val="0"/>
                <w:bCs w:val="0"/>
                <w:sz w:val="28"/>
                <w:szCs w:val="28"/>
                <w:lang w:val="en-US" w:eastAsia="zh-CN"/>
              </w:rPr>
              <w:t>告警与响应</w:t>
            </w:r>
          </w:p>
        </w:tc>
        <w:tc>
          <w:tcPr>
            <w:tcW w:w="4307" w:type="dxa"/>
            <w:vAlign w:val="top"/>
          </w:tcPr>
          <w:p w14:paraId="66C2E1FA">
            <w:pPr>
              <w:jc w:val="center"/>
              <w:rPr>
                <w:rFonts w:hint="default" w:ascii="宋体" w:hAnsi="宋体"/>
                <w:sz w:val="28"/>
                <w:szCs w:val="28"/>
                <w:vertAlign w:val="baseline"/>
                <w:lang w:val="en-US"/>
              </w:rPr>
            </w:pPr>
            <w:r>
              <w:rPr>
                <w:rFonts w:hint="eastAsia" w:ascii="宋体" w:hAnsi="宋体"/>
                <w:sz w:val="28"/>
                <w:szCs w:val="28"/>
                <w:vertAlign w:val="baseline"/>
                <w:lang w:val="en-US" w:eastAsia="zh-CN"/>
              </w:rPr>
              <w:t>详见4.5</w:t>
            </w:r>
          </w:p>
        </w:tc>
      </w:tr>
      <w:tr w14:paraId="1D8E2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5" w:type="dxa"/>
            <w:vAlign w:val="top"/>
          </w:tcPr>
          <w:p w14:paraId="3668753A">
            <w:pPr>
              <w:jc w:val="center"/>
              <w:rPr>
                <w:rFonts w:hint="default" w:ascii="宋体" w:hAnsi="宋体"/>
                <w:sz w:val="28"/>
                <w:szCs w:val="28"/>
                <w:vertAlign w:val="baseline"/>
                <w:lang w:val="en-US" w:eastAsia="zh-CN"/>
              </w:rPr>
            </w:pPr>
            <w:r>
              <w:rPr>
                <w:rFonts w:hint="eastAsia" w:ascii="宋体" w:hAnsi="宋体"/>
                <w:sz w:val="28"/>
                <w:szCs w:val="28"/>
                <w:vertAlign w:val="baseline"/>
                <w:lang w:val="en-US" w:eastAsia="zh-CN"/>
              </w:rPr>
              <w:t>6</w:t>
            </w:r>
          </w:p>
        </w:tc>
        <w:tc>
          <w:tcPr>
            <w:tcW w:w="3320" w:type="dxa"/>
            <w:vAlign w:val="top"/>
          </w:tcPr>
          <w:p w14:paraId="6E10D6F3">
            <w:pPr>
              <w:jc w:val="center"/>
              <w:rPr>
                <w:rFonts w:hint="eastAsia" w:ascii="宋体" w:hAnsi="宋体"/>
                <w:b w:val="0"/>
                <w:bCs w:val="0"/>
                <w:sz w:val="28"/>
                <w:szCs w:val="28"/>
                <w:vertAlign w:val="baseline"/>
              </w:rPr>
            </w:pPr>
            <w:r>
              <w:rPr>
                <w:rFonts w:hint="eastAsia" w:ascii="宋体" w:hAnsi="宋体" w:eastAsia="宋体" w:cs="宋体"/>
                <w:b w:val="0"/>
                <w:bCs w:val="0"/>
                <w:sz w:val="28"/>
                <w:szCs w:val="28"/>
                <w:lang w:val="en-US" w:eastAsia="zh-CN"/>
              </w:rPr>
              <w:t>风险管理</w:t>
            </w:r>
          </w:p>
        </w:tc>
        <w:tc>
          <w:tcPr>
            <w:tcW w:w="4307" w:type="dxa"/>
            <w:vAlign w:val="top"/>
          </w:tcPr>
          <w:p w14:paraId="5D78C5CB">
            <w:pPr>
              <w:jc w:val="center"/>
              <w:rPr>
                <w:rFonts w:hint="default" w:ascii="宋体" w:hAnsi="宋体"/>
                <w:sz w:val="28"/>
                <w:szCs w:val="28"/>
                <w:vertAlign w:val="baseline"/>
                <w:lang w:val="en-US"/>
              </w:rPr>
            </w:pPr>
            <w:r>
              <w:rPr>
                <w:rFonts w:hint="eastAsia" w:ascii="宋体" w:hAnsi="宋体"/>
                <w:sz w:val="28"/>
                <w:szCs w:val="28"/>
                <w:vertAlign w:val="baseline"/>
                <w:lang w:val="en-US" w:eastAsia="zh-CN"/>
              </w:rPr>
              <w:t>详见4.6</w:t>
            </w:r>
          </w:p>
        </w:tc>
      </w:tr>
      <w:tr w14:paraId="782D0C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5" w:type="dxa"/>
            <w:vAlign w:val="top"/>
          </w:tcPr>
          <w:p w14:paraId="211BE81E">
            <w:pPr>
              <w:jc w:val="center"/>
              <w:rPr>
                <w:rFonts w:hint="default" w:ascii="宋体" w:hAnsi="宋体"/>
                <w:sz w:val="28"/>
                <w:szCs w:val="28"/>
                <w:vertAlign w:val="baseline"/>
                <w:lang w:val="en-US" w:eastAsia="zh-CN"/>
              </w:rPr>
            </w:pPr>
            <w:r>
              <w:rPr>
                <w:rFonts w:hint="eastAsia" w:ascii="宋体" w:hAnsi="宋体"/>
                <w:sz w:val="28"/>
                <w:szCs w:val="28"/>
                <w:vertAlign w:val="baseline"/>
                <w:lang w:val="en-US" w:eastAsia="zh-CN"/>
              </w:rPr>
              <w:t>7</w:t>
            </w:r>
          </w:p>
        </w:tc>
        <w:tc>
          <w:tcPr>
            <w:tcW w:w="3320" w:type="dxa"/>
            <w:vAlign w:val="top"/>
          </w:tcPr>
          <w:p w14:paraId="5AF32093">
            <w:pPr>
              <w:jc w:val="center"/>
              <w:rPr>
                <w:rFonts w:hint="eastAsia" w:ascii="宋体" w:hAnsi="宋体"/>
                <w:b w:val="0"/>
                <w:bCs w:val="0"/>
                <w:sz w:val="28"/>
                <w:szCs w:val="28"/>
                <w:vertAlign w:val="baseline"/>
              </w:rPr>
            </w:pPr>
            <w:r>
              <w:rPr>
                <w:rFonts w:hint="eastAsia" w:ascii="宋体" w:hAnsi="宋体" w:eastAsia="宋体" w:cs="宋体"/>
                <w:b w:val="0"/>
                <w:bCs w:val="0"/>
                <w:sz w:val="28"/>
                <w:szCs w:val="28"/>
                <w:lang w:val="en-US" w:eastAsia="zh-CN"/>
              </w:rPr>
              <w:t>大模型应用</w:t>
            </w:r>
          </w:p>
        </w:tc>
        <w:tc>
          <w:tcPr>
            <w:tcW w:w="4307" w:type="dxa"/>
            <w:vAlign w:val="top"/>
          </w:tcPr>
          <w:p w14:paraId="729C8415">
            <w:pPr>
              <w:jc w:val="center"/>
              <w:rPr>
                <w:rFonts w:hint="default" w:ascii="宋体" w:hAnsi="宋体"/>
                <w:sz w:val="28"/>
                <w:szCs w:val="28"/>
                <w:vertAlign w:val="baseline"/>
                <w:lang w:val="en-US"/>
              </w:rPr>
            </w:pPr>
            <w:r>
              <w:rPr>
                <w:rFonts w:hint="eastAsia" w:ascii="宋体" w:hAnsi="宋体"/>
                <w:sz w:val="28"/>
                <w:szCs w:val="28"/>
                <w:vertAlign w:val="baseline"/>
                <w:lang w:val="en-US" w:eastAsia="zh-CN"/>
              </w:rPr>
              <w:t>详见4.7</w:t>
            </w:r>
          </w:p>
        </w:tc>
      </w:tr>
      <w:tr w14:paraId="7EC60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5" w:type="dxa"/>
            <w:vAlign w:val="top"/>
          </w:tcPr>
          <w:p w14:paraId="27357846">
            <w:pPr>
              <w:jc w:val="center"/>
              <w:rPr>
                <w:rFonts w:hint="default" w:ascii="宋体" w:hAnsi="宋体"/>
                <w:sz w:val="28"/>
                <w:szCs w:val="28"/>
                <w:vertAlign w:val="baseline"/>
                <w:lang w:val="en-US" w:eastAsia="zh-CN"/>
              </w:rPr>
            </w:pPr>
            <w:r>
              <w:rPr>
                <w:rFonts w:hint="eastAsia" w:ascii="宋体" w:hAnsi="宋体"/>
                <w:sz w:val="28"/>
                <w:szCs w:val="28"/>
                <w:vertAlign w:val="baseline"/>
                <w:lang w:val="en-US" w:eastAsia="zh-CN"/>
              </w:rPr>
              <w:t>8</w:t>
            </w:r>
          </w:p>
        </w:tc>
        <w:tc>
          <w:tcPr>
            <w:tcW w:w="3320" w:type="dxa"/>
            <w:vAlign w:val="top"/>
          </w:tcPr>
          <w:p w14:paraId="2B5322A3">
            <w:pPr>
              <w:jc w:val="center"/>
              <w:rPr>
                <w:rFonts w:hint="eastAsia" w:ascii="宋体" w:hAnsi="宋体"/>
                <w:b w:val="0"/>
                <w:bCs w:val="0"/>
                <w:sz w:val="28"/>
                <w:szCs w:val="28"/>
                <w:vertAlign w:val="baseline"/>
              </w:rPr>
            </w:pPr>
            <w:r>
              <w:rPr>
                <w:rFonts w:hint="eastAsia" w:ascii="宋体" w:hAnsi="宋体" w:eastAsia="宋体" w:cs="宋体"/>
                <w:b w:val="0"/>
                <w:bCs w:val="0"/>
                <w:sz w:val="28"/>
                <w:szCs w:val="28"/>
                <w:lang w:val="en-US" w:eastAsia="zh-CN"/>
              </w:rPr>
              <w:t>定制开发</w:t>
            </w:r>
          </w:p>
        </w:tc>
        <w:tc>
          <w:tcPr>
            <w:tcW w:w="4307" w:type="dxa"/>
            <w:vAlign w:val="top"/>
          </w:tcPr>
          <w:p w14:paraId="468E77CE">
            <w:pPr>
              <w:jc w:val="center"/>
              <w:rPr>
                <w:rFonts w:hint="default" w:ascii="宋体" w:hAnsi="宋体"/>
                <w:sz w:val="28"/>
                <w:szCs w:val="28"/>
                <w:vertAlign w:val="baseline"/>
                <w:lang w:val="en-US"/>
              </w:rPr>
            </w:pPr>
            <w:r>
              <w:rPr>
                <w:rFonts w:hint="eastAsia" w:ascii="宋体" w:hAnsi="宋体"/>
                <w:sz w:val="28"/>
                <w:szCs w:val="28"/>
                <w:vertAlign w:val="baseline"/>
                <w:lang w:val="en-US" w:eastAsia="zh-CN"/>
              </w:rPr>
              <w:t>详见4.8</w:t>
            </w:r>
          </w:p>
        </w:tc>
      </w:tr>
      <w:tr w14:paraId="411D6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5" w:type="dxa"/>
            <w:vAlign w:val="top"/>
          </w:tcPr>
          <w:p w14:paraId="4066EBE2">
            <w:pPr>
              <w:jc w:val="center"/>
              <w:rPr>
                <w:rFonts w:hint="default" w:ascii="宋体" w:hAnsi="宋体"/>
                <w:sz w:val="28"/>
                <w:szCs w:val="28"/>
                <w:vertAlign w:val="baseline"/>
                <w:lang w:val="en-US" w:eastAsia="zh-CN"/>
              </w:rPr>
            </w:pPr>
            <w:r>
              <w:rPr>
                <w:rFonts w:hint="eastAsia" w:ascii="宋体" w:hAnsi="宋体"/>
                <w:sz w:val="28"/>
                <w:szCs w:val="28"/>
                <w:vertAlign w:val="baseline"/>
                <w:lang w:val="en-US" w:eastAsia="zh-CN"/>
              </w:rPr>
              <w:t>9</w:t>
            </w:r>
          </w:p>
        </w:tc>
        <w:tc>
          <w:tcPr>
            <w:tcW w:w="3320" w:type="dxa"/>
            <w:vAlign w:val="top"/>
          </w:tcPr>
          <w:p w14:paraId="296166AF">
            <w:pPr>
              <w:jc w:val="center"/>
              <w:rPr>
                <w:rFonts w:hint="eastAsia" w:ascii="宋体" w:hAnsi="宋体"/>
                <w:b w:val="0"/>
                <w:bCs w:val="0"/>
                <w:sz w:val="28"/>
                <w:szCs w:val="28"/>
                <w:vertAlign w:val="baseline"/>
              </w:rPr>
            </w:pPr>
            <w:r>
              <w:rPr>
                <w:rFonts w:hint="eastAsia" w:ascii="宋体" w:hAnsi="宋体" w:eastAsia="宋体" w:cs="宋体"/>
                <w:b w:val="0"/>
                <w:bCs w:val="0"/>
                <w:sz w:val="28"/>
                <w:szCs w:val="28"/>
                <w:lang w:val="en-US" w:eastAsia="zh-CN"/>
              </w:rPr>
              <w:t>运维移动端</w:t>
            </w:r>
          </w:p>
        </w:tc>
        <w:tc>
          <w:tcPr>
            <w:tcW w:w="4307" w:type="dxa"/>
            <w:vAlign w:val="top"/>
          </w:tcPr>
          <w:p w14:paraId="61E4E7E6">
            <w:pPr>
              <w:jc w:val="center"/>
              <w:rPr>
                <w:rFonts w:hint="default" w:ascii="宋体" w:hAnsi="宋体"/>
                <w:sz w:val="28"/>
                <w:szCs w:val="28"/>
                <w:vertAlign w:val="baseline"/>
                <w:lang w:val="en-US"/>
              </w:rPr>
            </w:pPr>
            <w:r>
              <w:rPr>
                <w:rFonts w:hint="eastAsia" w:ascii="宋体" w:hAnsi="宋体"/>
                <w:sz w:val="28"/>
                <w:szCs w:val="28"/>
                <w:vertAlign w:val="baseline"/>
                <w:lang w:val="en-US" w:eastAsia="zh-CN"/>
              </w:rPr>
              <w:t>详见4.9</w:t>
            </w:r>
          </w:p>
        </w:tc>
      </w:tr>
      <w:tr w14:paraId="0F8DB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5" w:type="dxa"/>
            <w:vAlign w:val="top"/>
          </w:tcPr>
          <w:p w14:paraId="1C58060B">
            <w:pPr>
              <w:jc w:val="center"/>
              <w:rPr>
                <w:rFonts w:hint="default" w:ascii="宋体" w:hAnsi="宋体"/>
                <w:sz w:val="28"/>
                <w:szCs w:val="28"/>
                <w:vertAlign w:val="baseline"/>
                <w:lang w:val="en-US" w:eastAsia="zh-CN"/>
              </w:rPr>
            </w:pPr>
            <w:r>
              <w:rPr>
                <w:rFonts w:hint="eastAsia" w:ascii="宋体" w:hAnsi="宋体"/>
                <w:sz w:val="28"/>
                <w:szCs w:val="28"/>
                <w:vertAlign w:val="baseline"/>
                <w:lang w:val="en-US" w:eastAsia="zh-CN"/>
              </w:rPr>
              <w:t>10</w:t>
            </w:r>
          </w:p>
        </w:tc>
        <w:tc>
          <w:tcPr>
            <w:tcW w:w="3320" w:type="dxa"/>
            <w:vAlign w:val="top"/>
          </w:tcPr>
          <w:p w14:paraId="09F9DA68">
            <w:pPr>
              <w:jc w:val="center"/>
              <w:rPr>
                <w:rFonts w:hint="eastAsia" w:ascii="宋体" w:hAnsi="宋体"/>
                <w:b w:val="0"/>
                <w:bCs w:val="0"/>
                <w:sz w:val="28"/>
                <w:szCs w:val="28"/>
                <w:vertAlign w:val="baseline"/>
              </w:rPr>
            </w:pPr>
            <w:r>
              <w:rPr>
                <w:rFonts w:hint="eastAsia" w:ascii="宋体" w:hAnsi="宋体" w:eastAsia="宋体" w:cs="宋体"/>
                <w:b w:val="0"/>
                <w:bCs w:val="0"/>
                <w:sz w:val="28"/>
                <w:szCs w:val="28"/>
                <w:lang w:val="en-US" w:eastAsia="zh-CN"/>
              </w:rPr>
              <w:t>其他</w:t>
            </w:r>
          </w:p>
        </w:tc>
        <w:tc>
          <w:tcPr>
            <w:tcW w:w="4307" w:type="dxa"/>
            <w:vAlign w:val="top"/>
          </w:tcPr>
          <w:p w14:paraId="587550DF">
            <w:pPr>
              <w:jc w:val="center"/>
              <w:rPr>
                <w:rFonts w:hint="default" w:ascii="宋体" w:hAnsi="宋体"/>
                <w:sz w:val="28"/>
                <w:szCs w:val="28"/>
                <w:vertAlign w:val="baseline"/>
                <w:lang w:val="en-US"/>
              </w:rPr>
            </w:pPr>
            <w:r>
              <w:rPr>
                <w:rFonts w:hint="eastAsia" w:ascii="宋体" w:hAnsi="宋体"/>
                <w:sz w:val="28"/>
                <w:szCs w:val="28"/>
                <w:vertAlign w:val="baseline"/>
                <w:lang w:val="en-US" w:eastAsia="zh-CN"/>
              </w:rPr>
              <w:t>详见4.10</w:t>
            </w:r>
          </w:p>
        </w:tc>
      </w:tr>
    </w:tbl>
    <w:p w14:paraId="42F803AC">
      <w:pPr>
        <w:jc w:val="both"/>
        <w:rPr>
          <w:rFonts w:hint="eastAsia" w:ascii="宋体" w:hAnsi="宋体"/>
          <w:sz w:val="28"/>
          <w:szCs w:val="28"/>
          <w:lang w:val="en-US" w:eastAsia="zh-CN"/>
        </w:rPr>
      </w:pPr>
      <w:r>
        <w:rPr>
          <w:rFonts w:hint="eastAsia" w:ascii="宋体" w:hAnsi="宋体"/>
          <w:b/>
          <w:bCs/>
          <w:sz w:val="28"/>
          <w:szCs w:val="28"/>
          <w:lang w:val="en-US" w:eastAsia="zh-CN"/>
        </w:rPr>
        <w:t>4详细功能需求</w:t>
      </w:r>
      <w:r>
        <w:rPr>
          <w:rFonts w:hint="eastAsia" w:ascii="宋体" w:hAnsi="宋体"/>
          <w:sz w:val="28"/>
          <w:szCs w:val="28"/>
        </w:rPr>
        <w:br w:type="textWrapping"/>
      </w:r>
      <w:r>
        <w:rPr>
          <w:rFonts w:hint="eastAsia" w:ascii="宋体" w:hAnsi="宋体"/>
          <w:b/>
          <w:bCs/>
          <w:sz w:val="28"/>
          <w:szCs w:val="28"/>
          <w:lang w:val="en-US" w:eastAsia="zh-CN"/>
        </w:rPr>
        <w:t>4.1 日志采集</w:t>
      </w:r>
      <w:r>
        <w:rPr>
          <w:rFonts w:hint="eastAsia" w:ascii="宋体" w:hAnsi="宋体"/>
          <w:sz w:val="28"/>
          <w:szCs w:val="28"/>
          <w:lang w:val="en-US" w:eastAsia="zh-CN"/>
        </w:rPr>
        <w:br w:type="textWrapping"/>
      </w:r>
      <w:r>
        <w:rPr>
          <w:rFonts w:hint="eastAsia" w:ascii="宋体" w:hAnsi="宋体"/>
          <w:sz w:val="28"/>
          <w:szCs w:val="28"/>
          <w:lang w:val="en-US" w:eastAsia="zh-CN"/>
        </w:rPr>
        <w:t>（1）支持被动采集和主动采集两种日志数据采集方式，采集多源异构日志。</w:t>
      </w:r>
    </w:p>
    <w:p w14:paraId="2BE38502">
      <w:pPr>
        <w:jc w:val="both"/>
        <w:rPr>
          <w:rFonts w:hint="eastAsia" w:ascii="宋体" w:hAnsi="宋体"/>
          <w:sz w:val="28"/>
          <w:szCs w:val="28"/>
          <w:lang w:val="en-US" w:eastAsia="zh-CN"/>
        </w:rPr>
      </w:pPr>
      <w:r>
        <w:rPr>
          <w:rFonts w:hint="eastAsia" w:ascii="宋体" w:hAnsi="宋体"/>
          <w:sz w:val="28"/>
          <w:szCs w:val="28"/>
          <w:lang w:val="en-US" w:eastAsia="zh-CN"/>
        </w:rPr>
        <w:t>（2）支持对日志被动采集器和主动采集器进行管理，展示当前采集器列表，列表内容包括采集器名称、IP、描述、状态、租户名称、注册时间、更新时间、采集方式、统计信息等。</w:t>
      </w:r>
    </w:p>
    <w:p w14:paraId="148E7C01">
      <w:pPr>
        <w:jc w:val="both"/>
        <w:rPr>
          <w:rFonts w:hint="eastAsia" w:ascii="宋体" w:hAnsi="宋体"/>
          <w:sz w:val="28"/>
          <w:szCs w:val="28"/>
          <w:lang w:val="en-US" w:eastAsia="zh-CN"/>
        </w:rPr>
      </w:pPr>
      <w:r>
        <w:rPr>
          <w:rFonts w:hint="eastAsia" w:ascii="宋体" w:hAnsi="宋体"/>
          <w:sz w:val="28"/>
          <w:szCs w:val="28"/>
          <w:lang w:val="en-US" w:eastAsia="zh-CN"/>
        </w:rPr>
        <w:t>（3）支持通过离线导入方式导入日志，导入历史日志时，可以根据日志信息进行设备厂商、对应设备型号、文件编码、日志类型进行范式化匹配。</w:t>
      </w:r>
    </w:p>
    <w:p w14:paraId="5955E717">
      <w:pPr>
        <w:numPr>
          <w:ilvl w:val="0"/>
          <w:numId w:val="0"/>
        </w:numPr>
        <w:jc w:val="left"/>
        <w:rPr>
          <w:rFonts w:hint="eastAsia" w:ascii="宋体" w:hAnsi="宋体"/>
          <w:sz w:val="28"/>
          <w:szCs w:val="28"/>
          <w:lang w:val="en-US" w:eastAsia="zh-CN"/>
        </w:rPr>
      </w:pPr>
      <w:r>
        <w:rPr>
          <w:rFonts w:hint="eastAsia" w:ascii="宋体" w:hAnsi="宋体"/>
          <w:sz w:val="28"/>
          <w:szCs w:val="28"/>
          <w:lang w:val="en-US" w:eastAsia="zh-CN"/>
        </w:rPr>
        <w:t>（4）支持接入日志分类但不限于包括：安全日志、网络审计日志、数据库审计日、DLP审计日志、Citrix审计日志、安全检查审计日志、应用审计日志、运维审计日志、网络流量日志、接入授权日志、安全策略日志、网元操作日志、数据库日志、终端系统日志、中间件日志、网元系统日志、终端审计日志、终端杀毒日志等日志。</w:t>
      </w:r>
      <w:r>
        <w:rPr>
          <w:rFonts w:hint="eastAsia" w:ascii="宋体" w:hAnsi="宋体"/>
          <w:sz w:val="28"/>
          <w:szCs w:val="28"/>
          <w:lang w:val="en-US" w:eastAsia="zh-CN"/>
        </w:rPr>
        <w:br w:type="textWrapping"/>
      </w:r>
      <w:r>
        <w:rPr>
          <w:rFonts w:hint="eastAsia" w:ascii="宋体" w:hAnsi="宋体"/>
          <w:b/>
          <w:bCs/>
          <w:sz w:val="28"/>
          <w:szCs w:val="28"/>
          <w:lang w:val="en-US" w:eastAsia="zh-CN"/>
        </w:rPr>
        <w:t>4.2 数据处理与存储</w:t>
      </w:r>
      <w:r>
        <w:rPr>
          <w:rFonts w:hint="eastAsia" w:ascii="宋体" w:hAnsi="宋体"/>
          <w:sz w:val="28"/>
          <w:szCs w:val="28"/>
          <w:lang w:val="en-US" w:eastAsia="zh-CN"/>
        </w:rPr>
        <w:br w:type="textWrapping"/>
      </w:r>
      <w:r>
        <w:rPr>
          <w:rFonts w:hint="eastAsia" w:ascii="宋体" w:hAnsi="宋体"/>
          <w:sz w:val="28"/>
          <w:szCs w:val="28"/>
          <w:lang w:val="en-US" w:eastAsia="zh-CN"/>
        </w:rPr>
        <w:t>（1）平台内置高性能日志处理引擎，支持集中式存储或分布式存储，支持日志的解析、清洗、富化、索引和长期存储（≥180天）。</w:t>
      </w:r>
    </w:p>
    <w:p w14:paraId="701B2A86">
      <w:pPr>
        <w:numPr>
          <w:ilvl w:val="0"/>
          <w:numId w:val="0"/>
        </w:numPr>
        <w:jc w:val="left"/>
        <w:rPr>
          <w:rFonts w:hint="eastAsia" w:ascii="宋体" w:hAnsi="宋体"/>
          <w:sz w:val="28"/>
          <w:szCs w:val="28"/>
          <w:lang w:val="en-US" w:eastAsia="zh-CN"/>
        </w:rPr>
      </w:pPr>
      <w:r>
        <w:rPr>
          <w:rFonts w:hint="eastAsia" w:ascii="宋体" w:hAnsi="宋体"/>
          <w:sz w:val="28"/>
          <w:szCs w:val="28"/>
          <w:lang w:val="en-US" w:eastAsia="zh-CN"/>
        </w:rPr>
        <w:t>（2）支持管理被动采集日志源，包括日志源的增加、删除、修改及查询操作。配置被动采集日志源后，日志源设备将定期主动上报日志数据到采集器。支持采集的协议包括syslog、netstream、AAA、https、http、snmp等。支持主动采集日志源管理，包括主动日志源的增加、删除、修改及查询操作。主动采集日志源包括数据库日志源和共享文件日志源。</w:t>
      </w:r>
    </w:p>
    <w:p w14:paraId="70D5195C">
      <w:pPr>
        <w:numPr>
          <w:ilvl w:val="0"/>
          <w:numId w:val="0"/>
        </w:numPr>
        <w:jc w:val="left"/>
        <w:rPr>
          <w:rFonts w:hint="eastAsia" w:ascii="宋体" w:hAnsi="宋体"/>
          <w:sz w:val="28"/>
          <w:szCs w:val="28"/>
          <w:lang w:val="en-US" w:eastAsia="zh-CN"/>
        </w:rPr>
      </w:pPr>
      <w:r>
        <w:rPr>
          <w:rFonts w:hint="eastAsia" w:ascii="宋体" w:hAnsi="宋体"/>
          <w:sz w:val="28"/>
          <w:szCs w:val="28"/>
          <w:lang w:val="en-US" w:eastAsia="zh-CN"/>
        </w:rPr>
        <w:t>（3）支持以可视化方式完成日志解析适配，具体功能涵盖适配规则创建，支持正则匹配、键值对匹配、JSON匹配等多种解析方式。正则表达式支持通过划词或手动方式生成，最终实现日志范式标准化。</w:t>
      </w:r>
    </w:p>
    <w:p w14:paraId="141D9CE0">
      <w:pPr>
        <w:numPr>
          <w:ilvl w:val="0"/>
          <w:numId w:val="0"/>
        </w:numPr>
        <w:jc w:val="left"/>
        <w:rPr>
          <w:rFonts w:hint="eastAsia" w:ascii="宋体" w:hAnsi="宋体"/>
          <w:sz w:val="28"/>
          <w:szCs w:val="28"/>
          <w:lang w:val="en-US" w:eastAsia="zh-CN"/>
        </w:rPr>
      </w:pPr>
      <w:r>
        <w:rPr>
          <w:rFonts w:hint="eastAsia" w:ascii="宋体" w:hAnsi="宋体"/>
          <w:sz w:val="28"/>
          <w:szCs w:val="28"/>
          <w:lang w:val="en-US" w:eastAsia="zh-CN"/>
        </w:rPr>
        <w:t>（4）支持将日志以FTP或更优的方式到备份服务器上，并且在系统界面上支持日志按时间范围从备份服务器一键恢复，无需手动导入，数据备份和恢复支持列表记录</w:t>
      </w:r>
    </w:p>
    <w:p w14:paraId="19743AFB">
      <w:pPr>
        <w:numPr>
          <w:ilvl w:val="0"/>
          <w:numId w:val="0"/>
        </w:numPr>
        <w:jc w:val="left"/>
        <w:rPr>
          <w:rFonts w:hint="eastAsia" w:ascii="宋体" w:hAnsi="宋体" w:eastAsia="宋体" w:cs="宋体"/>
          <w:sz w:val="28"/>
          <w:szCs w:val="28"/>
        </w:rPr>
      </w:pPr>
      <w:r>
        <w:rPr>
          <w:rFonts w:hint="eastAsia" w:ascii="宋体" w:hAnsi="宋体"/>
          <w:sz w:val="28"/>
          <w:szCs w:val="28"/>
          <w:lang w:val="en-US" w:eastAsia="zh-CN"/>
        </w:rPr>
        <w:t>（5）支持按照硬盘空间阈值百分比和时间阈值保存天数自动进行数据清理。</w:t>
      </w:r>
      <w:r>
        <w:rPr>
          <w:rFonts w:hint="eastAsia" w:ascii="宋体" w:hAnsi="宋体" w:eastAsia="宋体" w:cs="宋体"/>
          <w:sz w:val="28"/>
          <w:szCs w:val="28"/>
          <w:lang w:val="en-US" w:eastAsia="zh-CN"/>
        </w:rPr>
        <w:br w:type="textWrapping"/>
      </w:r>
      <w:r>
        <w:rPr>
          <w:rFonts w:hint="eastAsia" w:ascii="宋体" w:hAnsi="宋体" w:eastAsia="宋体" w:cs="宋体"/>
          <w:b/>
          <w:bCs/>
          <w:sz w:val="28"/>
          <w:szCs w:val="28"/>
          <w:lang w:val="en-US" w:eastAsia="zh-CN"/>
        </w:rPr>
        <w:t>4.3分析检测</w:t>
      </w:r>
      <w:r>
        <w:rPr>
          <w:rFonts w:hint="eastAsia" w:ascii="宋体" w:hAnsi="宋体" w:eastAsia="宋体" w:cs="宋体"/>
          <w:sz w:val="28"/>
          <w:szCs w:val="28"/>
          <w:lang w:val="en-US" w:eastAsia="zh-CN"/>
        </w:rPr>
        <w:br w:type="textWrapping"/>
      </w:r>
      <w:r>
        <w:rPr>
          <w:rFonts w:hint="eastAsia" w:ascii="宋体" w:hAnsi="宋体" w:eastAsia="宋体" w:cs="宋体"/>
          <w:sz w:val="28"/>
          <w:szCs w:val="28"/>
          <w:lang w:val="en-US" w:eastAsia="zh-CN"/>
        </w:rPr>
        <w:t>（1）</w:t>
      </w:r>
      <w:r>
        <w:rPr>
          <w:rFonts w:hint="eastAsia" w:ascii="宋体" w:hAnsi="宋体" w:eastAsia="宋体" w:cs="宋体"/>
          <w:sz w:val="28"/>
          <w:szCs w:val="28"/>
        </w:rPr>
        <w:t>支持多维度场景化分析，具备单独的分析模块展示，支持对挖矿感染主机分析、勒索感染主机分析、C&amp;C外联主机分析、恶意文件感染主机分析、威胁情报分析等。</w:t>
      </w:r>
    </w:p>
    <w:p w14:paraId="54DAA20A">
      <w:pPr>
        <w:numPr>
          <w:ilvl w:val="0"/>
          <w:numId w:val="0"/>
        </w:numPr>
        <w:jc w:val="left"/>
        <w:rPr>
          <w:rFonts w:hint="eastAsia" w:ascii="宋体" w:hAnsi="宋体" w:eastAsia="宋体" w:cs="宋体"/>
          <w:sz w:val="28"/>
          <w:szCs w:val="28"/>
          <w:lang w:eastAsia="zh-CN"/>
        </w:rPr>
      </w:pPr>
      <w:r>
        <w:rPr>
          <w:rFonts w:hint="eastAsia" w:ascii="宋体" w:hAnsi="宋体" w:eastAsia="宋体" w:cs="宋体"/>
          <w:kern w:val="2"/>
          <w:sz w:val="28"/>
          <w:szCs w:val="28"/>
          <w:lang w:val="en-US" w:eastAsia="zh-CN" w:bidi="ar-SA"/>
        </w:rPr>
        <w:t>（2）</w:t>
      </w:r>
      <w:r>
        <w:rPr>
          <w:rFonts w:hint="eastAsia" w:ascii="宋体" w:hAnsi="宋体" w:eastAsia="宋体" w:cs="宋体"/>
          <w:sz w:val="28"/>
          <w:szCs w:val="28"/>
        </w:rPr>
        <w:t>支持展示WEB攻击，支持WEB攻击地址分析，包括</w:t>
      </w:r>
      <w:r>
        <w:rPr>
          <w:rFonts w:hint="eastAsia" w:ascii="宋体" w:hAnsi="宋体" w:eastAsia="宋体" w:cs="宋体"/>
          <w:sz w:val="28"/>
          <w:szCs w:val="28"/>
          <w:lang w:val="en-US" w:eastAsia="zh-CN"/>
        </w:rPr>
        <w:t>但不限于</w:t>
      </w:r>
      <w:r>
        <w:rPr>
          <w:rFonts w:hint="eastAsia" w:ascii="宋体" w:hAnsi="宋体" w:eastAsia="宋体" w:cs="宋体"/>
          <w:sz w:val="28"/>
          <w:szCs w:val="28"/>
        </w:rPr>
        <w:t>从境外攻击、境内攻击分析源地址TOP10，从IP地址、域名分析目的地址TOP10，支持WEB攻击告警趋势及告警类型TOP10、WEB端口分布</w:t>
      </w:r>
      <w:r>
        <w:rPr>
          <w:rFonts w:hint="eastAsia" w:ascii="宋体" w:hAnsi="宋体" w:eastAsia="宋体" w:cs="宋体"/>
          <w:sz w:val="28"/>
          <w:szCs w:val="28"/>
          <w:lang w:eastAsia="zh-CN"/>
        </w:rPr>
        <w:t>。</w:t>
      </w:r>
    </w:p>
    <w:p w14:paraId="68AE67D4">
      <w:pPr>
        <w:numPr>
          <w:ilvl w:val="0"/>
          <w:numId w:val="0"/>
        </w:numPr>
        <w:jc w:val="left"/>
        <w:rPr>
          <w:rFonts w:hint="eastAsia" w:ascii="宋体" w:hAnsi="宋体" w:eastAsia="宋体" w:cs="宋体"/>
          <w:sz w:val="28"/>
          <w:szCs w:val="28"/>
          <w:lang w:eastAsia="zh-CN"/>
        </w:rPr>
      </w:pPr>
      <w:r>
        <w:rPr>
          <w:rFonts w:hint="eastAsia" w:ascii="宋体" w:hAnsi="宋体" w:eastAsia="宋体" w:cs="宋体"/>
          <w:kern w:val="2"/>
          <w:sz w:val="28"/>
          <w:szCs w:val="28"/>
          <w:lang w:val="en-US" w:eastAsia="zh-CN" w:bidi="ar-SA"/>
        </w:rPr>
        <w:t>（3）</w:t>
      </w:r>
      <w:r>
        <w:rPr>
          <w:rFonts w:hint="eastAsia" w:ascii="宋体" w:hAnsi="宋体" w:eastAsia="宋体" w:cs="宋体"/>
          <w:sz w:val="28"/>
          <w:szCs w:val="28"/>
        </w:rPr>
        <w:t>支持基于攻击链条和回溯链条进行前置和后继深层次的全景攻击链溯源，展现风险资产和风险用户的威胁感染和传播路径，实现威胁可视化。支持从资产、用户、情报IOC、外网攻击者多维度溯源</w:t>
      </w:r>
      <w:r>
        <w:rPr>
          <w:rFonts w:hint="eastAsia" w:ascii="宋体" w:hAnsi="宋体" w:eastAsia="宋体" w:cs="宋体"/>
          <w:sz w:val="28"/>
          <w:szCs w:val="28"/>
          <w:lang w:eastAsia="zh-CN"/>
        </w:rPr>
        <w:t>；</w:t>
      </w:r>
    </w:p>
    <w:p w14:paraId="7015C029">
      <w:pPr>
        <w:jc w:val="both"/>
        <w:rPr>
          <w:rFonts w:hint="eastAsia" w:ascii="宋体" w:hAnsi="宋体" w:eastAsia="宋体" w:cs="宋体"/>
          <w:sz w:val="28"/>
          <w:szCs w:val="28"/>
          <w:lang w:val="en-US" w:eastAsia="zh-CN"/>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4</w:t>
      </w:r>
      <w:r>
        <w:rPr>
          <w:rFonts w:hint="eastAsia" w:ascii="宋体" w:hAnsi="宋体" w:eastAsia="宋体" w:cs="宋体"/>
          <w:sz w:val="28"/>
          <w:szCs w:val="28"/>
          <w:lang w:eastAsia="zh-CN"/>
        </w:rPr>
        <w:t>）</w:t>
      </w:r>
      <w:r>
        <w:rPr>
          <w:rFonts w:hint="eastAsia" w:ascii="宋体" w:hAnsi="宋体" w:eastAsia="宋体" w:cs="宋体"/>
          <w:sz w:val="28"/>
          <w:szCs w:val="28"/>
        </w:rPr>
        <w:t>支持展示通过网络原始流量分析异常流量事件；内置UEBA分析模型，分析展示异常流量事件总数、异常类型分布、危险等级分布、涉及资源分布、按照资产与用户展示异常流量事件排名</w:t>
      </w:r>
      <w:r>
        <w:rPr>
          <w:rFonts w:hint="eastAsia" w:ascii="宋体" w:hAnsi="宋体" w:eastAsia="宋体" w:cs="宋体"/>
          <w:sz w:val="28"/>
          <w:szCs w:val="28"/>
          <w:lang w:eastAsia="zh-CN"/>
        </w:rPr>
        <w:t>。</w:t>
      </w:r>
      <w:r>
        <w:rPr>
          <w:rFonts w:hint="eastAsia" w:ascii="宋体" w:hAnsi="宋体" w:eastAsia="宋体" w:cs="宋体"/>
          <w:sz w:val="28"/>
          <w:szCs w:val="28"/>
          <w:lang w:eastAsia="zh-CN"/>
        </w:rPr>
        <w:br w:type="textWrapping"/>
      </w:r>
      <w:r>
        <w:rPr>
          <w:rFonts w:hint="eastAsia" w:ascii="宋体" w:hAnsi="宋体" w:eastAsia="宋体" w:cs="宋体"/>
          <w:sz w:val="28"/>
          <w:szCs w:val="28"/>
          <w:lang w:eastAsia="zh-CN"/>
        </w:rPr>
        <w:br w:type="textWrapping"/>
      </w:r>
      <w:r>
        <w:rPr>
          <w:rFonts w:hint="eastAsia" w:ascii="宋体" w:hAnsi="宋体" w:eastAsia="宋体" w:cs="宋体"/>
          <w:b/>
          <w:bCs/>
          <w:sz w:val="28"/>
          <w:szCs w:val="28"/>
          <w:lang w:val="en-US" w:eastAsia="zh-CN"/>
        </w:rPr>
        <w:t>4.4</w:t>
      </w:r>
      <w:r>
        <w:rPr>
          <w:rFonts w:hint="eastAsia" w:ascii="宋体" w:hAnsi="宋体" w:eastAsia="宋体" w:cs="宋体"/>
          <w:b/>
          <w:bCs/>
          <w:sz w:val="28"/>
          <w:szCs w:val="28"/>
          <w:lang w:eastAsia="zh-CN"/>
        </w:rPr>
        <w:t>可视化与交互</w:t>
      </w:r>
      <w:r>
        <w:rPr>
          <w:rFonts w:hint="eastAsia" w:ascii="宋体" w:hAnsi="宋体" w:eastAsia="宋体" w:cs="宋体"/>
          <w:sz w:val="28"/>
          <w:szCs w:val="28"/>
          <w:lang w:eastAsia="zh-CN"/>
        </w:rPr>
        <w:br w:type="textWrapping"/>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构建统一的可视化监控大屏、仪表盘、分析界面，</w:t>
      </w:r>
      <w:r>
        <w:rPr>
          <w:rFonts w:hint="eastAsia" w:ascii="宋体" w:hAnsi="宋体" w:eastAsia="宋体" w:cs="宋体"/>
          <w:sz w:val="28"/>
          <w:szCs w:val="28"/>
        </w:rPr>
        <w:t>直观展示</w:t>
      </w:r>
      <w:r>
        <w:rPr>
          <w:rFonts w:hint="eastAsia" w:ascii="宋体" w:hAnsi="宋体" w:eastAsia="宋体" w:cs="宋体"/>
          <w:sz w:val="28"/>
          <w:szCs w:val="28"/>
          <w:lang w:val="en-US" w:eastAsia="zh-CN"/>
        </w:rPr>
        <w:t>基于日志分析的</w:t>
      </w:r>
      <w:r>
        <w:rPr>
          <w:rFonts w:hint="eastAsia" w:ascii="宋体" w:hAnsi="宋体" w:eastAsia="宋体" w:cs="宋体"/>
          <w:sz w:val="28"/>
          <w:szCs w:val="28"/>
        </w:rPr>
        <w:t>医院整网安全状态情况，支持展示系统安全防护天数；支持展示整网安全度评分，展示风险资产总数、待处理安全事件数</w:t>
      </w:r>
      <w:r>
        <w:rPr>
          <w:rFonts w:hint="eastAsia" w:ascii="宋体" w:hAnsi="宋体" w:eastAsia="宋体" w:cs="宋体"/>
          <w:sz w:val="28"/>
          <w:szCs w:val="28"/>
          <w:lang w:eastAsia="zh-CN"/>
        </w:rPr>
        <w:t>。</w:t>
      </w:r>
      <w:r>
        <w:rPr>
          <w:rFonts w:hint="eastAsia" w:ascii="宋体" w:hAnsi="宋体" w:eastAsia="宋体" w:cs="宋体"/>
          <w:sz w:val="28"/>
          <w:szCs w:val="28"/>
          <w:lang w:eastAsia="zh-CN"/>
        </w:rPr>
        <w:br w:type="textWrapping"/>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支持日报、周报、月报和自定义周期报告，支持基于区域、资产、资源事件类型、等级，自定义报告输出，可支持通过邮件形式，按照天周月自动发送报表</w:t>
      </w:r>
      <w:r>
        <w:rPr>
          <w:rFonts w:hint="eastAsia" w:ascii="宋体" w:hAnsi="宋体" w:eastAsia="宋体" w:cs="宋体"/>
          <w:sz w:val="28"/>
          <w:szCs w:val="28"/>
          <w:lang w:eastAsia="zh-CN"/>
        </w:rPr>
        <w:t>。</w:t>
      </w:r>
      <w:r>
        <w:rPr>
          <w:rFonts w:hint="eastAsia" w:ascii="宋体" w:hAnsi="宋体" w:eastAsia="宋体" w:cs="宋体"/>
          <w:sz w:val="28"/>
          <w:szCs w:val="28"/>
          <w:lang w:eastAsia="zh-CN"/>
        </w:rPr>
        <w:br w:type="textWrapping"/>
      </w:r>
      <w:r>
        <w:rPr>
          <w:rFonts w:hint="eastAsia" w:ascii="宋体" w:hAnsi="宋体" w:eastAsia="宋体" w:cs="宋体"/>
          <w:sz w:val="28"/>
          <w:szCs w:val="28"/>
          <w:lang w:eastAsia="zh-CN"/>
        </w:rPr>
        <w:br w:type="textWrapping"/>
      </w:r>
      <w:r>
        <w:rPr>
          <w:rFonts w:hint="eastAsia" w:ascii="宋体" w:hAnsi="宋体" w:eastAsia="宋体" w:cs="宋体"/>
          <w:b/>
          <w:bCs/>
          <w:sz w:val="28"/>
          <w:szCs w:val="28"/>
          <w:lang w:val="en-US" w:eastAsia="zh-CN"/>
        </w:rPr>
        <w:t>4.5 告警与响应</w:t>
      </w:r>
      <w:r>
        <w:rPr>
          <w:rFonts w:hint="eastAsia" w:ascii="宋体" w:hAnsi="宋体" w:eastAsia="宋体" w:cs="宋体"/>
          <w:sz w:val="28"/>
          <w:szCs w:val="28"/>
          <w:lang w:val="en-US" w:eastAsia="zh-CN"/>
        </w:rPr>
        <w:br w:type="textWrapping"/>
      </w:r>
      <w:r>
        <w:rPr>
          <w:rFonts w:hint="eastAsia" w:ascii="宋体" w:hAnsi="宋体" w:eastAsia="宋体" w:cs="宋体"/>
          <w:sz w:val="28"/>
          <w:szCs w:val="28"/>
          <w:lang w:val="en-US" w:eastAsia="zh-CN"/>
        </w:rPr>
        <w:t>（1）支持安全告警列表精确和模糊查询；支持安全告警查询记录收藏，便于快速查询；支持热门标签推荐，定位热点告警问题。</w:t>
      </w:r>
    </w:p>
    <w:p w14:paraId="5CD9E9B0">
      <w:pPr>
        <w:jc w:val="both"/>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（2）支持将安全告警的再次聚合分析，突出呈现已经攻陷的展示为安全事件，方便处理最重要的安全问题。同时将安全事件和ATT&amp;CK相关联，便于从宏观上掌握系统安全问题。</w:t>
      </w:r>
    </w:p>
    <w:p w14:paraId="53D3659E">
      <w:pPr>
        <w:jc w:val="both"/>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提供对应安全告警的建议处置方式，提供具体排查工具，具体升级补丁，防护策略等建议内容;支持自定义处置建议编辑，后续出现同样安全告警时，可自动显示编辑后的处置建议，帮助用户完善闭环处理；并支持修改记录留存，支持默认处置建议一键还原</w:t>
      </w:r>
      <w:r>
        <w:rPr>
          <w:rFonts w:hint="eastAsia" w:ascii="宋体" w:hAnsi="宋体" w:eastAsia="宋体" w:cs="宋体"/>
          <w:sz w:val="28"/>
          <w:szCs w:val="28"/>
          <w:lang w:val="en-US" w:eastAsia="zh-CN"/>
        </w:rPr>
        <w:br w:type="textWrapping"/>
      </w:r>
      <w:r>
        <w:rPr>
          <w:rFonts w:hint="eastAsia" w:ascii="宋体" w:hAnsi="宋体" w:eastAsia="宋体" w:cs="宋体"/>
          <w:sz w:val="28"/>
          <w:szCs w:val="28"/>
          <w:lang w:val="en-US" w:eastAsia="zh-CN"/>
        </w:rPr>
        <w:t>（4）支持SOAR剧本编排，支持通过web可视化编辑案件剧本，形成案件剧本后，可以自动或者手动联动设备处置安全事件，简化安全事件处置流程。</w:t>
      </w:r>
    </w:p>
    <w:p w14:paraId="72CCE420">
      <w:pPr>
        <w:jc w:val="both"/>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（5）支持案件管理，通过定义关联规则、区域、失陷确信度、事件严重级别等多维度触发条件，然后执行指定剧本动作。</w:t>
      </w:r>
    </w:p>
    <w:p w14:paraId="428F2477">
      <w:pPr>
        <w:jc w:val="both"/>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（6）支持多品牌的设备联动，进行策略下发联动阻断。</w:t>
      </w:r>
      <w:r>
        <w:rPr>
          <w:rFonts w:hint="eastAsia" w:ascii="宋体" w:hAnsi="宋体" w:eastAsia="宋体" w:cs="宋体"/>
          <w:sz w:val="28"/>
          <w:szCs w:val="28"/>
          <w:lang w:val="en-US" w:eastAsia="zh-CN"/>
        </w:rPr>
        <w:br w:type="textWrapping"/>
      </w:r>
      <w:r>
        <w:rPr>
          <w:rFonts w:hint="eastAsia" w:ascii="宋体" w:hAnsi="宋体" w:eastAsia="宋体" w:cs="宋体"/>
          <w:sz w:val="28"/>
          <w:szCs w:val="28"/>
          <w:lang w:val="en-US" w:eastAsia="zh-CN"/>
        </w:rPr>
        <w:t>（7）支持IP/域名/威胁情报的在线升级、离线升级操作；支持列表展示情报信息，包括病毒家族、危害等级等信息；IP/域名的情报查询，支持列表展示IP/域名情报的详细信息；</w:t>
      </w:r>
    </w:p>
    <w:p w14:paraId="7F085765">
      <w:pPr>
        <w:jc w:val="both"/>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（8）内置行为分析规则，提升内部异常行为的发现能力。支持以列表的形式展示规则信息，包括规则名称、规则描述、威胁等级、启用状态；并对规则参数可进行配置和启停管理</w:t>
      </w:r>
    </w:p>
    <w:p w14:paraId="616480E0">
      <w:pPr>
        <w:jc w:val="both"/>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（9）支持自定义弱口令检测，将自定义弱口令配置下发到探针，平台对探针命中后的自定义弱口令告警进行分析展示。</w:t>
      </w:r>
      <w:r>
        <w:rPr>
          <w:rFonts w:hint="eastAsia" w:ascii="宋体" w:hAnsi="宋体" w:eastAsia="宋体" w:cs="宋体"/>
          <w:sz w:val="28"/>
          <w:szCs w:val="28"/>
          <w:lang w:val="en-US" w:eastAsia="zh-CN"/>
        </w:rPr>
        <w:br w:type="textWrapping"/>
      </w:r>
      <w:r>
        <w:rPr>
          <w:rFonts w:hint="eastAsia" w:ascii="宋体" w:hAnsi="宋体" w:eastAsia="宋体" w:cs="宋体"/>
          <w:b/>
          <w:bCs/>
          <w:sz w:val="28"/>
          <w:szCs w:val="28"/>
          <w:lang w:val="en-US" w:eastAsia="zh-CN"/>
        </w:rPr>
        <w:t>4.6风险管理</w:t>
      </w:r>
      <w:r>
        <w:rPr>
          <w:rFonts w:hint="eastAsia" w:ascii="宋体" w:hAnsi="宋体" w:eastAsia="宋体" w:cs="宋体"/>
          <w:sz w:val="28"/>
          <w:szCs w:val="28"/>
          <w:lang w:val="en-US" w:eastAsia="zh-CN"/>
        </w:rPr>
        <w:br w:type="textWrapping"/>
      </w:r>
      <w:r>
        <w:rPr>
          <w:rFonts w:hint="eastAsia" w:ascii="宋体" w:hAnsi="宋体" w:eastAsia="宋体" w:cs="宋体"/>
          <w:sz w:val="28"/>
          <w:szCs w:val="28"/>
          <w:lang w:val="en-US" w:eastAsia="zh-CN"/>
        </w:rPr>
        <w:t>（1）支持按照已失陷、高危、低危、影响内网、影响外网统计风险资产数量，并且能够列表展示风险明细；</w:t>
      </w:r>
    </w:p>
    <w:p w14:paraId="627F6D0D">
      <w:pPr>
        <w:jc w:val="both"/>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（2）支持展示攻击阶段分布情况，对单个风险资产/用户统计该资产的安全事件所处的攻击阶段；</w:t>
      </w:r>
    </w:p>
    <w:p w14:paraId="68EADC56">
      <w:pPr>
        <w:jc w:val="both"/>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（3）支持通过ATT&amp;CK技战术分布，掌握攻击方攻击作战手段，进行防御差距评估，掌控攻防态势。</w:t>
      </w:r>
      <w:r>
        <w:rPr>
          <w:rFonts w:hint="eastAsia" w:ascii="宋体" w:hAnsi="宋体" w:eastAsia="宋体" w:cs="宋体"/>
          <w:sz w:val="28"/>
          <w:szCs w:val="28"/>
          <w:lang w:val="en-US" w:eastAsia="zh-CN"/>
        </w:rPr>
        <w:br w:type="textWrapping"/>
      </w:r>
      <w:r>
        <w:rPr>
          <w:rFonts w:hint="eastAsia" w:ascii="宋体" w:hAnsi="宋体" w:eastAsia="宋体" w:cs="宋体"/>
          <w:b/>
          <w:bCs/>
          <w:sz w:val="28"/>
          <w:szCs w:val="28"/>
          <w:lang w:val="en-US" w:eastAsia="zh-CN"/>
        </w:rPr>
        <w:t>4.7大模型应用</w:t>
      </w:r>
      <w:r>
        <w:rPr>
          <w:rFonts w:hint="eastAsia" w:ascii="宋体" w:hAnsi="宋体" w:eastAsia="宋体" w:cs="宋体"/>
          <w:sz w:val="28"/>
          <w:szCs w:val="28"/>
          <w:lang w:val="en-US" w:eastAsia="zh-CN"/>
        </w:rPr>
        <w:br w:type="textWrapping"/>
      </w:r>
      <w:r>
        <w:rPr>
          <w:rFonts w:hint="eastAsia" w:ascii="宋体" w:hAnsi="宋体" w:eastAsia="宋体" w:cs="宋体"/>
          <w:sz w:val="28"/>
          <w:szCs w:val="28"/>
          <w:lang w:val="en-US" w:eastAsia="zh-CN"/>
        </w:rPr>
        <w:t>（1）支持用户通过对话框自然语言交互，快速查询并展示平台内的资产整体情况。具体包括资产总数、今日新增资产数，同时按资产类型分类统计数量，分析资产在不同区域的分布情况。</w:t>
      </w:r>
    </w:p>
    <w:p w14:paraId="0319AD4F">
      <w:pPr>
        <w:jc w:val="both"/>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支持用户通过自然语言交互，针对指定的院内区域名称创建主动发现资产的探测任务。用户通过指令，智能体即可自动调度资产探测流程，深入指定区域全面普查资产，拓展平台资产信息的覆盖面与准确性。</w:t>
      </w:r>
      <w:r>
        <w:rPr>
          <w:rFonts w:hint="eastAsia" w:ascii="宋体" w:hAnsi="宋体" w:eastAsia="宋体" w:cs="宋体"/>
          <w:sz w:val="28"/>
          <w:szCs w:val="28"/>
          <w:lang w:val="en-US" w:eastAsia="zh-CN"/>
        </w:rPr>
        <w:br w:type="textWrapping"/>
      </w:r>
      <w:r>
        <w:rPr>
          <w:rFonts w:hint="eastAsia" w:ascii="宋体" w:hAnsi="宋体" w:eastAsia="宋体" w:cs="宋体"/>
          <w:sz w:val="28"/>
          <w:szCs w:val="28"/>
          <w:lang w:val="en-US" w:eastAsia="zh-CN"/>
        </w:rPr>
        <w:t>（3）支持对多种日志类型告警进行归并处理。能够智能识别并合并重复性高、关联性强的告警信息，有效减少告警数量，突出重点告警。</w:t>
      </w:r>
    </w:p>
    <w:p w14:paraId="47FF3745">
      <w:pPr>
        <w:jc w:val="both"/>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（4）支持结合知识库和自然语言理解，提取告警中的技战术、漏洞利用情况，结合五元组和历史告警，将不同设备、不同规则产生的冗余告警归并，实现攻击行为层面的降噪。</w:t>
      </w:r>
      <w:r>
        <w:rPr>
          <w:rFonts w:hint="eastAsia" w:ascii="宋体" w:hAnsi="宋体" w:eastAsia="宋体" w:cs="宋体"/>
          <w:sz w:val="28"/>
          <w:szCs w:val="28"/>
          <w:lang w:val="en-US" w:eastAsia="zh-CN"/>
        </w:rPr>
        <w:br w:type="textWrapping"/>
      </w:r>
      <w:r>
        <w:rPr>
          <w:rFonts w:hint="eastAsia" w:ascii="宋体" w:hAnsi="宋体" w:eastAsia="宋体" w:cs="宋体"/>
          <w:sz w:val="28"/>
          <w:szCs w:val="28"/>
          <w:lang w:val="en-US" w:eastAsia="zh-CN"/>
        </w:rPr>
        <w:t>（5）支持基于海量网络攻击知识的模型构建，能够针对告警进行相关攻击概念解读，攻击原理分析、报文载荷分析以及此类事件的防护措施，为医院安全运维人员提供辅助研判的能力。</w:t>
      </w:r>
    </w:p>
    <w:p w14:paraId="0BE2F3D5">
      <w:pPr>
        <w:numPr>
          <w:ilvl w:val="0"/>
          <w:numId w:val="0"/>
        </w:numPr>
        <w:jc w:val="both"/>
        <w:rPr>
          <w:rFonts w:hint="eastAsia" w:ascii="宋体" w:hAnsi="宋体" w:eastAsia="宋体" w:cs="宋体"/>
          <w:sz w:val="28"/>
          <w:szCs w:val="28"/>
        </w:rPr>
      </w:pPr>
      <w:r>
        <w:rPr>
          <w:rFonts w:hint="eastAsia" w:ascii="宋体" w:hAnsi="宋体" w:eastAsia="宋体" w:cs="宋体"/>
          <w:kern w:val="2"/>
          <w:sz w:val="28"/>
          <w:szCs w:val="28"/>
          <w:lang w:val="en-US" w:eastAsia="zh-CN" w:bidi="ar-SA"/>
        </w:rPr>
        <w:t>（6）</w:t>
      </w:r>
      <w:r>
        <w:rPr>
          <w:rFonts w:hint="eastAsia" w:ascii="宋体" w:hAnsi="宋体" w:eastAsia="宋体" w:cs="宋体"/>
          <w:sz w:val="28"/>
          <w:szCs w:val="28"/>
          <w:lang w:val="en-US" w:eastAsia="zh-CN"/>
        </w:rPr>
        <w:t>支持自动对告警进行深度分析，综合考虑告警的多维度信息，智能研判告警的有效性。通过自动识别虚假告警、低价值告警以及重复告警等，实现告警降噪与优先级排序，提升告警处理的针对性与效率。</w:t>
      </w:r>
      <w:r>
        <w:rPr>
          <w:rFonts w:hint="eastAsia" w:ascii="宋体" w:hAnsi="宋体" w:eastAsia="宋体" w:cs="宋体"/>
          <w:sz w:val="28"/>
          <w:szCs w:val="28"/>
          <w:lang w:val="en-US" w:eastAsia="zh-CN"/>
        </w:rPr>
        <w:br w:type="textWrapping"/>
      </w:r>
      <w:r>
        <w:rPr>
          <w:rFonts w:hint="eastAsia" w:ascii="宋体" w:hAnsi="宋体" w:eastAsia="宋体" w:cs="宋体"/>
          <w:sz w:val="28"/>
          <w:szCs w:val="28"/>
          <w:lang w:val="en-US" w:eastAsia="zh-CN"/>
        </w:rPr>
        <w:t>（7）</w:t>
      </w:r>
      <w:r>
        <w:rPr>
          <w:rFonts w:hint="eastAsia" w:ascii="宋体" w:hAnsi="宋体" w:eastAsia="宋体" w:cs="宋体"/>
          <w:sz w:val="28"/>
          <w:szCs w:val="28"/>
        </w:rPr>
        <w:t>支持用户基于对话框自然语言交互，分析某攻击载荷。智能体能够深入解析攻击载荷的内容与结构，展示攻击载荷结果及原理分析。</w:t>
      </w:r>
    </w:p>
    <w:p w14:paraId="03F6B4B8">
      <w:pPr>
        <w:numPr>
          <w:ilvl w:val="0"/>
          <w:numId w:val="0"/>
        </w:numPr>
        <w:jc w:val="both"/>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8）用户可基于对话框自然语言交互，对指定安全告警下发平台内部的处置工单。智能体能够自动将告警信息转化为标准化的工单格式，明确事件详情、涉及资产、建议处置流程等内容，并推送给相应的责任人或团队，确保安全事件得到及时关注与处理，实现安全运营流程的规范化与高效化。</w:t>
      </w:r>
    </w:p>
    <w:p w14:paraId="0E081EA4">
      <w:pPr>
        <w:numPr>
          <w:ilvl w:val="0"/>
          <w:numId w:val="0"/>
        </w:numPr>
        <w:jc w:val="both"/>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（9）支持用户利用自然语言交互，针对安全告警推荐处置策略和剧本，在用户确认后，智能体能够自动执行剧本中的处置流程，实现复杂安全事件的自动化、标准化处理，提升处置效率与一致性。</w:t>
      </w:r>
    </w:p>
    <w:p w14:paraId="4535FB07">
      <w:pPr>
        <w:numPr>
          <w:ilvl w:val="0"/>
          <w:numId w:val="0"/>
        </w:numPr>
        <w:jc w:val="both"/>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（10）支持用户进行自然语言交互，理解用户的报表生成需求，实现精准的数据检索与分析，进而生成格式规范、内容详实的安全风险报告。</w:t>
      </w:r>
    </w:p>
    <w:p w14:paraId="1847E2B2">
      <w:pPr>
        <w:numPr>
          <w:ilvl w:val="0"/>
          <w:numId w:val="0"/>
        </w:numPr>
        <w:jc w:val="both"/>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（11）支持基于上下文信息，一次性生成多报表的安全分析报告，支持对安全风险报告进行二次追问，对生成报表进行调整。</w:t>
      </w:r>
      <w:r>
        <w:rPr>
          <w:rFonts w:hint="eastAsia" w:ascii="宋体" w:hAnsi="宋体" w:eastAsia="宋体" w:cs="宋体"/>
          <w:sz w:val="28"/>
          <w:szCs w:val="28"/>
          <w:lang w:val="en-US" w:eastAsia="zh-CN"/>
        </w:rPr>
        <w:br w:type="textWrapping"/>
      </w:r>
      <w:r>
        <w:rPr>
          <w:rFonts w:hint="eastAsia" w:ascii="宋体" w:hAnsi="宋体" w:eastAsia="宋体" w:cs="宋体"/>
          <w:sz w:val="28"/>
          <w:szCs w:val="28"/>
          <w:lang w:val="en-US" w:eastAsia="zh-CN"/>
        </w:rPr>
        <w:t>（12）用户可自然语言交互查询整网安全态势相关关键信息，包括但不限于安全度、已失陷资产数、高危资产数、安全告警数、安全事件数、攻击成功次数等。</w:t>
      </w:r>
    </w:p>
    <w:p w14:paraId="312DDC50">
      <w:pPr>
        <w:numPr>
          <w:ilvl w:val="0"/>
          <w:numId w:val="0"/>
        </w:numPr>
        <w:jc w:val="both"/>
        <w:rPr>
          <w:rFonts w:hint="eastAsia" w:ascii="宋体" w:hAnsi="宋体" w:eastAsia="宋体" w:cs="宋体"/>
          <w:sz w:val="28"/>
          <w:szCs w:val="28"/>
        </w:rPr>
      </w:pPr>
      <w:r>
        <w:rPr>
          <w:rFonts w:hint="eastAsia" w:ascii="宋体" w:hAnsi="宋体" w:eastAsia="宋体" w:cs="宋体"/>
          <w:sz w:val="28"/>
          <w:szCs w:val="28"/>
          <w:lang w:val="en-US" w:eastAsia="zh-CN"/>
        </w:rPr>
        <w:t>（13）支持用户自然语言查询安全事件总数、未处理与已处理数，以及影响资产数安全事件列表等信息。</w:t>
      </w:r>
      <w:r>
        <w:rPr>
          <w:rFonts w:hint="eastAsia" w:ascii="宋体" w:hAnsi="宋体" w:eastAsia="宋体" w:cs="宋体"/>
          <w:sz w:val="28"/>
          <w:szCs w:val="28"/>
          <w:lang w:val="en-US" w:eastAsia="zh-CN"/>
        </w:rPr>
        <w:br w:type="textWrapping"/>
      </w:r>
      <w:r>
        <w:rPr>
          <w:rFonts w:hint="eastAsia" w:ascii="宋体" w:hAnsi="宋体" w:eastAsia="宋体" w:cs="宋体"/>
          <w:sz w:val="28"/>
          <w:szCs w:val="28"/>
          <w:lang w:val="en-US" w:eastAsia="zh-CN"/>
        </w:rPr>
        <w:t>（14）</w:t>
      </w:r>
      <w:r>
        <w:rPr>
          <w:rFonts w:hint="eastAsia" w:ascii="宋体" w:hAnsi="宋体" w:eastAsia="宋体" w:cs="宋体"/>
          <w:sz w:val="28"/>
          <w:szCs w:val="28"/>
        </w:rPr>
        <w:t>支持大屏展示运营智能体运行概况，展示平台系统部署以来的原始告警总数、告警来源设备数、不同设备源告警数、有效安全事件数、告警消减数、AI处置的安全事件数、智能资产统计、智能剧本执行趋势统计图。</w:t>
      </w:r>
    </w:p>
    <w:p w14:paraId="244F5668">
      <w:pPr>
        <w:numPr>
          <w:ilvl w:val="0"/>
          <w:numId w:val="0"/>
        </w:numPr>
        <w:jc w:val="both"/>
        <w:rPr>
          <w:rFonts w:hint="eastAsia" w:ascii="宋体" w:hAnsi="宋体" w:eastAsia="宋体" w:cs="宋体"/>
          <w:sz w:val="28"/>
          <w:szCs w:val="28"/>
        </w:rPr>
      </w:pPr>
      <w:r>
        <w:rPr>
          <w:rFonts w:hint="eastAsia" w:ascii="宋体" w:hAnsi="宋体" w:eastAsia="宋体" w:cs="宋体"/>
          <w:sz w:val="28"/>
          <w:szCs w:val="28"/>
          <w:lang w:val="en-US" w:eastAsia="zh-CN"/>
        </w:rPr>
        <w:t>（15）</w:t>
      </w:r>
      <w:r>
        <w:rPr>
          <w:rFonts w:hint="eastAsia" w:ascii="宋体" w:hAnsi="宋体" w:eastAsia="宋体" w:cs="宋体"/>
          <w:sz w:val="28"/>
          <w:szCs w:val="28"/>
        </w:rPr>
        <w:t>支持第三方大模型的对接，与院内大模型实现无缝对接。</w:t>
      </w:r>
    </w:p>
    <w:p w14:paraId="539A2096">
      <w:pPr>
        <w:numPr>
          <w:ilvl w:val="0"/>
          <w:numId w:val="0"/>
        </w:numPr>
        <w:jc w:val="both"/>
        <w:rPr>
          <w:rFonts w:hint="eastAsia" w:ascii="宋体" w:hAnsi="宋体" w:eastAsia="宋体" w:cs="宋体"/>
          <w:b w:val="0"/>
          <w:bCs w:val="0"/>
          <w:sz w:val="28"/>
          <w:szCs w:val="28"/>
          <w:lang w:val="en-US" w:eastAsia="zh-CN"/>
        </w:rPr>
      </w:pPr>
      <w:r>
        <w:rPr>
          <w:rFonts w:hint="eastAsia" w:ascii="宋体" w:hAnsi="宋体" w:eastAsia="宋体" w:cs="宋体"/>
          <w:b/>
          <w:bCs/>
          <w:sz w:val="28"/>
          <w:szCs w:val="28"/>
          <w:lang w:val="en-US" w:eastAsia="zh-CN"/>
        </w:rPr>
        <w:t>4.8 定制开发</w:t>
      </w:r>
      <w:r>
        <w:rPr>
          <w:rFonts w:hint="eastAsia" w:ascii="宋体" w:hAnsi="宋体" w:eastAsia="宋体" w:cs="宋体"/>
          <w:b/>
          <w:bCs/>
          <w:sz w:val="28"/>
          <w:szCs w:val="28"/>
          <w:lang w:val="en-US" w:eastAsia="zh-CN"/>
        </w:rPr>
        <w:br w:type="textWrapping"/>
      </w:r>
      <w:r>
        <w:rPr>
          <w:rFonts w:hint="eastAsia" w:ascii="宋体" w:hAnsi="宋体" w:eastAsia="宋体" w:cs="宋体"/>
          <w:b w:val="0"/>
          <w:bCs w:val="0"/>
          <w:sz w:val="28"/>
          <w:szCs w:val="28"/>
          <w:lang w:val="en-US" w:eastAsia="zh-CN"/>
        </w:rPr>
        <w:t>4.8.1</w:t>
      </w:r>
      <w:r>
        <w:rPr>
          <w:rFonts w:hint="eastAsia" w:ascii="宋体" w:hAnsi="宋体" w:eastAsia="宋体" w:cs="宋体"/>
          <w:b w:val="0"/>
          <w:bCs w:val="0"/>
          <w:sz w:val="28"/>
          <w:szCs w:val="28"/>
        </w:rPr>
        <w:t>流程及设备对接定制</w:t>
      </w:r>
      <w:r>
        <w:rPr>
          <w:rFonts w:hint="eastAsia" w:ascii="宋体" w:hAnsi="宋体" w:eastAsia="宋体" w:cs="宋体"/>
          <w:b/>
          <w:bCs/>
          <w:sz w:val="28"/>
          <w:szCs w:val="28"/>
          <w:lang w:val="en-US" w:eastAsia="zh-CN"/>
        </w:rPr>
        <w:br w:type="textWrapping"/>
      </w:r>
      <w:r>
        <w:rPr>
          <w:rFonts w:hint="eastAsia" w:ascii="宋体" w:hAnsi="宋体" w:eastAsia="宋体" w:cs="宋体"/>
          <w:b w:val="0"/>
          <w:bCs w:val="0"/>
          <w:sz w:val="28"/>
          <w:szCs w:val="28"/>
          <w:lang w:val="en-US" w:eastAsia="zh-CN"/>
        </w:rPr>
        <w:t>（1）结合医院业务属性，定制安全数据采集、智能分析、事件处置的全流程运营体系。</w:t>
      </w:r>
    </w:p>
    <w:p w14:paraId="02C4EF36">
      <w:pPr>
        <w:numPr>
          <w:ilvl w:val="0"/>
          <w:numId w:val="0"/>
        </w:numPr>
        <w:jc w:val="both"/>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（2）完成院内核心安全设备的对接联动，实现处置指令统一调度与安全事件闭环管理。嵌入安全智能体能力，辅助告警研判与处置决策，优化安全运营效率。</w:t>
      </w:r>
      <w:r>
        <w:rPr>
          <w:rFonts w:hint="eastAsia" w:ascii="宋体" w:hAnsi="宋体" w:eastAsia="宋体" w:cs="宋体"/>
          <w:b w:val="0"/>
          <w:bCs w:val="0"/>
          <w:sz w:val="28"/>
          <w:szCs w:val="28"/>
          <w:lang w:val="en-US" w:eastAsia="zh-CN"/>
        </w:rPr>
        <w:br w:type="textWrapping"/>
      </w:r>
      <w:r>
        <w:rPr>
          <w:rFonts w:hint="eastAsia" w:ascii="宋体" w:hAnsi="宋体" w:eastAsia="宋体" w:cs="宋体"/>
          <w:b w:val="0"/>
          <w:bCs w:val="0"/>
          <w:sz w:val="28"/>
          <w:szCs w:val="28"/>
          <w:lang w:val="en-US" w:eastAsia="zh-CN"/>
        </w:rPr>
        <w:t>4.8.2 HIS 系统对接与业务安全分析建模定制</w:t>
      </w:r>
      <w:r>
        <w:rPr>
          <w:rFonts w:hint="eastAsia" w:ascii="宋体" w:hAnsi="宋体" w:eastAsia="宋体" w:cs="宋体"/>
          <w:b w:val="0"/>
          <w:bCs w:val="0"/>
          <w:sz w:val="28"/>
          <w:szCs w:val="28"/>
          <w:lang w:val="en-US" w:eastAsia="zh-CN"/>
        </w:rPr>
        <w:br w:type="textWrapping"/>
      </w:r>
      <w:r>
        <w:rPr>
          <w:rFonts w:hint="eastAsia" w:ascii="宋体" w:hAnsi="宋体" w:eastAsia="宋体" w:cs="宋体"/>
          <w:b w:val="0"/>
          <w:bCs w:val="0"/>
          <w:sz w:val="28"/>
          <w:szCs w:val="28"/>
          <w:lang w:val="en-US" w:eastAsia="zh-CN"/>
        </w:rPr>
        <w:t>（1）遵循医疗数据安全规范，完成 HIS 系统相关日志数据对接。</w:t>
      </w:r>
    </w:p>
    <w:p w14:paraId="6CF0A9EC">
      <w:pPr>
        <w:numPr>
          <w:ilvl w:val="0"/>
          <w:numId w:val="0"/>
        </w:numPr>
        <w:jc w:val="both"/>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（2）基于 HIS 人员身份、权限及操作行为，定制业务安全分析模型，识别异常风险。</w:t>
      </w:r>
      <w:r>
        <w:rPr>
          <w:rFonts w:hint="eastAsia" w:ascii="宋体" w:hAnsi="宋体" w:eastAsia="宋体" w:cs="宋体"/>
          <w:b w:val="0"/>
          <w:bCs w:val="0"/>
          <w:sz w:val="28"/>
          <w:szCs w:val="28"/>
          <w:lang w:val="en-US" w:eastAsia="zh-CN"/>
        </w:rPr>
        <w:br w:type="textWrapping"/>
      </w:r>
      <w:r>
        <w:rPr>
          <w:rFonts w:hint="eastAsia" w:ascii="宋体" w:hAnsi="宋体" w:eastAsia="宋体" w:cs="宋体"/>
          <w:b w:val="0"/>
          <w:bCs w:val="0"/>
          <w:sz w:val="28"/>
          <w:szCs w:val="28"/>
          <w:lang w:val="en-US" w:eastAsia="zh-CN"/>
        </w:rPr>
        <w:t>4.8.3 安全报表定制</w:t>
      </w:r>
      <w:r>
        <w:rPr>
          <w:rFonts w:hint="eastAsia" w:ascii="宋体" w:hAnsi="宋体" w:eastAsia="宋体" w:cs="宋体"/>
          <w:b w:val="0"/>
          <w:bCs w:val="0"/>
          <w:sz w:val="28"/>
          <w:szCs w:val="28"/>
          <w:lang w:val="en-US" w:eastAsia="zh-CN"/>
        </w:rPr>
        <w:br w:type="textWrapping"/>
      </w:r>
      <w:r>
        <w:rPr>
          <w:rFonts w:hint="eastAsia" w:ascii="宋体" w:hAnsi="宋体" w:eastAsia="宋体" w:cs="宋体"/>
          <w:b w:val="0"/>
          <w:bCs w:val="0"/>
          <w:sz w:val="28"/>
          <w:szCs w:val="28"/>
          <w:lang w:val="en-US" w:eastAsia="zh-CN"/>
        </w:rPr>
        <w:t>（1）围绕合规、运营、管理等场景，定制适配医院需求的安全报表体系。</w:t>
      </w:r>
    </w:p>
    <w:p w14:paraId="3A4B53F9">
      <w:pPr>
        <w:numPr>
          <w:ilvl w:val="0"/>
          <w:numId w:val="0"/>
        </w:numPr>
        <w:jc w:val="both"/>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（2）实现报表定期自动生成、定向推送及通用格式导出。</w:t>
      </w:r>
      <w:r>
        <w:rPr>
          <w:rFonts w:hint="eastAsia" w:ascii="宋体" w:hAnsi="宋体" w:eastAsia="宋体" w:cs="宋体"/>
          <w:b w:val="0"/>
          <w:bCs w:val="0"/>
          <w:sz w:val="28"/>
          <w:szCs w:val="28"/>
          <w:lang w:val="en-US" w:eastAsia="zh-CN"/>
        </w:rPr>
        <w:br w:type="textWrapping"/>
      </w:r>
      <w:r>
        <w:rPr>
          <w:rFonts w:hint="eastAsia" w:ascii="宋体" w:hAnsi="宋体" w:eastAsia="宋体" w:cs="宋体"/>
          <w:b/>
          <w:bCs/>
          <w:sz w:val="28"/>
          <w:szCs w:val="28"/>
          <w:lang w:val="en-US" w:eastAsia="zh-CN"/>
        </w:rPr>
        <w:t>4.9运维移动端</w:t>
      </w:r>
      <w:r>
        <w:rPr>
          <w:rFonts w:hint="eastAsia" w:ascii="宋体" w:hAnsi="宋体" w:eastAsia="宋体" w:cs="宋体"/>
          <w:b/>
          <w:bCs/>
          <w:sz w:val="28"/>
          <w:szCs w:val="28"/>
          <w:lang w:val="en-US" w:eastAsia="zh-CN"/>
        </w:rPr>
        <w:br w:type="textWrapping"/>
      </w:r>
      <w:r>
        <w:rPr>
          <w:rFonts w:hint="eastAsia" w:ascii="宋体" w:hAnsi="宋体" w:eastAsia="宋体" w:cs="宋体"/>
          <w:b w:val="0"/>
          <w:bCs w:val="0"/>
          <w:sz w:val="28"/>
          <w:szCs w:val="28"/>
          <w:lang w:val="en-US" w:eastAsia="zh-CN"/>
        </w:rPr>
        <w:t>（1）提供智能化运维移动端平台，聚焦运维场景的移动化支持与闭环管理。</w:t>
      </w:r>
    </w:p>
    <w:p w14:paraId="4D8CB9D6">
      <w:pPr>
        <w:numPr>
          <w:ilvl w:val="0"/>
          <w:numId w:val="0"/>
        </w:numPr>
        <w:jc w:val="both"/>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（2）资源视图:列表形式查看全局资产信息，包含资产名称、描述信息、所属区域、安全状态、IP地址、资产责任人、添加方式等信息</w:t>
      </w:r>
    </w:p>
    <w:p w14:paraId="7527DC37">
      <w:pPr>
        <w:numPr>
          <w:ilvl w:val="0"/>
          <w:numId w:val="0"/>
        </w:numPr>
        <w:jc w:val="both"/>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（3）告警中心:查看安全告警列表，包括告警名称、告警描述、告警等级、告警关注点、源IP、目的IP、攻击阶段、失陷状态、源地理信息、目的地理信息等信息。</w:t>
      </w:r>
    </w:p>
    <w:p w14:paraId="750DE00C">
      <w:pPr>
        <w:numPr>
          <w:ilvl w:val="0"/>
          <w:numId w:val="0"/>
        </w:numPr>
        <w:jc w:val="both"/>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（4）工单处理:移动化工单流，支持工单实时推送接收（含关联告警、脆弱性风险等信息）、签收确认</w:t>
      </w:r>
    </w:p>
    <w:p w14:paraId="2D155695">
      <w:pPr>
        <w:numPr>
          <w:ilvl w:val="0"/>
          <w:numId w:val="0"/>
        </w:numPr>
        <w:jc w:val="both"/>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（5）问题闭环排查:标准化闭环流程,实现告警触发-资产定位-状态诊断一工单处理的全流程移动端闭环</w:t>
      </w:r>
      <w:r>
        <w:rPr>
          <w:rFonts w:hint="eastAsia" w:ascii="宋体" w:hAnsi="宋体" w:eastAsia="宋体" w:cs="宋体"/>
          <w:b/>
          <w:bCs/>
          <w:sz w:val="28"/>
          <w:szCs w:val="28"/>
          <w:lang w:val="en-US" w:eastAsia="zh-CN"/>
        </w:rPr>
        <w:br w:type="textWrapping"/>
      </w:r>
      <w:r>
        <w:rPr>
          <w:rFonts w:hint="eastAsia" w:ascii="宋体" w:hAnsi="宋体" w:eastAsia="宋体" w:cs="宋体"/>
          <w:b/>
          <w:bCs/>
          <w:sz w:val="28"/>
          <w:szCs w:val="28"/>
          <w:lang w:val="en-US" w:eastAsia="zh-CN"/>
        </w:rPr>
        <w:t>4.10其他</w:t>
      </w:r>
      <w:r>
        <w:rPr>
          <w:rFonts w:hint="eastAsia" w:ascii="宋体" w:hAnsi="宋体" w:eastAsia="宋体" w:cs="宋体"/>
          <w:b w:val="0"/>
          <w:bCs w:val="0"/>
          <w:sz w:val="28"/>
          <w:szCs w:val="28"/>
          <w:lang w:val="en-US" w:eastAsia="zh-CN"/>
        </w:rPr>
        <w:br w:type="textWrapping"/>
      </w:r>
      <w:r>
        <w:rPr>
          <w:rFonts w:hint="eastAsia" w:ascii="宋体" w:hAnsi="宋体" w:eastAsia="宋体" w:cs="宋体"/>
          <w:b w:val="0"/>
          <w:bCs w:val="0"/>
          <w:sz w:val="28"/>
          <w:szCs w:val="28"/>
          <w:lang w:val="en-US" w:eastAsia="zh-CN"/>
        </w:rPr>
        <w:t>（1）支持多租户管理，系统支持进行分权分域管理。</w:t>
      </w:r>
    </w:p>
    <w:p w14:paraId="06E29F7B">
      <w:pPr>
        <w:numPr>
          <w:ilvl w:val="0"/>
          <w:numId w:val="0"/>
        </w:numPr>
        <w:jc w:val="both"/>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（2）平台支持对网络流量威胁检测探针进行联动报文捕获配置，通过添加威胁检测探针日志源，联动下发威胁检测探针报文捕获配置，协助运维人员进行安全事件网络取证分析。</w:t>
      </w:r>
    </w:p>
    <w:p w14:paraId="242C874C">
      <w:pPr>
        <w:numPr>
          <w:ilvl w:val="0"/>
          <w:numId w:val="0"/>
        </w:numPr>
        <w:jc w:val="both"/>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（3）支持大屏定制标题、地图，支持定制系统名称，支持定制单位名称，支持定制LOGO图片。</w:t>
      </w:r>
      <w:r>
        <w:rPr>
          <w:rFonts w:hint="eastAsia" w:ascii="宋体" w:hAnsi="宋体" w:eastAsia="宋体" w:cs="宋体"/>
          <w:b w:val="0"/>
          <w:bCs w:val="0"/>
          <w:sz w:val="28"/>
          <w:szCs w:val="28"/>
          <w:lang w:val="en-US" w:eastAsia="zh-CN"/>
        </w:rPr>
        <w:br w:type="textWrapping"/>
      </w:r>
      <w:r>
        <w:rPr>
          <w:rFonts w:hint="eastAsia" w:ascii="宋体" w:hAnsi="宋体" w:eastAsia="宋体" w:cs="宋体"/>
          <w:b w:val="0"/>
          <w:bCs w:val="0"/>
          <w:sz w:val="28"/>
          <w:szCs w:val="28"/>
          <w:lang w:val="en-US" w:eastAsia="zh-CN"/>
        </w:rPr>
        <w:t>（4）支持对资产的增删改查和导入导出管理，可以按照网络设备、安全设备、服务器、终端、物联网设备、其它等类型进行分类。</w:t>
      </w:r>
    </w:p>
    <w:p w14:paraId="57440E09">
      <w:pPr>
        <w:numPr>
          <w:ilvl w:val="0"/>
          <w:numId w:val="0"/>
        </w:numPr>
        <w:jc w:val="both"/>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（5）支持通过配置区域信息区分网络内外网网段和IP，支持对区域的增删改查以及导入管理。</w:t>
      </w:r>
      <w:r>
        <w:rPr>
          <w:rFonts w:hint="eastAsia" w:ascii="宋体" w:hAnsi="宋体" w:eastAsia="宋体" w:cs="宋体"/>
          <w:b w:val="0"/>
          <w:bCs w:val="0"/>
          <w:sz w:val="28"/>
          <w:szCs w:val="28"/>
          <w:lang w:val="en-US" w:eastAsia="zh-CN"/>
        </w:rPr>
        <w:br w:type="textWrapping"/>
      </w:r>
      <w:r>
        <w:rPr>
          <w:rFonts w:hint="eastAsia" w:ascii="宋体" w:hAnsi="宋体" w:eastAsia="宋体" w:cs="宋体"/>
          <w:b w:val="0"/>
          <w:bCs w:val="0"/>
          <w:sz w:val="28"/>
          <w:szCs w:val="28"/>
          <w:lang w:val="en-US" w:eastAsia="zh-CN"/>
        </w:rPr>
        <w:t>（6）支持至少3个节点集群部署。</w:t>
      </w:r>
    </w:p>
    <w:p w14:paraId="224DE6C6">
      <w:pPr>
        <w:numPr>
          <w:ilvl w:val="0"/>
          <w:numId w:val="0"/>
        </w:numPr>
        <w:jc w:val="both"/>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（7）平台支持事件入库性能：45000条/秒；日志源接入数量不低于1024个。</w:t>
      </w:r>
    </w:p>
    <w:p w14:paraId="2229AFB7">
      <w:pPr>
        <w:numPr>
          <w:ilvl w:val="0"/>
          <w:numId w:val="0"/>
        </w:numPr>
        <w:jc w:val="both"/>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（8）</w:t>
      </w:r>
      <w:r>
        <w:rPr>
          <w:rFonts w:hint="default" w:ascii="宋体" w:hAnsi="宋体" w:eastAsia="宋体" w:cs="宋体"/>
          <w:b w:val="0"/>
          <w:bCs w:val="0"/>
          <w:sz w:val="28"/>
          <w:szCs w:val="28"/>
          <w:lang w:val="en-US" w:eastAsia="zh-CN"/>
        </w:rPr>
        <w:t>提供针对用户关键操作（增删改查、登录登出、权限变更等）的专项审计视图与报告</w:t>
      </w:r>
      <w:r>
        <w:rPr>
          <w:rFonts w:hint="eastAsia" w:ascii="宋体" w:hAnsi="宋体" w:eastAsia="宋体" w:cs="宋体"/>
          <w:b w:val="0"/>
          <w:bCs w:val="0"/>
          <w:sz w:val="28"/>
          <w:szCs w:val="28"/>
          <w:lang w:val="en-US" w:eastAsia="zh-CN"/>
        </w:rPr>
        <w:t>。</w:t>
      </w:r>
      <w:r>
        <w:rPr>
          <w:rFonts w:hint="eastAsia" w:ascii="宋体" w:hAnsi="宋体" w:eastAsia="宋体" w:cs="宋体"/>
          <w:b w:val="0"/>
          <w:bCs w:val="0"/>
          <w:sz w:val="28"/>
          <w:szCs w:val="28"/>
          <w:lang w:val="en-US" w:eastAsia="zh-CN"/>
        </w:rPr>
        <w:br w:type="textWrapping"/>
      </w:r>
    </w:p>
    <w:p w14:paraId="5BF9FB58">
      <w:pPr>
        <w:numPr>
          <w:ilvl w:val="0"/>
          <w:numId w:val="0"/>
        </w:numPr>
        <w:jc w:val="both"/>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5 项目工期</w:t>
      </w:r>
    </w:p>
    <w:p w14:paraId="0367F4A4">
      <w:pPr>
        <w:numPr>
          <w:ilvl w:val="0"/>
          <w:numId w:val="0"/>
        </w:numPr>
        <w:jc w:val="both"/>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5.1自合同签订之日起，须在10个工作日内对《用户需求说明书》进行补充、确认或提出意见。</w:t>
      </w:r>
    </w:p>
    <w:p w14:paraId="2C1981E5">
      <w:pPr>
        <w:numPr>
          <w:ilvl w:val="0"/>
          <w:numId w:val="0"/>
        </w:numPr>
        <w:jc w:val="both"/>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5.2对《用户需求说明书》提出意见后，院方组织进行用户需求调研，根据调研情况提供业务调研记录、现况分析、功能设计及说明，双方共同整理并在10个工作日内确认《需求规格说明书》。</w:t>
      </w:r>
    </w:p>
    <w:p w14:paraId="53F63924">
      <w:pPr>
        <w:numPr>
          <w:ilvl w:val="0"/>
          <w:numId w:val="0"/>
        </w:numPr>
        <w:jc w:val="both"/>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5.3须在《需求规格说明书》确认后的9个月内逐步实施上线，保证系统正常工作。</w:t>
      </w:r>
    </w:p>
    <w:p w14:paraId="403B8E32">
      <w:pPr>
        <w:numPr>
          <w:ilvl w:val="0"/>
          <w:numId w:val="0"/>
        </w:numPr>
        <w:jc w:val="both"/>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5.4完成软件实施，并根据院方提出的新需求完成修改后，系统运行3个月以上无软件故障出现，则向院方申请验收。</w:t>
      </w:r>
    </w:p>
    <w:p w14:paraId="4E416EE2">
      <w:pPr>
        <w:numPr>
          <w:ilvl w:val="0"/>
          <w:numId w:val="0"/>
        </w:numPr>
        <w:jc w:val="both"/>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6 实施服务要求</w:t>
      </w:r>
    </w:p>
    <w:p w14:paraId="4B2D037F">
      <w:pPr>
        <w:numPr>
          <w:ilvl w:val="0"/>
          <w:numId w:val="0"/>
        </w:numPr>
        <w:jc w:val="both"/>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6.1在项目实施前，结合院方项目需求，需向医院提交设计方案进行安全评审，保证安全技术措施同步规划，系统建设根据信息系统安全等级保护要求进行建设。</w:t>
      </w:r>
    </w:p>
    <w:p w14:paraId="62FAD019">
      <w:pPr>
        <w:numPr>
          <w:ilvl w:val="0"/>
          <w:numId w:val="0"/>
        </w:numPr>
        <w:jc w:val="both"/>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6.2软件需通过院方信息部门组织的信息系统安全等级定级要求，项目承建商需依据国家最新等级保护标准完成系统功能建设；上线前软件需通过院方信息部门组织的安全测评、漏洞扫描、渗透测试等安全检查，项目承建商根据检测结果对安全漏洞进行整改。</w:t>
      </w:r>
    </w:p>
    <w:p w14:paraId="749FBB84">
      <w:pPr>
        <w:numPr>
          <w:ilvl w:val="0"/>
          <w:numId w:val="0"/>
        </w:numPr>
        <w:jc w:val="both"/>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6.3项目承建商需根据院方的详细需求，提交项目系统的安装、调试及培训实施方案，方案得到院方确认后实施，保证系统按时、正常地投入运行。</w:t>
      </w:r>
    </w:p>
    <w:p w14:paraId="23BEDFE5">
      <w:pPr>
        <w:numPr>
          <w:ilvl w:val="0"/>
          <w:numId w:val="0"/>
        </w:numPr>
        <w:jc w:val="both"/>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6.4项目承建商应为院方进行培训，包括使用培训和维护培训。承建商应提出详细的培训计划，提供培训教材。技术培训的内容必须覆盖产品的安装、日常操作和管理维护，以及基本的故障诊断与排错。包括但不限于数据库与开发技术培训、系统维护培训、用户培训，并保证培训效果。</w:t>
      </w:r>
    </w:p>
    <w:p w14:paraId="09CC9A37">
      <w:pPr>
        <w:numPr>
          <w:ilvl w:val="0"/>
          <w:numId w:val="0"/>
        </w:numPr>
        <w:jc w:val="both"/>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6.5系统上线平稳运行两个月无重大故障方可发起验收。</w:t>
      </w:r>
      <w:r>
        <w:rPr>
          <w:rFonts w:hint="eastAsia" w:ascii="宋体" w:hAnsi="宋体" w:eastAsia="宋体" w:cs="宋体"/>
          <w:b w:val="0"/>
          <w:bCs w:val="0"/>
          <w:sz w:val="28"/>
          <w:szCs w:val="28"/>
          <w:lang w:val="en-US" w:eastAsia="zh-CN"/>
        </w:rPr>
        <w:br w:type="textWrapping"/>
      </w:r>
      <w:r>
        <w:rPr>
          <w:rFonts w:hint="eastAsia" w:ascii="宋体" w:hAnsi="宋体" w:eastAsia="宋体" w:cs="宋体"/>
          <w:b w:val="0"/>
          <w:bCs w:val="0"/>
          <w:sz w:val="28"/>
          <w:szCs w:val="28"/>
          <w:lang w:val="en-US" w:eastAsia="zh-CN"/>
        </w:rPr>
        <w:t>6.6验收由承建商给出具体的验收计划、测试的内容和方法，经院方审核通过后，方可进行验收测试。</w:t>
      </w:r>
    </w:p>
    <w:p w14:paraId="010942BD">
      <w:pPr>
        <w:numPr>
          <w:ilvl w:val="0"/>
          <w:numId w:val="0"/>
        </w:numPr>
        <w:jc w:val="both"/>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7 后续维护服务</w:t>
      </w:r>
    </w:p>
    <w:p w14:paraId="32BE9744">
      <w:pPr>
        <w:numPr>
          <w:ilvl w:val="0"/>
          <w:numId w:val="0"/>
        </w:numPr>
        <w:jc w:val="both"/>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7.1软件免费维护期从合同标的验收合格之日算起，期限不少于24个月。在免费维护期内，承建商提供技术支持和指导，以及软件的局部改进完善以及故障情况下的现场问题解决，需要提供完整的操作手册及工程师常见问题自检手册，支持配合医院后续的本地化功能开发。</w:t>
      </w:r>
    </w:p>
    <w:p w14:paraId="2A7F1B9F">
      <w:pPr>
        <w:numPr>
          <w:ilvl w:val="0"/>
          <w:numId w:val="0"/>
        </w:numPr>
        <w:jc w:val="both"/>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7.2免费维保期内承建商保证为院方提供不少于1名固定的专职工程师，负责维护及服务，工作时间与院方工作时间一致，及时响应。</w:t>
      </w:r>
    </w:p>
    <w:p w14:paraId="64148C69">
      <w:pPr>
        <w:numPr>
          <w:ilvl w:val="0"/>
          <w:numId w:val="0"/>
        </w:numPr>
        <w:jc w:val="both"/>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7.3在免费维护期结束前，须由承建商和院方进行一次全面检查，任何缺陷必须由承建商负责修复，在修复之后，承建商应将缺陷原因、修复内容、完成修理及恢复正常的时间和日期等报告给院方，形成项目总结报告。</w:t>
      </w:r>
    </w:p>
    <w:p w14:paraId="407AB36A">
      <w:pPr>
        <w:numPr>
          <w:ilvl w:val="0"/>
          <w:numId w:val="0"/>
        </w:numPr>
        <w:jc w:val="both"/>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7.4超过免费维护期的，双方另行协商签订维护合同，服务方报价不超过合同软件部分金额的5%。</w:t>
      </w:r>
      <w:r>
        <w:rPr>
          <w:rFonts w:hint="eastAsia" w:ascii="宋体" w:hAnsi="宋体" w:eastAsia="宋体" w:cs="宋体"/>
          <w:b w:val="0"/>
          <w:bCs w:val="0"/>
          <w:sz w:val="28"/>
          <w:szCs w:val="28"/>
          <w:lang w:val="en-US" w:eastAsia="zh-CN"/>
        </w:rPr>
        <w:br w:type="textWrapping"/>
      </w:r>
      <w:r>
        <w:rPr>
          <w:rFonts w:hint="eastAsia" w:ascii="宋体" w:hAnsi="宋体" w:eastAsia="宋体" w:cs="宋体"/>
          <w:b/>
          <w:bCs/>
          <w:sz w:val="28"/>
          <w:szCs w:val="28"/>
          <w:lang w:val="en-US" w:eastAsia="zh-CN"/>
        </w:rPr>
        <w:t>8 合同款支付方式</w:t>
      </w:r>
    </w:p>
    <w:p w14:paraId="3650F8A8">
      <w:pPr>
        <w:numPr>
          <w:ilvl w:val="0"/>
          <w:numId w:val="0"/>
        </w:numPr>
        <w:jc w:val="both"/>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8.1在合同签订、收到承建商开具相应金额正式发票后，支付合同总金额的10%。</w:t>
      </w:r>
    </w:p>
    <w:p w14:paraId="0452205E">
      <w:pPr>
        <w:numPr>
          <w:ilvl w:val="0"/>
          <w:numId w:val="0"/>
        </w:numPr>
        <w:jc w:val="both"/>
        <w:rPr>
          <w:rFonts w:hint="default"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8.2项目通过验收、收到承建商开具相应金额正式发票后，支付至合同总金额的100%。</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9015205"/>
    <w:multiLevelType w:val="multilevel"/>
    <w:tmpl w:val="29015205"/>
    <w:lvl w:ilvl="0" w:tentative="0">
      <w:start w:val="1"/>
      <w:numFmt w:val="decimal"/>
      <w:pStyle w:val="2"/>
      <w:lvlText w:val="%1"/>
      <w:lvlJc w:val="left"/>
      <w:pPr>
        <w:ind w:left="432" w:hanging="432"/>
      </w:pPr>
      <w:rPr>
        <w:rFonts w:hint="eastAsia"/>
      </w:rPr>
    </w:lvl>
    <w:lvl w:ilvl="1" w:tentative="0">
      <w:start w:val="1"/>
      <w:numFmt w:val="decimal"/>
      <w:lvlText w:val="4.%2"/>
      <w:lvlJc w:val="left"/>
      <w:pPr>
        <w:ind w:left="576" w:hanging="576"/>
      </w:pPr>
      <w:rPr>
        <w:rFonts w:hint="eastAsia"/>
      </w:rPr>
    </w:lvl>
    <w:lvl w:ilvl="2" w:tentative="0">
      <w:start w:val="1"/>
      <w:numFmt w:val="decimal"/>
      <w:lvlText w:val="6.2.%3"/>
      <w:lvlJc w:val="left"/>
      <w:pPr>
        <w:ind w:left="720" w:hanging="720"/>
      </w:pPr>
      <w:rPr>
        <w:rFonts w:hint="eastAsia"/>
      </w:rPr>
    </w:lvl>
    <w:lvl w:ilvl="3" w:tentative="0">
      <w:start w:val="1"/>
      <w:numFmt w:val="decimal"/>
      <w:lvlText w:val="5.1.1.%4"/>
      <w:lvlJc w:val="left"/>
      <w:pPr>
        <w:ind w:left="864" w:hanging="864"/>
      </w:pPr>
      <w:rPr>
        <w:rFonts w:hint="eastAsia"/>
      </w:rPr>
    </w:lvl>
    <w:lvl w:ilvl="4" w:tentative="0">
      <w:start w:val="1"/>
      <w:numFmt w:val="decimal"/>
      <w:lvlText w:val="5.1.1.1.%5"/>
      <w:lvlJc w:val="left"/>
      <w:pPr>
        <w:ind w:left="2142" w:hanging="1008"/>
      </w:pPr>
      <w:rPr>
        <w:rFonts w:hint="eastAsia"/>
      </w:rPr>
    </w:lvl>
    <w:lvl w:ilvl="5" w:tentative="0">
      <w:start w:val="1"/>
      <w:numFmt w:val="decimal"/>
      <w:lvlText w:val="%1.%2.%3.%4.%5.%6"/>
      <w:lvlJc w:val="left"/>
      <w:pPr>
        <w:ind w:left="1152" w:hanging="1152"/>
      </w:pPr>
      <w:rPr>
        <w:rFonts w:hint="eastAsia"/>
      </w:rPr>
    </w:lvl>
    <w:lvl w:ilvl="6" w:tentative="0">
      <w:start w:val="1"/>
      <w:numFmt w:val="decimal"/>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lvlText w:val="%1.%2.%3.%4.%5.%6.%7.%8.%9"/>
      <w:lvlJc w:val="left"/>
      <w:pPr>
        <w:ind w:left="1584" w:hanging="1584"/>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B0F3A"/>
    <w:rsid w:val="059E1945"/>
    <w:rsid w:val="064C13A1"/>
    <w:rsid w:val="0B5450D5"/>
    <w:rsid w:val="0C4F1BEB"/>
    <w:rsid w:val="0E2D53DD"/>
    <w:rsid w:val="0EBB3568"/>
    <w:rsid w:val="18FA6E74"/>
    <w:rsid w:val="1A564145"/>
    <w:rsid w:val="1C9D42AD"/>
    <w:rsid w:val="25B032A3"/>
    <w:rsid w:val="2EEF4086"/>
    <w:rsid w:val="2F9456AF"/>
    <w:rsid w:val="2FA06136"/>
    <w:rsid w:val="310C4AA2"/>
    <w:rsid w:val="33174961"/>
    <w:rsid w:val="3A984FA2"/>
    <w:rsid w:val="3D49081C"/>
    <w:rsid w:val="3E175815"/>
    <w:rsid w:val="419044CB"/>
    <w:rsid w:val="431C742A"/>
    <w:rsid w:val="45E83445"/>
    <w:rsid w:val="47914598"/>
    <w:rsid w:val="504736F2"/>
    <w:rsid w:val="52B87507"/>
    <w:rsid w:val="537D3F15"/>
    <w:rsid w:val="573C5E95"/>
    <w:rsid w:val="58112E7E"/>
    <w:rsid w:val="584D0361"/>
    <w:rsid w:val="59570D64"/>
    <w:rsid w:val="59815DE1"/>
    <w:rsid w:val="5AEB3B39"/>
    <w:rsid w:val="5D374872"/>
    <w:rsid w:val="617050B9"/>
    <w:rsid w:val="632443AD"/>
    <w:rsid w:val="64647E19"/>
    <w:rsid w:val="6527296A"/>
    <w:rsid w:val="6C372DD7"/>
    <w:rsid w:val="6C411B2C"/>
    <w:rsid w:val="6D04612B"/>
    <w:rsid w:val="6D220A36"/>
    <w:rsid w:val="72477885"/>
    <w:rsid w:val="737E5413"/>
    <w:rsid w:val="758B206A"/>
    <w:rsid w:val="773A2D85"/>
    <w:rsid w:val="777059BB"/>
    <w:rsid w:val="77D73344"/>
    <w:rsid w:val="77F72F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numPr>
        <w:ilvl w:val="0"/>
        <w:numId w:val="1"/>
      </w:numPr>
      <w:spacing w:before="340" w:after="330" w:line="578" w:lineRule="auto"/>
      <w:outlineLvl w:val="0"/>
    </w:pPr>
    <w:rPr>
      <w:b/>
      <w:bCs/>
      <w:kern w:val="44"/>
      <w:sz w:val="44"/>
      <w:szCs w:val="44"/>
      <w:lang w:val="zh-CN"/>
    </w:rPr>
  </w:style>
  <w:style w:type="paragraph" w:styleId="3">
    <w:name w:val="heading 2"/>
    <w:basedOn w:val="1"/>
    <w:next w:val="1"/>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Plain Text"/>
    <w:basedOn w:val="1"/>
    <w:qFormat/>
    <w:uiPriority w:val="0"/>
    <w:pPr>
      <w:outlineLvl w:val="1"/>
    </w:pPr>
    <w:rPr>
      <w:rFonts w:ascii="宋体" w:hAnsi="宋体"/>
      <w:b/>
    </w:rPr>
  </w:style>
  <w:style w:type="table" w:styleId="6">
    <w:name w:val="Table Grid"/>
    <w:basedOn w:val="5"/>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Pages>
  <Words>5423</Words>
  <Characters>5635</Characters>
  <Lines>0</Lines>
  <Paragraphs>0</Paragraphs>
  <TotalTime>376</TotalTime>
  <ScaleCrop>false</ScaleCrop>
  <LinksUpToDate>false</LinksUpToDate>
  <CharactersWithSpaces>5662</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2026-08-15T09:23:00Z</dcterms:created>
  <dc:creator>ZhangXihao</dc:creator>
  <cp:lastModifiedBy>赵杰</cp:lastModifiedBy>
  <dcterms:modified xsi:type="dcterms:W3CDTF">2026-09-07T02:07:42Z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KSOTemplateDocerSaveRecord">
    <vt:lpwstr>eyJoZGlkIjoiZTNmZWQ4ZDMyMDU2MTY4ZmY4YjFhYjNkNzYxMTI0OWEiLCJ1c2VySWQiOiI4MjEzNDE2NTAifQ==</vt:lpwstr>
  </property>
  <property fmtid="{D5CDD505-2E9C-101B-9397-08002B2CF9AE}" pid="4" name="ICV">
    <vt:lpwstr>E36CFE8849434BAE881C440A0AD96922_13</vt:lpwstr>
  </property>
</Properties>
</file>