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56C71B">
      <w:pPr>
        <w:spacing w:before="624" w:beforeLines="200" w:after="312" w:afterLines="100" w:line="360" w:lineRule="auto"/>
        <w:jc w:val="center"/>
        <w:rPr>
          <w:rFonts w:ascii="宋体" w:hAnsi="宋体"/>
          <w:b/>
          <w:sz w:val="40"/>
          <w:szCs w:val="28"/>
        </w:rPr>
      </w:pPr>
      <w:r>
        <w:rPr>
          <w:rFonts w:hint="eastAsia" w:ascii="宋体" w:hAnsi="宋体"/>
          <w:b/>
          <w:sz w:val="40"/>
          <w:szCs w:val="28"/>
          <w:highlight w:val="none"/>
        </w:rPr>
        <w:t>高性能运算服务器配件升级与延保</w:t>
      </w:r>
      <w:r>
        <w:rPr>
          <w:rFonts w:hint="eastAsia" w:ascii="宋体" w:hAnsi="宋体"/>
          <w:b/>
          <w:sz w:val="40"/>
          <w:szCs w:val="28"/>
        </w:rPr>
        <w:t>项目需求</w:t>
      </w:r>
    </w:p>
    <w:p w14:paraId="50EF6F41">
      <w:pPr>
        <w:pStyle w:val="2"/>
        <w:numPr>
          <w:ilvl w:val="0"/>
          <w:numId w:val="3"/>
        </w:numPr>
        <w:spacing w:before="0" w:after="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项目名称</w:t>
      </w:r>
    </w:p>
    <w:p w14:paraId="1D873751">
      <w:pPr>
        <w:spacing w:line="360" w:lineRule="auto"/>
        <w:ind w:left="432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项目名称：</w:t>
      </w:r>
      <w:r>
        <w:rPr>
          <w:rFonts w:hint="eastAsia" w:ascii="宋体" w:hAnsi="宋体"/>
          <w:sz w:val="22"/>
          <w:highlight w:val="none"/>
        </w:rPr>
        <w:t>高性能运算服务器配件升级与延保</w:t>
      </w:r>
      <w:r>
        <w:rPr>
          <w:rFonts w:hint="eastAsia" w:ascii="宋体" w:hAnsi="宋体"/>
          <w:sz w:val="22"/>
        </w:rPr>
        <w:t>项目</w:t>
      </w:r>
    </w:p>
    <w:p w14:paraId="725962E9">
      <w:pPr>
        <w:pStyle w:val="2"/>
        <w:numPr>
          <w:ilvl w:val="0"/>
          <w:numId w:val="3"/>
        </w:numPr>
        <w:spacing w:before="0" w:after="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采购清单</w:t>
      </w:r>
    </w:p>
    <w:p w14:paraId="55F62AF5">
      <w:pPr>
        <w:pStyle w:val="28"/>
        <w:keepNext/>
        <w:keepLines/>
        <w:numPr>
          <w:ilvl w:val="0"/>
          <w:numId w:val="1"/>
        </w:numPr>
        <w:snapToGrid w:val="0"/>
        <w:ind w:firstLineChars="0"/>
        <w:outlineLvl w:val="0"/>
        <w:rPr>
          <w:rFonts w:ascii="宋体" w:hAnsi="宋体" w:eastAsia="宋体"/>
          <w:b/>
          <w:bCs/>
          <w:vanish/>
          <w:kern w:val="44"/>
          <w:szCs w:val="21"/>
        </w:rPr>
      </w:pPr>
    </w:p>
    <w:p w14:paraId="76DEF6EB">
      <w:pPr>
        <w:pStyle w:val="28"/>
        <w:keepNext/>
        <w:keepLines/>
        <w:numPr>
          <w:ilvl w:val="0"/>
          <w:numId w:val="1"/>
        </w:numPr>
        <w:snapToGrid w:val="0"/>
        <w:ind w:firstLineChars="0"/>
        <w:outlineLvl w:val="0"/>
        <w:rPr>
          <w:rFonts w:ascii="宋体" w:hAnsi="宋体" w:eastAsia="宋体"/>
          <w:b/>
          <w:bCs/>
          <w:vanish/>
          <w:kern w:val="44"/>
          <w:szCs w:val="21"/>
        </w:rPr>
      </w:pPr>
    </w:p>
    <w:p w14:paraId="66387DE5">
      <w:pPr>
        <w:pStyle w:val="28"/>
        <w:keepNext/>
        <w:keepLines/>
        <w:numPr>
          <w:ilvl w:val="0"/>
          <w:numId w:val="1"/>
        </w:numPr>
        <w:snapToGrid w:val="0"/>
        <w:ind w:firstLineChars="0"/>
        <w:outlineLvl w:val="0"/>
        <w:rPr>
          <w:rFonts w:ascii="宋体" w:hAnsi="宋体" w:eastAsia="宋体"/>
          <w:b/>
          <w:bCs/>
          <w:vanish/>
          <w:kern w:val="44"/>
          <w:szCs w:val="21"/>
        </w:rPr>
      </w:pPr>
    </w:p>
    <w:p w14:paraId="40A9D4A9">
      <w:pPr>
        <w:pStyle w:val="28"/>
        <w:keepNext/>
        <w:keepLines/>
        <w:numPr>
          <w:ilvl w:val="1"/>
          <w:numId w:val="1"/>
        </w:numPr>
        <w:snapToGrid w:val="0"/>
        <w:ind w:firstLineChars="0"/>
        <w:outlineLvl w:val="0"/>
        <w:rPr>
          <w:rFonts w:ascii="宋体" w:hAnsi="宋体" w:eastAsia="宋体"/>
          <w:b/>
          <w:bCs/>
          <w:vanish/>
          <w:kern w:val="44"/>
          <w:szCs w:val="21"/>
        </w:rPr>
      </w:pPr>
    </w:p>
    <w:p w14:paraId="6425CE95">
      <w:pPr>
        <w:snapToGrid w:val="0"/>
        <w:rPr>
          <w:szCs w:val="21"/>
        </w:rPr>
      </w:pPr>
      <w:r>
        <w:rPr>
          <w:rFonts w:hint="eastAsia"/>
          <w:szCs w:val="21"/>
        </w:rPr>
        <w:t>硬件采购清单如下：</w:t>
      </w:r>
    </w:p>
    <w:tbl>
      <w:tblPr>
        <w:tblStyle w:val="21"/>
        <w:tblW w:w="9777" w:type="dxa"/>
        <w:tblInd w:w="-40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4"/>
        <w:gridCol w:w="1706"/>
        <w:gridCol w:w="6521"/>
        <w:gridCol w:w="896"/>
      </w:tblGrid>
      <w:tr w14:paraId="010EB5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  <w:noWrap w:val="0"/>
            <w:vAlign w:val="top"/>
          </w:tcPr>
          <w:p w14:paraId="63DE1BC8">
            <w:pPr>
              <w:snapToGrid w:val="0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1706" w:type="dxa"/>
            <w:noWrap w:val="0"/>
            <w:vAlign w:val="top"/>
          </w:tcPr>
          <w:p w14:paraId="7FF39B4B">
            <w:pPr>
              <w:snapToGrid w:val="0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名称</w:t>
            </w:r>
          </w:p>
        </w:tc>
        <w:tc>
          <w:tcPr>
            <w:tcW w:w="6521" w:type="dxa"/>
            <w:noWrap w:val="0"/>
            <w:vAlign w:val="top"/>
          </w:tcPr>
          <w:p w14:paraId="724C9683">
            <w:pPr>
              <w:snapToGrid w:val="0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配置描述</w:t>
            </w:r>
          </w:p>
        </w:tc>
        <w:tc>
          <w:tcPr>
            <w:tcW w:w="896" w:type="dxa"/>
            <w:noWrap w:val="0"/>
            <w:vAlign w:val="top"/>
          </w:tcPr>
          <w:p w14:paraId="3E5134CB">
            <w:pPr>
              <w:snapToGrid w:val="0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数量</w:t>
            </w:r>
          </w:p>
        </w:tc>
      </w:tr>
      <w:tr w14:paraId="1222E4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  <w:noWrap w:val="0"/>
            <w:vAlign w:val="center"/>
          </w:tcPr>
          <w:p w14:paraId="51D23C2D">
            <w:pPr>
              <w:snapToGrid w:val="0"/>
              <w:jc w:val="center"/>
              <w:rPr>
                <w:rFonts w:hint="eastAsia" w:ascii="宋体" w:hAnsi="宋体" w:eastAsia="宋体" w:cs="宋体"/>
                <w:b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szCs w:val="21"/>
                <w:lang w:val="en-US" w:eastAsia="zh-CN"/>
              </w:rPr>
              <w:t>1</w:t>
            </w:r>
          </w:p>
        </w:tc>
        <w:tc>
          <w:tcPr>
            <w:tcW w:w="1706" w:type="dxa"/>
            <w:noWrap w:val="0"/>
            <w:vAlign w:val="center"/>
          </w:tcPr>
          <w:p w14:paraId="4DDC1E15">
            <w:pPr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电源</w:t>
            </w:r>
          </w:p>
        </w:tc>
        <w:tc>
          <w:tcPr>
            <w:tcW w:w="6521" w:type="dxa"/>
            <w:noWrap w:val="0"/>
            <w:vAlign w:val="center"/>
          </w:tcPr>
          <w:p w14:paraId="1F035385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额定功率：1250W</w:t>
            </w:r>
          </w:p>
          <w:p w14:paraId="662C408F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转换效率：80 PLUS 白金牌认证（典型负载下效率 ≥92%）</w:t>
            </w:r>
          </w:p>
          <w:p w14:paraId="45B8F1EE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外形规格：标准 ATX 电源，黑色外壳</w:t>
            </w:r>
          </w:p>
          <w:p w14:paraId="1F704B36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模组设计：全模组线材管理</w:t>
            </w:r>
          </w:p>
          <w:p w14:paraId="0737EE2D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散热配置：12-14cm 静音风扇，支持低负载停转</w:t>
            </w:r>
          </w:p>
          <w:p w14:paraId="5198B1F1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电气保护：过压/欠压/过功率/短路/过温多重保护</w:t>
            </w:r>
          </w:p>
          <w:p w14:paraId="49403054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接口配备：原生 16-pin PCIe 5.0 显卡供电接口（12V-2×6），多组 8-pin CPU/PCIe 接口</w:t>
            </w:r>
          </w:p>
          <w:p w14:paraId="12A910ED">
            <w:pPr>
              <w:snapToGrid w:val="0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质保期限：三年保修服务</w:t>
            </w:r>
          </w:p>
        </w:tc>
        <w:tc>
          <w:tcPr>
            <w:tcW w:w="896" w:type="dxa"/>
            <w:noWrap w:val="0"/>
            <w:vAlign w:val="center"/>
          </w:tcPr>
          <w:p w14:paraId="1B905675">
            <w:pPr>
              <w:widowControl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</w:tr>
      <w:tr w14:paraId="3819E3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  <w:noWrap w:val="0"/>
            <w:vAlign w:val="center"/>
          </w:tcPr>
          <w:p w14:paraId="68B9A58B">
            <w:pPr>
              <w:snapToGrid w:val="0"/>
              <w:jc w:val="center"/>
              <w:rPr>
                <w:rFonts w:hint="eastAsia" w:ascii="宋体" w:hAnsi="宋体" w:eastAsia="宋体" w:cs="宋体"/>
                <w:b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szCs w:val="21"/>
                <w:lang w:val="en-US" w:eastAsia="zh-CN"/>
              </w:rPr>
              <w:t>2</w:t>
            </w:r>
          </w:p>
        </w:tc>
        <w:tc>
          <w:tcPr>
            <w:tcW w:w="1706" w:type="dxa"/>
            <w:noWrap w:val="0"/>
            <w:vAlign w:val="center"/>
          </w:tcPr>
          <w:p w14:paraId="39001753">
            <w:pPr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展示终端</w:t>
            </w:r>
            <w:r>
              <w:rPr>
                <w:rFonts w:hint="eastAsia" w:ascii="宋体" w:hAnsi="宋体" w:cs="宋体"/>
                <w:szCs w:val="21"/>
              </w:rPr>
              <w:t>器</w:t>
            </w:r>
          </w:p>
        </w:tc>
        <w:tc>
          <w:tcPr>
            <w:tcW w:w="6521" w:type="dxa"/>
            <w:noWrap w:val="0"/>
            <w:vAlign w:val="center"/>
          </w:tcPr>
          <w:p w14:paraId="676DBBC7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面板尺寸：24英寸（23.8英寸可视区域）</w:t>
            </w:r>
          </w:p>
          <w:p w14:paraId="2863D7C9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面板类型：Fast IPS 快速液晶面板</w:t>
            </w:r>
          </w:p>
          <w:p w14:paraId="1F8FEEAC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分辨率：2K（2560 × 1440，QHD）</w:t>
            </w:r>
          </w:p>
          <w:p w14:paraId="13063A98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刷新率：180Hz（或 超频至 180Hz+）</w:t>
            </w:r>
          </w:p>
          <w:p w14:paraId="61D152D5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响应时间：1ms（GTG 灰阶响应时间）</w:t>
            </w:r>
          </w:p>
          <w:p w14:paraId="2686475A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色彩表现：8-bit / 10-bit（FRC），色域覆盖 ≥ sRGB 99% / DCI-P3 90%</w:t>
            </w:r>
          </w:p>
          <w:p w14:paraId="50549B73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亮度/对比度：峰值亮度 300-350 cd/m²，静态对比度 1000:1</w:t>
            </w:r>
          </w:p>
          <w:p w14:paraId="0A855538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同步技术：支持 Adaptive-Sync / G-SYNC Compatible</w:t>
            </w:r>
          </w:p>
          <w:p w14:paraId="4DA8FD94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视频接口：HDMI 2.0 ×2，DisplayPort 1.4 ×1（支持 DSC）</w:t>
            </w:r>
          </w:p>
          <w:p w14:paraId="14750DF5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其他接口：音频输出（3.5mm）</w:t>
            </w:r>
          </w:p>
          <w:p w14:paraId="642A6F24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支架功能：支持 -5°~23° 俯仰调节，不支持升降旋转（基础底座）</w:t>
            </w:r>
          </w:p>
          <w:p w14:paraId="5127CFBC">
            <w:pPr>
              <w:snapToGrid w:val="0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质保期限：三年保修服务</w:t>
            </w:r>
          </w:p>
        </w:tc>
        <w:tc>
          <w:tcPr>
            <w:tcW w:w="896" w:type="dxa"/>
            <w:noWrap w:val="0"/>
            <w:vAlign w:val="center"/>
          </w:tcPr>
          <w:p w14:paraId="5CA7EC76">
            <w:pPr>
              <w:widowControl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</w:tr>
      <w:tr w14:paraId="5705A2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  <w:noWrap w:val="0"/>
            <w:vAlign w:val="center"/>
          </w:tcPr>
          <w:p w14:paraId="6A91374E">
            <w:pPr>
              <w:snapToGrid w:val="0"/>
              <w:jc w:val="center"/>
              <w:rPr>
                <w:rFonts w:hint="eastAsia" w:ascii="宋体" w:hAnsi="宋体" w:eastAsia="宋体" w:cs="宋体"/>
                <w:b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szCs w:val="21"/>
                <w:lang w:val="en-US" w:eastAsia="zh-CN"/>
              </w:rPr>
              <w:t>3</w:t>
            </w:r>
          </w:p>
        </w:tc>
        <w:tc>
          <w:tcPr>
            <w:tcW w:w="1706" w:type="dxa"/>
            <w:noWrap w:val="0"/>
            <w:vAlign w:val="center"/>
          </w:tcPr>
          <w:p w14:paraId="22439FE3">
            <w:pPr>
              <w:snapToGrid w:val="0"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数据存储1</w:t>
            </w:r>
          </w:p>
        </w:tc>
        <w:tc>
          <w:tcPr>
            <w:tcW w:w="6521" w:type="dxa"/>
            <w:noWrap w:val="0"/>
            <w:vAlign w:val="center"/>
          </w:tcPr>
          <w:p w14:paraId="15E2664D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容量：2TB</w:t>
            </w:r>
          </w:p>
          <w:p w14:paraId="7CD08E17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接口类型：USB 3.0（Micro-B / Type-A 接口，理论速率 5Gbps）</w:t>
            </w:r>
          </w:p>
          <w:p w14:paraId="678CF63B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硬盘规格：2.5英寸便携式移动硬盘</w:t>
            </w:r>
          </w:p>
          <w:p w14:paraId="0C4C7945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转速：5400 RPM（或 低功耗 5400RPM 级别）</w:t>
            </w:r>
          </w:p>
          <w:p w14:paraId="16CB29CE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缓存大小：64MB 或 128MB</w:t>
            </w:r>
          </w:p>
          <w:p w14:paraId="1C7822F3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供电方式：USB 总线供电（无需外接电源）</w:t>
            </w:r>
          </w:p>
          <w:p w14:paraId="533CEFAF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兼容系统：Windows / macOS 即插即用</w:t>
            </w:r>
          </w:p>
          <w:p w14:paraId="69607B2B">
            <w:pPr>
              <w:snapToGrid w:val="0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质保期限：三年保修服务</w:t>
            </w:r>
          </w:p>
        </w:tc>
        <w:tc>
          <w:tcPr>
            <w:tcW w:w="896" w:type="dxa"/>
            <w:noWrap w:val="0"/>
            <w:vAlign w:val="center"/>
          </w:tcPr>
          <w:p w14:paraId="7FF6076A">
            <w:pPr>
              <w:widowControl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</w:tr>
      <w:tr w14:paraId="0F0770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  <w:noWrap w:val="0"/>
            <w:vAlign w:val="center"/>
          </w:tcPr>
          <w:p w14:paraId="4F34D136">
            <w:pPr>
              <w:snapToGrid w:val="0"/>
              <w:jc w:val="center"/>
              <w:rPr>
                <w:rFonts w:hint="eastAsia" w:ascii="宋体" w:hAnsi="宋体" w:eastAsia="宋体" w:cs="宋体"/>
                <w:b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szCs w:val="21"/>
                <w:lang w:val="en-US" w:eastAsia="zh-CN"/>
              </w:rPr>
              <w:t>4</w:t>
            </w:r>
          </w:p>
        </w:tc>
        <w:tc>
          <w:tcPr>
            <w:tcW w:w="1706" w:type="dxa"/>
            <w:noWrap w:val="0"/>
            <w:vAlign w:val="center"/>
          </w:tcPr>
          <w:p w14:paraId="28E82304">
            <w:pPr>
              <w:snapToGrid w:val="0"/>
              <w:jc w:val="center"/>
              <w:rPr>
                <w:rFonts w:hint="default" w:ascii="宋体" w:hAnsi="宋体" w:cs="宋体"/>
                <w:szCs w:val="21"/>
                <w:lang w:val="en-US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数据存储2</w:t>
            </w:r>
          </w:p>
        </w:tc>
        <w:tc>
          <w:tcPr>
            <w:tcW w:w="6521" w:type="dxa"/>
            <w:noWrap w:val="0"/>
            <w:vAlign w:val="center"/>
          </w:tcPr>
          <w:p w14:paraId="3801429A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容量：2TB</w:t>
            </w:r>
          </w:p>
          <w:p w14:paraId="0D4778C1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接口类型：USB 3.0（Micro-B / Type-A 接口，理论速率 5Gbps）</w:t>
            </w:r>
          </w:p>
          <w:p w14:paraId="09C32F6D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硬盘规格：2.5英寸便携式移动硬盘</w:t>
            </w:r>
          </w:p>
          <w:p w14:paraId="1FBF5E6E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转速：5400 RPM（或 低功耗 5400RPM 级别）</w:t>
            </w:r>
          </w:p>
          <w:p w14:paraId="7BDD6B78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缓存大小：64MB 或 128MB</w:t>
            </w:r>
          </w:p>
          <w:p w14:paraId="5EA67B92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供电方式：USB 总线供电（无需外接电源）</w:t>
            </w:r>
          </w:p>
          <w:p w14:paraId="5718EBBC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兼容系统：Windows / macOS 即插即用</w:t>
            </w:r>
          </w:p>
          <w:p w14:paraId="69F19289">
            <w:pPr>
              <w:snapToGrid w:val="0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质保期限：三年保修服务</w:t>
            </w:r>
          </w:p>
        </w:tc>
        <w:tc>
          <w:tcPr>
            <w:tcW w:w="896" w:type="dxa"/>
            <w:noWrap w:val="0"/>
            <w:vAlign w:val="center"/>
          </w:tcPr>
          <w:p w14:paraId="58ABBFB3">
            <w:pPr>
              <w:widowControl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</w:tr>
      <w:tr w14:paraId="3129D7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  <w:noWrap w:val="0"/>
            <w:vAlign w:val="center"/>
          </w:tcPr>
          <w:p w14:paraId="741B4352">
            <w:pPr>
              <w:snapToGrid w:val="0"/>
              <w:jc w:val="center"/>
              <w:rPr>
                <w:rFonts w:hint="eastAsia" w:ascii="宋体" w:hAnsi="宋体" w:eastAsia="宋体" w:cs="宋体"/>
                <w:b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szCs w:val="21"/>
                <w:lang w:val="en-US" w:eastAsia="zh-CN"/>
              </w:rPr>
              <w:t>5</w:t>
            </w:r>
          </w:p>
        </w:tc>
        <w:tc>
          <w:tcPr>
            <w:tcW w:w="1706" w:type="dxa"/>
            <w:noWrap w:val="0"/>
            <w:vAlign w:val="center"/>
          </w:tcPr>
          <w:p w14:paraId="65866AFB">
            <w:pPr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键盘</w:t>
            </w:r>
          </w:p>
        </w:tc>
        <w:tc>
          <w:tcPr>
            <w:tcW w:w="6521" w:type="dxa"/>
            <w:noWrap w:val="0"/>
            <w:vAlign w:val="center"/>
          </w:tcPr>
          <w:p w14:paraId="1A7B576C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连接方式：有线（USB Type-A 接口，线材固定不可拆卸）</w:t>
            </w:r>
          </w:p>
          <w:p w14:paraId="60260DE8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按键布局：108键 全尺寸（含数字小键盘及多媒体快捷键）</w:t>
            </w:r>
          </w:p>
          <w:p w14:paraId="5ED935CE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机械轴体：Cherry MX 青轴 触发压力约 50g，总行程 4.0mm</w:t>
            </w:r>
          </w:p>
          <w:p w14:paraId="3B3EAE49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键帽材质：PBT 双色注塑/镭雕键帽</w:t>
            </w:r>
          </w:p>
          <w:p w14:paraId="0266E36C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背光效果：无背光</w:t>
            </w:r>
          </w:p>
          <w:p w14:paraId="0FD459EF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防冲设计：全键无冲</w:t>
            </w:r>
          </w:p>
          <w:p w14:paraId="02BD93A8">
            <w:pPr>
              <w:snapToGrid w:val="0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系统支持：Windows/Mac 兼容</w:t>
            </w:r>
          </w:p>
        </w:tc>
        <w:tc>
          <w:tcPr>
            <w:tcW w:w="896" w:type="dxa"/>
            <w:noWrap w:val="0"/>
            <w:vAlign w:val="center"/>
          </w:tcPr>
          <w:p w14:paraId="6A39431E">
            <w:pPr>
              <w:widowControl/>
              <w:snapToGrid w:val="0"/>
              <w:ind w:firstLine="210" w:firstLineChars="10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</w:tr>
      <w:tr w14:paraId="472E1C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  <w:noWrap w:val="0"/>
            <w:vAlign w:val="center"/>
          </w:tcPr>
          <w:p w14:paraId="22E7EBFA">
            <w:pPr>
              <w:snapToGrid w:val="0"/>
              <w:jc w:val="center"/>
              <w:rPr>
                <w:rFonts w:hint="eastAsia" w:ascii="宋体" w:hAnsi="宋体" w:eastAsia="宋体" w:cs="宋体"/>
                <w:b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szCs w:val="21"/>
                <w:lang w:val="en-US" w:eastAsia="zh-CN"/>
              </w:rPr>
              <w:t>6</w:t>
            </w:r>
            <w:bookmarkStart w:id="2" w:name="_GoBack"/>
            <w:bookmarkEnd w:id="2"/>
          </w:p>
        </w:tc>
        <w:tc>
          <w:tcPr>
            <w:tcW w:w="1706" w:type="dxa"/>
            <w:noWrap w:val="0"/>
            <w:vAlign w:val="center"/>
          </w:tcPr>
          <w:p w14:paraId="0BCC9E84">
            <w:pPr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鼠标</w:t>
            </w:r>
          </w:p>
        </w:tc>
        <w:tc>
          <w:tcPr>
            <w:tcW w:w="6521" w:type="dxa"/>
            <w:noWrap w:val="0"/>
            <w:vAlign w:val="center"/>
          </w:tcPr>
          <w:p w14:paraId="39542B12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连接方式：双模无线（蓝牙 5.0/5.1+2.4GHz USB无线接收器）</w:t>
            </w:r>
          </w:p>
          <w:p w14:paraId="0AAE3A4E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传感器类型：光学传感器</w:t>
            </w:r>
          </w:p>
          <w:p w14:paraId="3527AD37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DPI 灵敏度：支持多档调节</w:t>
            </w:r>
          </w:p>
          <w:p w14:paraId="7621C2B6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按键数量：常规3键+滚轮</w:t>
            </w:r>
          </w:p>
          <w:p w14:paraId="7DFB13B2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供电方式：内置可充电锂电池</w:t>
            </w:r>
          </w:p>
          <w:p w14:paraId="1974FE39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续航时间：正常使用约 1-2 个月</w:t>
            </w:r>
          </w:p>
          <w:p w14:paraId="0D4AEFC4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接收器收纳：鼠标内部或底部设有接收器收纳仓</w:t>
            </w:r>
          </w:p>
          <w:p w14:paraId="5AEAB31E">
            <w:pPr>
              <w:snapToGrid w:val="0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系统兼容：Windows/macOS/Chrome OS</w:t>
            </w:r>
          </w:p>
        </w:tc>
        <w:tc>
          <w:tcPr>
            <w:tcW w:w="896" w:type="dxa"/>
            <w:noWrap w:val="0"/>
            <w:vAlign w:val="center"/>
          </w:tcPr>
          <w:p w14:paraId="3687037D">
            <w:pPr>
              <w:widowControl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</w:tr>
    </w:tbl>
    <w:p w14:paraId="76CAC5D3">
      <w:pPr>
        <w:snapToGrid w:val="0"/>
        <w:rPr>
          <w:szCs w:val="21"/>
        </w:rPr>
      </w:pPr>
    </w:p>
    <w:p w14:paraId="1050EF13">
      <w:pPr>
        <w:snapToGrid w:val="0"/>
        <w:rPr>
          <w:szCs w:val="21"/>
        </w:rPr>
      </w:pPr>
      <w:r>
        <w:rPr>
          <w:rFonts w:hint="eastAsia"/>
          <w:szCs w:val="21"/>
        </w:rPr>
        <w:t>硬件维护清单如下：</w:t>
      </w:r>
    </w:p>
    <w:tbl>
      <w:tblPr>
        <w:tblStyle w:val="21"/>
        <w:tblW w:w="9777" w:type="dxa"/>
        <w:tblInd w:w="-40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4"/>
        <w:gridCol w:w="1706"/>
        <w:gridCol w:w="6521"/>
        <w:gridCol w:w="896"/>
      </w:tblGrid>
      <w:tr w14:paraId="1B164B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  <w:noWrap w:val="0"/>
            <w:vAlign w:val="top"/>
          </w:tcPr>
          <w:p w14:paraId="47F5A156">
            <w:pPr>
              <w:snapToGrid w:val="0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1706" w:type="dxa"/>
            <w:noWrap w:val="0"/>
            <w:vAlign w:val="top"/>
          </w:tcPr>
          <w:p w14:paraId="4CBB2273">
            <w:pPr>
              <w:snapToGrid w:val="0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名称</w:t>
            </w:r>
          </w:p>
        </w:tc>
        <w:tc>
          <w:tcPr>
            <w:tcW w:w="6521" w:type="dxa"/>
            <w:noWrap w:val="0"/>
            <w:vAlign w:val="top"/>
          </w:tcPr>
          <w:p w14:paraId="34E9D484">
            <w:pPr>
              <w:snapToGrid w:val="0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配置描述</w:t>
            </w:r>
          </w:p>
        </w:tc>
        <w:tc>
          <w:tcPr>
            <w:tcW w:w="896" w:type="dxa"/>
            <w:noWrap w:val="0"/>
            <w:vAlign w:val="top"/>
          </w:tcPr>
          <w:p w14:paraId="1635C8CE">
            <w:pPr>
              <w:snapToGrid w:val="0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数量</w:t>
            </w:r>
          </w:p>
        </w:tc>
      </w:tr>
      <w:tr w14:paraId="743DC2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4" w:type="dxa"/>
            <w:noWrap w:val="0"/>
            <w:vAlign w:val="center"/>
          </w:tcPr>
          <w:p w14:paraId="38388CF0">
            <w:pPr>
              <w:snapToGrid w:val="0"/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1</w:t>
            </w:r>
          </w:p>
        </w:tc>
        <w:tc>
          <w:tcPr>
            <w:tcW w:w="1706" w:type="dxa"/>
            <w:noWrap w:val="0"/>
            <w:vAlign w:val="center"/>
          </w:tcPr>
          <w:p w14:paraId="0F3D015D">
            <w:pPr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服务器续保服务</w:t>
            </w:r>
          </w:p>
        </w:tc>
        <w:tc>
          <w:tcPr>
            <w:tcW w:w="6521" w:type="dxa"/>
            <w:noWrap w:val="0"/>
            <w:vAlign w:val="center"/>
          </w:tcPr>
          <w:p w14:paraId="3B9C36D2">
            <w:pPr>
              <w:snapToGrid w:val="0"/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原服务器三年续保服务（设备出现硬件故障，免费维修或者更换）包括CPU、主板、内存、电源、硬盘（不包括显卡）</w:t>
            </w:r>
          </w:p>
          <w:p w14:paraId="5CB841C9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设备配置：</w:t>
            </w:r>
          </w:p>
          <w:p w14:paraId="2F4D9AA1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（1）CPU：2 颗 Intel Xeon </w:t>
            </w:r>
            <w:r>
              <w:rPr>
                <w:color w:val="000000"/>
                <w:szCs w:val="21"/>
              </w:rPr>
              <w:t xml:space="preserve">gold </w:t>
            </w:r>
            <w:r>
              <w:rPr>
                <w:rFonts w:hint="eastAsia"/>
                <w:color w:val="000000"/>
                <w:szCs w:val="21"/>
              </w:rPr>
              <w:t>6130 2.1 16核 32线*2</w:t>
            </w:r>
          </w:p>
          <w:p w14:paraId="78AF0502">
            <w:pPr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（2）内存：64G DDR4 2933 *8（512G) (最大可扩容1024T)   </w:t>
            </w:r>
          </w:p>
          <w:p w14:paraId="0A1E2254">
            <w:pPr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（3）系统盘：</w:t>
            </w:r>
            <w:r>
              <w:rPr>
                <w:color w:val="000000"/>
                <w:szCs w:val="21"/>
              </w:rPr>
              <w:t>1t</w:t>
            </w:r>
            <w:r>
              <w:rPr>
                <w:rFonts w:hint="eastAsia"/>
                <w:color w:val="000000"/>
                <w:szCs w:val="21"/>
              </w:rPr>
              <w:t xml:space="preserve"> SSD RRO*1；        </w:t>
            </w:r>
          </w:p>
          <w:p w14:paraId="25675F29">
            <w:pPr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（4）数据盘：数据中心企业盘16T*5（ 80T）</w:t>
            </w:r>
          </w:p>
          <w:p w14:paraId="2A6197D1">
            <w:pPr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（5）RAID5</w:t>
            </w:r>
          </w:p>
          <w:p w14:paraId="698D0833">
            <w:pPr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（6）超微主板C612</w:t>
            </w:r>
          </w:p>
        </w:tc>
        <w:tc>
          <w:tcPr>
            <w:tcW w:w="896" w:type="dxa"/>
            <w:noWrap w:val="0"/>
            <w:vAlign w:val="center"/>
          </w:tcPr>
          <w:p w14:paraId="2498769C">
            <w:pPr>
              <w:widowControl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</w:tr>
    </w:tbl>
    <w:p w14:paraId="30EBDDA5">
      <w:pPr>
        <w:rPr>
          <w:lang w:val="zh-CN"/>
        </w:rPr>
      </w:pPr>
    </w:p>
    <w:p w14:paraId="0F61F6AD">
      <w:pPr>
        <w:pStyle w:val="2"/>
        <w:numPr>
          <w:ilvl w:val="0"/>
          <w:numId w:val="3"/>
        </w:numPr>
        <w:spacing w:before="0" w:after="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服务要求</w:t>
      </w:r>
    </w:p>
    <w:p w14:paraId="794D49D6">
      <w:pPr>
        <w:tabs>
          <w:tab w:val="left" w:pos="780"/>
        </w:tabs>
        <w:ind w:firstLine="420" w:firstLineChars="200"/>
        <w:outlineLvl w:val="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提供验收后3年免费质量保修及现场维护服务。具体服务内容包括：</w:t>
      </w:r>
    </w:p>
    <w:p w14:paraId="5369DB03">
      <w:pPr>
        <w:tabs>
          <w:tab w:val="left" w:pos="780"/>
        </w:tabs>
        <w:ind w:firstLine="420" w:firstLineChars="200"/>
        <w:outlineLvl w:val="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1、送货、安装配置服务；</w:t>
      </w:r>
    </w:p>
    <w:p w14:paraId="02823D92">
      <w:pPr>
        <w:tabs>
          <w:tab w:val="left" w:pos="780"/>
        </w:tabs>
        <w:ind w:firstLine="420" w:firstLineChars="200"/>
        <w:outlineLvl w:val="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2、验收后3年内，供应商在收到客户报障请求后，</w:t>
      </w:r>
      <w:r>
        <w:rPr>
          <w:rFonts w:ascii="宋体" w:hAnsi="宋体" w:cs="宋体"/>
          <w:szCs w:val="21"/>
        </w:rPr>
        <w:t>1</w:t>
      </w:r>
      <w:r>
        <w:rPr>
          <w:rFonts w:hint="eastAsia" w:ascii="宋体" w:hAnsi="宋体" w:cs="宋体"/>
          <w:szCs w:val="21"/>
        </w:rPr>
        <w:t>小时内到达现场响应处理，</w:t>
      </w:r>
      <w:r>
        <w:rPr>
          <w:rFonts w:ascii="宋体" w:hAnsi="宋体" w:cs="宋体"/>
          <w:szCs w:val="21"/>
        </w:rPr>
        <w:t>2</w:t>
      </w:r>
      <w:r>
        <w:rPr>
          <w:rFonts w:hint="eastAsia" w:ascii="宋体" w:hAnsi="宋体" w:cs="宋体"/>
          <w:szCs w:val="21"/>
        </w:rPr>
        <w:t>小时内恢复正常；</w:t>
      </w:r>
    </w:p>
    <w:p w14:paraId="278FE349">
      <w:pPr>
        <w:tabs>
          <w:tab w:val="left" w:pos="780"/>
        </w:tabs>
        <w:ind w:firstLine="420" w:firstLineChars="200"/>
        <w:outlineLvl w:val="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3、提供备件先行服务，所有设备需要提供现场维修，如现场无法维修，必须提供同等型号或以上设备作为备机使用，直至原设备维修好。</w:t>
      </w:r>
    </w:p>
    <w:p w14:paraId="7CA08004">
      <w:pPr>
        <w:rPr>
          <w:rFonts w:hint="eastAsia"/>
          <w:lang w:val="zh-CN"/>
        </w:rPr>
      </w:pPr>
    </w:p>
    <w:p w14:paraId="3D7992E4">
      <w:pPr>
        <w:pStyle w:val="2"/>
        <w:numPr>
          <w:ilvl w:val="0"/>
          <w:numId w:val="3"/>
        </w:numPr>
        <w:spacing w:before="0" w:after="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详细配置参数</w:t>
      </w:r>
      <w:bookmarkStart w:id="0" w:name="_6.1.1、大数据服务器"/>
      <w:bookmarkEnd w:id="0"/>
    </w:p>
    <w:p w14:paraId="5726A9B0">
      <w:pPr>
        <w:tabs>
          <w:tab w:val="left" w:pos="780"/>
        </w:tabs>
        <w:spacing w:before="156" w:beforeLines="50"/>
        <w:ind w:firstLine="420" w:firstLineChars="200"/>
        <w:outlineLvl w:val="0"/>
        <w:rPr>
          <w:rFonts w:ascii="宋体" w:hAnsi="宋体" w:cs="宋体"/>
          <w:szCs w:val="21"/>
        </w:rPr>
      </w:pPr>
      <w:bookmarkStart w:id="1" w:name="_6.1.2、容器服务器"/>
      <w:bookmarkEnd w:id="1"/>
      <w:r>
        <w:rPr>
          <w:rFonts w:hint="eastAsia" w:ascii="宋体" w:hAnsi="宋体" w:cs="宋体"/>
          <w:szCs w:val="21"/>
        </w:rPr>
        <w:t>（一）货物为原制造商制造的全新产品，整机无污染，无侵权行为、表面无划损、无任何缺陷隐患，在中国境内可依常规安全合法使用。</w:t>
      </w:r>
    </w:p>
    <w:p w14:paraId="010C3002">
      <w:pPr>
        <w:tabs>
          <w:tab w:val="left" w:pos="780"/>
        </w:tabs>
        <w:ind w:firstLine="420" w:firstLineChars="200"/>
        <w:outlineLvl w:val="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二）标准：本合同所指的货物及服务应符合合同附件的技术规格所述的标准：如果没有提及适用标准，则应符合中华人民共和国国家标准或行业标准；如果中华人民共和国没有相关标准的，则采用货物来源国适用的官方标准。这些标准必须是有关机构发布的最新版本的标准。</w:t>
      </w:r>
    </w:p>
    <w:p w14:paraId="6D995E03">
      <w:pPr>
        <w:tabs>
          <w:tab w:val="left" w:pos="780"/>
        </w:tabs>
        <w:spacing w:before="156" w:beforeLines="50" w:line="360" w:lineRule="auto"/>
        <w:ind w:firstLine="420" w:firstLineChars="200"/>
        <w:outlineLvl w:val="0"/>
        <w:rPr>
          <w:rFonts w:ascii="宋体" w:hAnsi="宋体" w:cs="宋体"/>
          <w:szCs w:val="21"/>
        </w:rPr>
      </w:pPr>
    </w:p>
    <w:p w14:paraId="3646B63B">
      <w:pPr>
        <w:pStyle w:val="2"/>
        <w:numPr>
          <w:ilvl w:val="0"/>
          <w:numId w:val="3"/>
        </w:numPr>
        <w:spacing w:before="0" w:after="0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32"/>
          <w:szCs w:val="32"/>
        </w:rPr>
        <w:t>交货日期</w:t>
      </w:r>
    </w:p>
    <w:p w14:paraId="296B2CBA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(一)供货方须在院方支付合同首款后的</w:t>
      </w:r>
      <w:r>
        <w:rPr>
          <w:rFonts w:ascii="宋体" w:hAnsi="宋体" w:cs="宋体"/>
          <w:szCs w:val="21"/>
          <w:u w:val="single"/>
        </w:rPr>
        <w:t>7</w:t>
      </w:r>
      <w:r>
        <w:rPr>
          <w:rFonts w:hint="eastAsia" w:ascii="宋体" w:hAnsi="宋体" w:cs="宋体"/>
          <w:szCs w:val="21"/>
        </w:rPr>
        <w:t>个工作日内向院方提交采购清单中的物品。</w:t>
      </w:r>
    </w:p>
    <w:p w14:paraId="11045CC2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(二)交货日期以货物到达院方指定货运详细地址的日期为准。</w:t>
      </w:r>
    </w:p>
    <w:p w14:paraId="0A8F4C04">
      <w:pPr>
        <w:spacing w:line="360" w:lineRule="auto"/>
        <w:ind w:firstLine="525" w:firstLineChars="250"/>
        <w:rPr>
          <w:rFonts w:ascii="宋体" w:hAnsi="宋体" w:cs="宋体"/>
          <w:szCs w:val="21"/>
        </w:rPr>
      </w:pPr>
    </w:p>
    <w:p w14:paraId="7C7122C5">
      <w:pPr>
        <w:numPr>
          <w:ilvl w:val="0"/>
          <w:numId w:val="3"/>
        </w:numPr>
        <w:rPr>
          <w:rFonts w:ascii="宋体" w:hAnsi="宋体"/>
          <w:b/>
          <w:bCs/>
          <w:kern w:val="44"/>
          <w:sz w:val="32"/>
          <w:szCs w:val="32"/>
          <w:lang w:val="zh-CN"/>
        </w:rPr>
      </w:pPr>
      <w:r>
        <w:rPr>
          <w:rFonts w:hint="eastAsia" w:ascii="宋体" w:hAnsi="宋体"/>
          <w:b/>
          <w:bCs/>
          <w:kern w:val="44"/>
          <w:sz w:val="32"/>
          <w:szCs w:val="32"/>
          <w:lang w:val="zh-CN"/>
        </w:rPr>
        <w:t>交货方式</w:t>
      </w:r>
    </w:p>
    <w:p w14:paraId="76C85E69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(一)供货方应按时将货物送至院方指定货运详细地址。</w:t>
      </w:r>
    </w:p>
    <w:p w14:paraId="3943A4E3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(二)交货完成的有效证明：供货方送货人，必须随货物提交交货签收单给院方收货人，交货签收单必须有院方、供货方两方的签字方有效。</w:t>
      </w:r>
    </w:p>
    <w:p w14:paraId="69346D47">
      <w:pPr>
        <w:spacing w:line="360" w:lineRule="auto"/>
        <w:ind w:firstLine="525" w:firstLineChars="250"/>
        <w:rPr>
          <w:rFonts w:ascii="宋体" w:hAnsi="宋体" w:cs="宋体"/>
          <w:szCs w:val="21"/>
        </w:rPr>
      </w:pPr>
    </w:p>
    <w:p w14:paraId="199D10C8"/>
    <w:p w14:paraId="4A44ECF2">
      <w:pPr>
        <w:numPr>
          <w:ilvl w:val="0"/>
          <w:numId w:val="3"/>
        </w:numPr>
        <w:rPr>
          <w:rFonts w:ascii="宋体" w:hAnsi="宋体"/>
          <w:b/>
          <w:bCs/>
          <w:kern w:val="44"/>
          <w:sz w:val="32"/>
          <w:szCs w:val="32"/>
          <w:lang w:val="zh-CN"/>
        </w:rPr>
      </w:pPr>
      <w:r>
        <w:rPr>
          <w:rFonts w:hint="eastAsia" w:ascii="宋体" w:hAnsi="宋体"/>
          <w:b/>
          <w:bCs/>
          <w:kern w:val="44"/>
          <w:sz w:val="32"/>
          <w:szCs w:val="32"/>
          <w:lang w:val="zh-CN"/>
        </w:rPr>
        <w:t>安装要求</w:t>
      </w:r>
    </w:p>
    <w:p w14:paraId="2ED7C41A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(一)供货方负责合同项下设备的安装调试，并按院方要求，免费提供本项目下设备的搬迁工作。</w:t>
      </w:r>
    </w:p>
    <w:p w14:paraId="48A36871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(二)供货方应按院方指定的安装日期、安装要求进行安装工作。</w:t>
      </w:r>
    </w:p>
    <w:p w14:paraId="541F0339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(三)供货方需根据院方的详细需求，提交项目产品的安装、调试及培训实施方案，方案得到院方确认后实施，保证系统按时、正常地投入运行。</w:t>
      </w:r>
    </w:p>
    <w:p w14:paraId="59B35A56">
      <w:pPr>
        <w:spacing w:line="360" w:lineRule="auto"/>
        <w:ind w:firstLine="525" w:firstLineChars="250"/>
        <w:rPr>
          <w:rFonts w:ascii="宋体" w:hAnsi="宋体" w:cs="宋体"/>
          <w:szCs w:val="21"/>
        </w:rPr>
      </w:pPr>
    </w:p>
    <w:p w14:paraId="6CEF4159">
      <w:pPr>
        <w:numPr>
          <w:ilvl w:val="0"/>
          <w:numId w:val="3"/>
        </w:numPr>
        <w:rPr>
          <w:rFonts w:ascii="宋体" w:hAnsi="宋体"/>
          <w:b/>
          <w:bCs/>
          <w:kern w:val="44"/>
          <w:sz w:val="32"/>
          <w:szCs w:val="32"/>
          <w:lang w:val="zh-CN"/>
        </w:rPr>
      </w:pPr>
      <w:r>
        <w:rPr>
          <w:rFonts w:hint="eastAsia" w:ascii="宋体" w:hAnsi="宋体"/>
          <w:b/>
          <w:bCs/>
          <w:kern w:val="44"/>
          <w:sz w:val="32"/>
          <w:szCs w:val="32"/>
          <w:lang w:val="zh-CN"/>
        </w:rPr>
        <w:t>保修服务</w:t>
      </w:r>
    </w:p>
    <w:p w14:paraId="76C182D2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(一)信息设备（产品）免费维护期从合同标的验收合格之日（分段验收的以最后验收期为准）算起，期限为36个月。</w:t>
      </w:r>
    </w:p>
    <w:p w14:paraId="63C1EC1A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(二)整机保修；保修期自验收合格之日起计算。</w:t>
      </w:r>
    </w:p>
    <w:p w14:paraId="7214A4B0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(三)提供3年保修服务。</w:t>
      </w:r>
    </w:p>
    <w:p w14:paraId="470364D3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四)在免费维护期结束前，须由供货方和院方进行一次全面检查，任何缺陷必须由供货方负责修复，在修复之后，供货方应将缺陷原因、修复内容、完成修理及恢复正常的时间和日期等报告给院方，形成项目总结报告。</w:t>
      </w:r>
    </w:p>
    <w:p w14:paraId="6C0BAC14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(五)超过免费维护期的，双方另行协商签订维护合同，信息设备（产品）的维护报价不超过合同信息设备（产品）部分金额的3%。</w:t>
      </w:r>
    </w:p>
    <w:p w14:paraId="63264034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售后服务：提供原厂家7*24小时免费维修服务。</w:t>
      </w:r>
    </w:p>
    <w:p w14:paraId="31BEB972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响应时间、方式：1小时内响应到院方报修处，供货方需提供备件先行服务。</w:t>
      </w:r>
    </w:p>
    <w:p w14:paraId="59AFB2B1">
      <w:pPr>
        <w:spacing w:line="360" w:lineRule="auto"/>
        <w:ind w:firstLine="525" w:firstLineChars="250"/>
        <w:rPr>
          <w:rFonts w:ascii="宋体" w:hAnsi="宋体" w:cs="宋体"/>
          <w:szCs w:val="21"/>
        </w:rPr>
      </w:pPr>
    </w:p>
    <w:p w14:paraId="4600E630">
      <w:pPr>
        <w:numPr>
          <w:ilvl w:val="0"/>
          <w:numId w:val="3"/>
        </w:numPr>
        <w:rPr>
          <w:rFonts w:ascii="宋体" w:hAnsi="宋体"/>
          <w:b/>
          <w:bCs/>
          <w:kern w:val="44"/>
          <w:sz w:val="32"/>
          <w:szCs w:val="32"/>
          <w:lang w:val="zh-CN"/>
        </w:rPr>
      </w:pPr>
      <w:r>
        <w:rPr>
          <w:rFonts w:hint="eastAsia" w:ascii="宋体" w:hAnsi="宋体"/>
          <w:b/>
          <w:bCs/>
          <w:kern w:val="44"/>
          <w:sz w:val="32"/>
          <w:szCs w:val="32"/>
          <w:lang w:val="zh-CN"/>
        </w:rPr>
        <w:t>培训</w:t>
      </w:r>
    </w:p>
    <w:p w14:paraId="287F2C77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供货方应为院方进行培训，包括使用培训和维护培训。</w:t>
      </w:r>
    </w:p>
    <w:p w14:paraId="5C85C65F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供货方应提出详细的培训计划，提供培训教材。技术培训的内容必须覆盖产品的安装、日常操作和管理维护，以及基本的故障诊断与排错，并保证培训效果。</w:t>
      </w:r>
    </w:p>
    <w:p w14:paraId="5A520F49">
      <w:pPr>
        <w:spacing w:line="360" w:lineRule="auto"/>
        <w:ind w:firstLine="525" w:firstLineChars="250"/>
        <w:rPr>
          <w:rFonts w:ascii="宋体" w:hAnsi="宋体" w:cs="宋体"/>
          <w:szCs w:val="21"/>
        </w:rPr>
      </w:pPr>
    </w:p>
    <w:p w14:paraId="4259D031">
      <w:pPr>
        <w:pStyle w:val="2"/>
        <w:numPr>
          <w:ilvl w:val="0"/>
          <w:numId w:val="3"/>
        </w:numPr>
        <w:spacing w:before="0" w:after="0"/>
        <w:rPr>
          <w:rFonts w:ascii="宋体" w:hAnsi="宋体"/>
          <w:color w:val="FF0000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合同款支付方式</w:t>
      </w:r>
    </w:p>
    <w:p w14:paraId="56F74734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合同签订后，合同所有设备（产品）运至甲方指定货运详细地址、开箱合格运转正常，并经最终用户签字验收（加电验收），且甲方在收到乙方开具相应金额正式发票后，向乙方支付至结算审核价的100%。</w:t>
      </w:r>
    </w:p>
    <w:sectPr>
      <w:footerReference r:id="rId3" w:type="default"/>
      <w:pgSz w:w="11906" w:h="16838"/>
      <w:pgMar w:top="1021" w:right="1418" w:bottom="1021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90D304">
    <w:pPr>
      <w:pStyle w:val="17"/>
      <w:ind w:left="1441"/>
      <w:jc w:val="center"/>
      <w:rPr>
        <w:caps/>
        <w:color w:val="5B9BD5"/>
      </w:rPr>
    </w:pPr>
    <w:r>
      <w:rPr>
        <w:caps/>
        <w:color w:val="5B9BD5"/>
      </w:rPr>
      <w:fldChar w:fldCharType="begin"/>
    </w:r>
    <w:r>
      <w:rPr>
        <w:caps/>
        <w:color w:val="5B9BD5"/>
      </w:rPr>
      <w:instrText xml:space="preserve">PAGE   \* MERGEFORMAT</w:instrText>
    </w:r>
    <w:r>
      <w:rPr>
        <w:caps/>
        <w:color w:val="5B9BD5"/>
      </w:rPr>
      <w:fldChar w:fldCharType="separate"/>
    </w:r>
    <w:r>
      <w:rPr>
        <w:caps/>
        <w:color w:val="5B9BD5"/>
      </w:rPr>
      <w:t>4</w:t>
    </w:r>
    <w:r>
      <w:rPr>
        <w:caps/>
        <w:color w:val="5B9BD5"/>
      </w:rPr>
      <w:fldChar w:fldCharType="end"/>
    </w:r>
  </w:p>
  <w:p w14:paraId="251ADF58">
    <w:pPr>
      <w:pStyle w:val="1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015205"/>
    <w:multiLevelType w:val="multilevel"/>
    <w:tmpl w:val="29015205"/>
    <w:lvl w:ilvl="0" w:tentative="0">
      <w:start w:val="1"/>
      <w:numFmt w:val="decimal"/>
      <w:pStyle w:val="2"/>
      <w:lvlText w:val="%1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lvlText w:val="4.%2"/>
      <w:lvlJc w:val="left"/>
      <w:pPr>
        <w:ind w:left="576" w:hanging="576"/>
      </w:pPr>
      <w:rPr>
        <w:rFonts w:hint="eastAsia"/>
      </w:rPr>
    </w:lvl>
    <w:lvl w:ilvl="2" w:tentative="0">
      <w:start w:val="1"/>
      <w:numFmt w:val="decimal"/>
      <w:lvlText w:val="6.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5.1.1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pStyle w:val="6"/>
      <w:lvlText w:val="5.1.1.1.%5"/>
      <w:lvlJc w:val="left"/>
      <w:pPr>
        <w:ind w:left="2142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1">
    <w:nsid w:val="3EBB3C91"/>
    <w:multiLevelType w:val="multilevel"/>
    <w:tmpl w:val="3EBB3C91"/>
    <w:lvl w:ilvl="0" w:tentative="0">
      <w:start w:val="1"/>
      <w:numFmt w:val="decimal"/>
      <w:pStyle w:val="60"/>
      <w:lvlText w:val="%1. "/>
      <w:lvlJc w:val="left"/>
      <w:pPr>
        <w:ind w:left="420" w:hanging="420"/>
      </w:pPr>
      <w:rPr>
        <w:rFonts w:hint="default" w:ascii="Times New Roman" w:hAnsi="Times New Roman" w:eastAsia="宋体"/>
        <w:b/>
        <w:i w:val="0"/>
      </w:rPr>
    </w:lvl>
    <w:lvl w:ilvl="1" w:tentative="0">
      <w:start w:val="1"/>
      <w:numFmt w:val="decimal"/>
      <w:pStyle w:val="66"/>
      <w:isLgl/>
      <w:suff w:val="space"/>
      <w:lvlText w:val="%1.%2 "/>
      <w:lvlJc w:val="left"/>
      <w:pPr>
        <w:ind w:left="3913" w:hanging="794"/>
      </w:pPr>
      <w:rPr>
        <w:rFonts w:hint="eastAsia"/>
      </w:rPr>
    </w:lvl>
    <w:lvl w:ilvl="2" w:tentative="0">
      <w:start w:val="1"/>
      <w:numFmt w:val="decimal"/>
      <w:pStyle w:val="61"/>
      <w:isLgl/>
      <w:suff w:val="space"/>
      <w:lvlText w:val="%1.%2.%3 "/>
      <w:lvlJc w:val="left"/>
      <w:pPr>
        <w:ind w:left="907" w:hanging="907"/>
      </w:pPr>
      <w:rPr>
        <w:rFonts w:hint="eastAsia"/>
      </w:rPr>
    </w:lvl>
    <w:lvl w:ilvl="3" w:tentative="0">
      <w:start w:val="1"/>
      <w:numFmt w:val="decimal"/>
      <w:pStyle w:val="67"/>
      <w:isLgl/>
      <w:suff w:val="space"/>
      <w:lvlText w:val="%1.%2.%3.%4 "/>
      <w:lvlJc w:val="left"/>
      <w:pPr>
        <w:ind w:left="1021" w:hanging="1021"/>
      </w:pPr>
      <w:rPr>
        <w:rFonts w:hint="eastAsia"/>
      </w:rPr>
    </w:lvl>
    <w:lvl w:ilvl="4" w:tentative="0">
      <w:start w:val="1"/>
      <w:numFmt w:val="decimal"/>
      <w:pStyle w:val="57"/>
      <w:isLgl/>
      <w:suff w:val="space"/>
      <w:lvlText w:val="%1.%2.%3.%4.%5 "/>
      <w:lvlJc w:val="left"/>
      <w:pPr>
        <w:ind w:left="1134" w:hanging="1134"/>
      </w:pPr>
      <w:rPr>
        <w:rFonts w:hint="eastAsia"/>
      </w:rPr>
    </w:lvl>
    <w:lvl w:ilvl="5" w:tentative="0">
      <w:start w:val="1"/>
      <w:numFmt w:val="decimal"/>
      <w:pStyle w:val="69"/>
      <w:isLgl/>
      <w:suff w:val="space"/>
      <w:lvlText w:val="%1.%2.%3.%4.%5.%6 "/>
      <w:lvlJc w:val="left"/>
      <w:pPr>
        <w:ind w:left="1247" w:hanging="1247"/>
      </w:pPr>
      <w:rPr>
        <w:rFonts w:hint="eastAsia"/>
      </w:rPr>
    </w:lvl>
    <w:lvl w:ilvl="6" w:tentative="0">
      <w:start w:val="1"/>
      <w:numFmt w:val="decimal"/>
      <w:lvlRestart w:val="1"/>
      <w:pStyle w:val="59"/>
      <w:isLgl/>
      <w:suff w:val="space"/>
      <w:lvlText w:val="图 %1.%7 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lvlRestart w:val="1"/>
      <w:pStyle w:val="58"/>
      <w:isLgl/>
      <w:suff w:val="space"/>
      <w:lvlText w:val="表 %1.%8 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">
    <w:nsid w:val="424A4138"/>
    <w:multiLevelType w:val="multilevel"/>
    <w:tmpl w:val="424A4138"/>
    <w:lvl w:ilvl="0" w:tentative="0">
      <w:start w:val="1"/>
      <w:numFmt w:val="chineseCountingThousand"/>
      <w:lvlText w:val="%1."/>
      <w:lvlJc w:val="left"/>
      <w:pPr>
        <w:ind w:left="432" w:hanging="432"/>
      </w:pPr>
      <w:rPr>
        <w:rFonts w:hint="eastAsia"/>
        <w:color w:val="auto"/>
        <w:sz w:val="32"/>
        <w:szCs w:val="32"/>
      </w:rPr>
    </w:lvl>
    <w:lvl w:ilvl="1" w:tentative="0">
      <w:start w:val="1"/>
      <w:numFmt w:val="decimal"/>
      <w:lvlText w:val="%1.%2"/>
      <w:lvlJc w:val="left"/>
      <w:pPr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D5AFB"/>
    <w:rsid w:val="000F66F7"/>
    <w:rsid w:val="00110A8A"/>
    <w:rsid w:val="001405B8"/>
    <w:rsid w:val="006B18CE"/>
    <w:rsid w:val="00741212"/>
    <w:rsid w:val="00933855"/>
    <w:rsid w:val="00937BF0"/>
    <w:rsid w:val="00C15B0F"/>
    <w:rsid w:val="00D37A0E"/>
    <w:rsid w:val="162820B6"/>
    <w:rsid w:val="2C0A516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qFormat="1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0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0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  <w:lang w:val="zh-CN" w:eastAsia="zh-CN"/>
    </w:rPr>
  </w:style>
  <w:style w:type="paragraph" w:styleId="3">
    <w:name w:val="heading 2"/>
    <w:basedOn w:val="1"/>
    <w:next w:val="1"/>
    <w:link w:val="49"/>
    <w:qFormat/>
    <w:uiPriority w:val="0"/>
    <w:pPr>
      <w:keepNext/>
      <w:keepLines/>
      <w:spacing w:before="260" w:after="260" w:line="416" w:lineRule="auto"/>
      <w:outlineLvl w:val="1"/>
    </w:pPr>
    <w:rPr>
      <w:rFonts w:ascii="等线 Light" w:hAnsi="等线 Light" w:eastAsia="等线 Light"/>
      <w:b/>
      <w:bCs/>
      <w:sz w:val="32"/>
      <w:szCs w:val="32"/>
      <w:lang w:val="zh-CN" w:eastAsia="zh-CN"/>
    </w:rPr>
  </w:style>
  <w:style w:type="paragraph" w:styleId="4">
    <w:name w:val="heading 3"/>
    <w:basedOn w:val="1"/>
    <w:next w:val="1"/>
    <w:link w:val="5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0"/>
      <w:szCs w:val="30"/>
      <w:lang w:val="zh-CN" w:eastAsia="zh-CN"/>
    </w:rPr>
  </w:style>
  <w:style w:type="paragraph" w:styleId="5">
    <w:name w:val="heading 4"/>
    <w:basedOn w:val="1"/>
    <w:next w:val="1"/>
    <w:link w:val="48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宋体" w:hAnsi="宋体"/>
      <w:b/>
      <w:bCs/>
      <w:sz w:val="28"/>
      <w:szCs w:val="28"/>
      <w:lang w:val="zh-CN" w:eastAsia="zh-CN"/>
    </w:rPr>
  </w:style>
  <w:style w:type="paragraph" w:styleId="6">
    <w:name w:val="heading 5"/>
    <w:basedOn w:val="1"/>
    <w:next w:val="1"/>
    <w:link w:val="47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  <w:lang w:val="zh-CN" w:eastAsia="zh-CN"/>
    </w:rPr>
  </w:style>
  <w:style w:type="paragraph" w:styleId="7">
    <w:name w:val="heading 6"/>
    <w:basedOn w:val="1"/>
    <w:next w:val="1"/>
    <w:link w:val="52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等线 Light" w:hAnsi="等线 Light" w:eastAsia="等线 Light"/>
      <w:b/>
      <w:bCs/>
      <w:sz w:val="24"/>
      <w:lang w:val="zh-CN" w:eastAsia="zh-CN"/>
    </w:rPr>
  </w:style>
  <w:style w:type="paragraph" w:styleId="8">
    <w:name w:val="heading 7"/>
    <w:basedOn w:val="1"/>
    <w:next w:val="1"/>
    <w:link w:val="46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  <w:lang w:val="zh-CN" w:eastAsia="zh-CN"/>
    </w:rPr>
  </w:style>
  <w:style w:type="paragraph" w:styleId="9">
    <w:name w:val="heading 8"/>
    <w:basedOn w:val="1"/>
    <w:next w:val="1"/>
    <w:link w:val="45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等线 Light" w:hAnsi="等线 Light" w:eastAsia="等线 Light"/>
      <w:sz w:val="24"/>
      <w:lang w:val="zh-CN" w:eastAsia="zh-CN"/>
    </w:rPr>
  </w:style>
  <w:style w:type="paragraph" w:styleId="10">
    <w:name w:val="heading 9"/>
    <w:basedOn w:val="1"/>
    <w:next w:val="1"/>
    <w:link w:val="44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等线 Light" w:hAnsi="等线 Light" w:eastAsia="等线 Light"/>
      <w:szCs w:val="21"/>
      <w:lang w:val="zh-CN" w:eastAsia="zh-CN"/>
    </w:rPr>
  </w:style>
  <w:style w:type="character" w:default="1" w:styleId="23">
    <w:name w:val="Default Paragraph Font"/>
    <w:unhideWhenUsed/>
    <w:qFormat/>
    <w:uiPriority w:val="1"/>
  </w:style>
  <w:style w:type="table" w:default="1" w:styleId="21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link w:val="43"/>
    <w:qFormat/>
    <w:uiPriority w:val="99"/>
    <w:pPr>
      <w:spacing w:beforeLines="50" w:line="360" w:lineRule="auto"/>
      <w:ind w:firstLine="512" w:firstLineChars="200"/>
    </w:pPr>
    <w:rPr>
      <w:spacing w:val="8"/>
      <w:sz w:val="24"/>
      <w:szCs w:val="20"/>
    </w:rPr>
  </w:style>
  <w:style w:type="paragraph" w:styleId="12">
    <w:name w:val="annotation text"/>
    <w:basedOn w:val="1"/>
    <w:link w:val="54"/>
    <w:unhideWhenUsed/>
    <w:qFormat/>
    <w:uiPriority w:val="0"/>
    <w:pPr>
      <w:jc w:val="left"/>
    </w:pPr>
    <w:rPr>
      <w:kern w:val="0"/>
      <w:sz w:val="20"/>
      <w:lang w:val="zh-CN" w:eastAsia="zh-CN"/>
    </w:rPr>
  </w:style>
  <w:style w:type="paragraph" w:styleId="13">
    <w:name w:val="Body Text"/>
    <w:basedOn w:val="1"/>
    <w:next w:val="14"/>
    <w:link w:val="41"/>
    <w:qFormat/>
    <w:uiPriority w:val="0"/>
    <w:pPr>
      <w:spacing w:after="120"/>
    </w:pPr>
  </w:style>
  <w:style w:type="paragraph" w:styleId="14">
    <w:name w:val="Quote"/>
    <w:next w:val="1"/>
    <w:link w:val="38"/>
    <w:qFormat/>
    <w:uiPriority w:val="0"/>
    <w:pPr>
      <w:wordWrap w:val="0"/>
      <w:spacing w:before="200" w:after="160"/>
      <w:ind w:left="864" w:right="864"/>
      <w:jc w:val="center"/>
    </w:pPr>
    <w:rPr>
      <w:rFonts w:ascii="Calibri" w:hAnsi="Calibri" w:eastAsia="宋体" w:cs="Times New Roman"/>
      <w:i/>
      <w:sz w:val="21"/>
      <w:lang w:val="en-US" w:eastAsia="zh-CN" w:bidi="ar-SA"/>
    </w:rPr>
  </w:style>
  <w:style w:type="paragraph" w:styleId="15">
    <w:name w:val="Plain Text"/>
    <w:basedOn w:val="1"/>
    <w:link w:val="37"/>
    <w:qFormat/>
    <w:uiPriority w:val="0"/>
    <w:rPr>
      <w:rFonts w:ascii="Calibri" w:hAnsi="Courier New"/>
      <w:szCs w:val="20"/>
      <w:lang w:val="zh-CN" w:eastAsia="zh-CN"/>
    </w:rPr>
  </w:style>
  <w:style w:type="paragraph" w:styleId="16">
    <w:name w:val="Balloon Text"/>
    <w:basedOn w:val="1"/>
    <w:link w:val="36"/>
    <w:qFormat/>
    <w:uiPriority w:val="0"/>
    <w:rPr>
      <w:sz w:val="18"/>
      <w:szCs w:val="18"/>
      <w:lang w:val="zh-CN" w:eastAsia="zh-CN"/>
    </w:rPr>
  </w:style>
  <w:style w:type="paragraph" w:styleId="17">
    <w:name w:val="footer"/>
    <w:basedOn w:val="1"/>
    <w:link w:val="4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18">
    <w:name w:val="header"/>
    <w:basedOn w:val="1"/>
    <w:link w:val="3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paragraph" w:styleId="19">
    <w:name w:val="Subtitle"/>
    <w:basedOn w:val="1"/>
    <w:next w:val="1"/>
    <w:link w:val="34"/>
    <w:qFormat/>
    <w:uiPriority w:val="0"/>
    <w:pPr>
      <w:spacing w:beforeLines="50" w:after="60" w:line="312" w:lineRule="auto"/>
      <w:ind w:firstLine="200" w:firstLineChars="200"/>
      <w:jc w:val="center"/>
      <w:outlineLvl w:val="1"/>
    </w:pPr>
    <w:rPr>
      <w:rFonts w:ascii="Cambria" w:hAnsi="Cambria"/>
      <w:b/>
      <w:bCs/>
      <w:kern w:val="28"/>
      <w:sz w:val="32"/>
      <w:szCs w:val="32"/>
      <w:lang w:eastAsia="en-US"/>
    </w:rPr>
  </w:style>
  <w:style w:type="paragraph" w:styleId="20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22">
    <w:name w:val="Table Grid"/>
    <w:basedOn w:val="21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4">
    <w:name w:val="Strong"/>
    <w:qFormat/>
    <w:uiPriority w:val="22"/>
    <w:rPr>
      <w:b/>
      <w:bCs/>
    </w:rPr>
  </w:style>
  <w:style w:type="character" w:styleId="25">
    <w:name w:val="Hyperlink"/>
    <w:qFormat/>
    <w:uiPriority w:val="0"/>
    <w:rPr>
      <w:color w:val="0563C1"/>
      <w:u w:val="single"/>
    </w:rPr>
  </w:style>
  <w:style w:type="character" w:styleId="26">
    <w:name w:val="annotation reference"/>
    <w:unhideWhenUsed/>
    <w:qFormat/>
    <w:uiPriority w:val="99"/>
    <w:rPr>
      <w:sz w:val="21"/>
      <w:szCs w:val="21"/>
    </w:rPr>
  </w:style>
  <w:style w:type="character" w:customStyle="1" w:styleId="27">
    <w:name w:val="列出段落 字符"/>
    <w:link w:val="28"/>
    <w:qFormat/>
    <w:uiPriority w:val="34"/>
    <w:rPr>
      <w:rFonts w:ascii="等线" w:hAnsi="等线" w:eastAsia="等线"/>
      <w:kern w:val="2"/>
      <w:sz w:val="21"/>
      <w:szCs w:val="22"/>
    </w:rPr>
  </w:style>
  <w:style w:type="paragraph" w:styleId="28">
    <w:name w:val="List Paragraph"/>
    <w:basedOn w:val="1"/>
    <w:link w:val="27"/>
    <w:qFormat/>
    <w:uiPriority w:val="34"/>
    <w:pPr>
      <w:ind w:firstLine="420" w:firstLineChars="200"/>
    </w:pPr>
    <w:rPr>
      <w:rFonts w:ascii="等线" w:hAnsi="等线" w:eastAsia="等线"/>
      <w:szCs w:val="22"/>
      <w:lang w:val="zh-CN" w:eastAsia="zh-CN"/>
    </w:rPr>
  </w:style>
  <w:style w:type="character" w:customStyle="1" w:styleId="29">
    <w:name w:val="段落 Char1"/>
    <w:link w:val="30"/>
    <w:qFormat/>
    <w:uiPriority w:val="0"/>
    <w:rPr>
      <w:rFonts w:eastAsia="仿宋_GB2312"/>
      <w:sz w:val="24"/>
      <w:szCs w:val="24"/>
      <w:lang w:val="en-US" w:eastAsia="zh-CN" w:bidi="ar-SA"/>
    </w:rPr>
  </w:style>
  <w:style w:type="paragraph" w:customStyle="1" w:styleId="30">
    <w:name w:val="段落"/>
    <w:link w:val="29"/>
    <w:qFormat/>
    <w:uiPriority w:val="0"/>
    <w:pPr>
      <w:adjustRightInd w:val="0"/>
      <w:snapToGrid w:val="0"/>
      <w:spacing w:before="120" w:after="120" w:line="360" w:lineRule="auto"/>
      <w:ind w:firstLine="480" w:firstLineChars="200"/>
      <w:jc w:val="both"/>
    </w:pPr>
    <w:rPr>
      <w:rFonts w:ascii="Times New Roman" w:hAnsi="Times New Roman" w:eastAsia="仿宋_GB2312" w:cs="Times New Roman"/>
      <w:sz w:val="24"/>
      <w:szCs w:val="24"/>
      <w:lang w:val="en-US" w:eastAsia="zh-CN" w:bidi="ar-SA"/>
    </w:rPr>
  </w:style>
  <w:style w:type="character" w:customStyle="1" w:styleId="31">
    <w:name w:val="正文（首行缩进2字符） Char"/>
    <w:link w:val="32"/>
    <w:qFormat/>
    <w:uiPriority w:val="0"/>
    <w:rPr>
      <w:kern w:val="2"/>
      <w:sz w:val="24"/>
      <w:szCs w:val="24"/>
    </w:rPr>
  </w:style>
  <w:style w:type="paragraph" w:customStyle="1" w:styleId="32">
    <w:name w:val="正文（首行缩进2字符）"/>
    <w:basedOn w:val="1"/>
    <w:link w:val="31"/>
    <w:qFormat/>
    <w:uiPriority w:val="0"/>
    <w:pPr>
      <w:spacing w:line="360" w:lineRule="auto"/>
      <w:ind w:firstLine="480" w:firstLineChars="200"/>
    </w:pPr>
    <w:rPr>
      <w:sz w:val="24"/>
      <w:lang w:val="zh-CN" w:eastAsia="zh-CN"/>
    </w:rPr>
  </w:style>
  <w:style w:type="character" w:customStyle="1" w:styleId="33">
    <w:name w:val="已访问的超链接1"/>
    <w:qFormat/>
    <w:uiPriority w:val="0"/>
    <w:rPr>
      <w:color w:val="800080"/>
      <w:u w:val="single"/>
    </w:rPr>
  </w:style>
  <w:style w:type="character" w:customStyle="1" w:styleId="34">
    <w:name w:val="副标题 字符"/>
    <w:link w:val="19"/>
    <w:qFormat/>
    <w:uiPriority w:val="0"/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35">
    <w:name w:val="页眉 字符"/>
    <w:link w:val="18"/>
    <w:qFormat/>
    <w:uiPriority w:val="0"/>
    <w:rPr>
      <w:kern w:val="2"/>
      <w:sz w:val="18"/>
      <w:szCs w:val="18"/>
    </w:rPr>
  </w:style>
  <w:style w:type="character" w:customStyle="1" w:styleId="36">
    <w:name w:val="批注框文本 字符"/>
    <w:link w:val="16"/>
    <w:qFormat/>
    <w:uiPriority w:val="0"/>
    <w:rPr>
      <w:kern w:val="2"/>
      <w:sz w:val="18"/>
      <w:szCs w:val="18"/>
    </w:rPr>
  </w:style>
  <w:style w:type="character" w:customStyle="1" w:styleId="37">
    <w:name w:val="纯文本 字符"/>
    <w:link w:val="15"/>
    <w:qFormat/>
    <w:uiPriority w:val="0"/>
    <w:rPr>
      <w:rFonts w:ascii="Calibri" w:hAnsi="Courier New"/>
      <w:kern w:val="2"/>
      <w:sz w:val="21"/>
    </w:rPr>
  </w:style>
  <w:style w:type="character" w:customStyle="1" w:styleId="38">
    <w:name w:val="引用 字符"/>
    <w:link w:val="14"/>
    <w:qFormat/>
    <w:uiPriority w:val="0"/>
    <w:rPr>
      <w:rFonts w:ascii="Calibri" w:hAnsi="Calibri"/>
      <w:i/>
      <w:sz w:val="21"/>
    </w:rPr>
  </w:style>
  <w:style w:type="character" w:customStyle="1" w:styleId="39">
    <w:name w:val="正文（安华金和） Char"/>
    <w:link w:val="40"/>
    <w:qFormat/>
    <w:uiPriority w:val="0"/>
    <w:rPr>
      <w:rFonts w:ascii="Arial" w:hAnsi="Arial"/>
      <w:sz w:val="21"/>
      <w:szCs w:val="21"/>
      <w:lang w:val="en-US" w:eastAsia="zh-CN" w:bidi="ar-SA"/>
    </w:rPr>
  </w:style>
  <w:style w:type="paragraph" w:customStyle="1" w:styleId="40">
    <w:name w:val="正文（安华金和）"/>
    <w:link w:val="39"/>
    <w:qFormat/>
    <w:uiPriority w:val="0"/>
    <w:pPr>
      <w:widowControl w:val="0"/>
      <w:spacing w:line="360" w:lineRule="auto"/>
      <w:ind w:firstLine="200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character" w:customStyle="1" w:styleId="41">
    <w:name w:val="正文文本 字符"/>
    <w:link w:val="13"/>
    <w:qFormat/>
    <w:uiPriority w:val="0"/>
    <w:rPr>
      <w:kern w:val="2"/>
      <w:sz w:val="21"/>
      <w:szCs w:val="24"/>
    </w:rPr>
  </w:style>
  <w:style w:type="character" w:customStyle="1" w:styleId="42">
    <w:name w:val="页脚 字符1"/>
    <w:link w:val="17"/>
    <w:qFormat/>
    <w:uiPriority w:val="0"/>
    <w:rPr>
      <w:kern w:val="2"/>
      <w:sz w:val="18"/>
      <w:szCs w:val="18"/>
    </w:rPr>
  </w:style>
  <w:style w:type="character" w:customStyle="1" w:styleId="43">
    <w:name w:val="正文缩进 字符"/>
    <w:link w:val="11"/>
    <w:qFormat/>
    <w:uiPriority w:val="99"/>
    <w:rPr>
      <w:spacing w:val="8"/>
      <w:kern w:val="2"/>
      <w:sz w:val="24"/>
      <w:lang w:val="en-US" w:eastAsia="zh-CN"/>
    </w:rPr>
  </w:style>
  <w:style w:type="character" w:customStyle="1" w:styleId="44">
    <w:name w:val="标题 9 字符"/>
    <w:link w:val="10"/>
    <w:semiHidden/>
    <w:qFormat/>
    <w:uiPriority w:val="0"/>
    <w:rPr>
      <w:rFonts w:ascii="等线 Light" w:hAnsi="等线 Light" w:eastAsia="等线 Light"/>
      <w:kern w:val="2"/>
      <w:sz w:val="21"/>
      <w:szCs w:val="21"/>
    </w:rPr>
  </w:style>
  <w:style w:type="character" w:customStyle="1" w:styleId="45">
    <w:name w:val="标题 8 字符"/>
    <w:link w:val="9"/>
    <w:semiHidden/>
    <w:qFormat/>
    <w:uiPriority w:val="0"/>
    <w:rPr>
      <w:rFonts w:ascii="等线 Light" w:hAnsi="等线 Light" w:eastAsia="等线 Light"/>
      <w:kern w:val="2"/>
      <w:sz w:val="24"/>
      <w:szCs w:val="24"/>
    </w:rPr>
  </w:style>
  <w:style w:type="character" w:customStyle="1" w:styleId="46">
    <w:name w:val="标题 7 字符"/>
    <w:link w:val="8"/>
    <w:semiHidden/>
    <w:qFormat/>
    <w:uiPriority w:val="0"/>
    <w:rPr>
      <w:b/>
      <w:bCs/>
      <w:kern w:val="2"/>
      <w:sz w:val="24"/>
      <w:szCs w:val="24"/>
    </w:rPr>
  </w:style>
  <w:style w:type="character" w:customStyle="1" w:styleId="47">
    <w:name w:val="标题 5 字符"/>
    <w:link w:val="6"/>
    <w:qFormat/>
    <w:uiPriority w:val="0"/>
    <w:rPr>
      <w:b/>
      <w:bCs/>
      <w:kern w:val="2"/>
      <w:sz w:val="28"/>
      <w:szCs w:val="28"/>
    </w:rPr>
  </w:style>
  <w:style w:type="character" w:customStyle="1" w:styleId="48">
    <w:name w:val="标题 4 字符"/>
    <w:link w:val="5"/>
    <w:qFormat/>
    <w:uiPriority w:val="0"/>
    <w:rPr>
      <w:rFonts w:ascii="宋体" w:hAnsi="宋体"/>
      <w:b/>
      <w:bCs/>
      <w:kern w:val="2"/>
      <w:sz w:val="28"/>
      <w:szCs w:val="28"/>
    </w:rPr>
  </w:style>
  <w:style w:type="character" w:customStyle="1" w:styleId="49">
    <w:name w:val="标题 2 字符"/>
    <w:link w:val="3"/>
    <w:qFormat/>
    <w:uiPriority w:val="0"/>
    <w:rPr>
      <w:rFonts w:ascii="等线 Light" w:hAnsi="等线 Light" w:eastAsia="等线 Light" w:cs="Times New Roman"/>
      <w:b/>
      <w:bCs/>
      <w:kern w:val="2"/>
      <w:sz w:val="32"/>
      <w:szCs w:val="32"/>
    </w:rPr>
  </w:style>
  <w:style w:type="character" w:customStyle="1" w:styleId="50">
    <w:name w:val="标题 1 字符"/>
    <w:link w:val="2"/>
    <w:qFormat/>
    <w:uiPriority w:val="0"/>
    <w:rPr>
      <w:b/>
      <w:bCs/>
      <w:kern w:val="44"/>
      <w:sz w:val="44"/>
      <w:szCs w:val="44"/>
      <w:lang w:val="zh-CN" w:eastAsia="zh-CN"/>
    </w:rPr>
  </w:style>
  <w:style w:type="character" w:customStyle="1" w:styleId="51">
    <w:name w:val="标题 3 字符"/>
    <w:link w:val="4"/>
    <w:qFormat/>
    <w:uiPriority w:val="0"/>
    <w:rPr>
      <w:b/>
      <w:bCs/>
      <w:kern w:val="2"/>
      <w:sz w:val="30"/>
      <w:szCs w:val="30"/>
    </w:rPr>
  </w:style>
  <w:style w:type="character" w:customStyle="1" w:styleId="52">
    <w:name w:val="标题 6 字符"/>
    <w:link w:val="7"/>
    <w:semiHidden/>
    <w:qFormat/>
    <w:uiPriority w:val="0"/>
    <w:rPr>
      <w:rFonts w:ascii="等线 Light" w:hAnsi="等线 Light" w:eastAsia="等线 Light"/>
      <w:b/>
      <w:bCs/>
      <w:kern w:val="2"/>
      <w:sz w:val="24"/>
      <w:szCs w:val="24"/>
    </w:rPr>
  </w:style>
  <w:style w:type="character" w:customStyle="1" w:styleId="53">
    <w:name w:val="批注文字 字符"/>
    <w:qFormat/>
    <w:uiPriority w:val="99"/>
    <w:rPr>
      <w:kern w:val="2"/>
      <w:sz w:val="21"/>
      <w:szCs w:val="24"/>
    </w:rPr>
  </w:style>
  <w:style w:type="character" w:customStyle="1" w:styleId="54">
    <w:name w:val="批注文字 字符1"/>
    <w:link w:val="12"/>
    <w:qFormat/>
    <w:uiPriority w:val="0"/>
    <w:rPr>
      <w:szCs w:val="24"/>
    </w:rPr>
  </w:style>
  <w:style w:type="character" w:customStyle="1" w:styleId="55">
    <w:name w:val="页脚 字符"/>
    <w:qFormat/>
    <w:uiPriority w:val="99"/>
  </w:style>
  <w:style w:type="paragraph" w:customStyle="1" w:styleId="56">
    <w:name w:val="List Paragraph11"/>
    <w:basedOn w:val="1"/>
    <w:next w:val="1"/>
    <w:qFormat/>
    <w:uiPriority w:val="34"/>
    <w:pPr>
      <w:spacing w:line="360" w:lineRule="auto"/>
      <w:ind w:firstLine="420" w:firstLineChars="200"/>
    </w:pPr>
    <w:rPr>
      <w:rFonts w:ascii="Verdana" w:hAnsi="Verdana"/>
      <w:color w:val="000000"/>
      <w:sz w:val="20"/>
      <w:szCs w:val="20"/>
    </w:rPr>
  </w:style>
  <w:style w:type="paragraph" w:customStyle="1" w:styleId="57">
    <w:name w:val="标题 5（有编号）（安华金和）"/>
    <w:basedOn w:val="1"/>
    <w:next w:val="1"/>
    <w:qFormat/>
    <w:uiPriority w:val="0"/>
    <w:pPr>
      <w:keepNext/>
      <w:keepLines/>
      <w:numPr>
        <w:ilvl w:val="4"/>
        <w:numId w:val="2"/>
      </w:numPr>
      <w:spacing w:before="280" w:after="156" w:line="377" w:lineRule="auto"/>
      <w:ind w:left="0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58">
    <w:name w:val="表格标注（安华金和）"/>
    <w:basedOn w:val="59"/>
    <w:next w:val="1"/>
    <w:qFormat/>
    <w:uiPriority w:val="0"/>
    <w:pPr>
      <w:numPr>
        <w:ilvl w:val="7"/>
      </w:numPr>
    </w:pPr>
  </w:style>
  <w:style w:type="paragraph" w:customStyle="1" w:styleId="59">
    <w:name w:val="插图标注（安华金和）"/>
    <w:next w:val="1"/>
    <w:qFormat/>
    <w:uiPriority w:val="0"/>
    <w:pPr>
      <w:numPr>
        <w:ilvl w:val="6"/>
        <w:numId w:val="2"/>
      </w:numPr>
      <w:spacing w:after="156"/>
      <w:jc w:val="center"/>
    </w:pPr>
    <w:rPr>
      <w:rFonts w:ascii="Arial" w:hAnsi="Arial" w:eastAsia="宋体" w:cs="Arial"/>
      <w:sz w:val="21"/>
      <w:szCs w:val="21"/>
      <w:lang w:val="en-US" w:eastAsia="zh-CN" w:bidi="ar-SA"/>
    </w:rPr>
  </w:style>
  <w:style w:type="paragraph" w:customStyle="1" w:styleId="60">
    <w:name w:val="标题 1（DBSec）"/>
    <w:basedOn w:val="2"/>
    <w:next w:val="1"/>
    <w:qFormat/>
    <w:uiPriority w:val="0"/>
    <w:pPr>
      <w:pageBreakBefore/>
      <w:numPr>
        <w:numId w:val="2"/>
      </w:numPr>
      <w:pBdr>
        <w:bottom w:val="single" w:color="auto" w:sz="48" w:space="1"/>
      </w:pBdr>
      <w:spacing w:before="600" w:line="576" w:lineRule="auto"/>
      <w:ind w:left="200" w:leftChars="200"/>
      <w:jc w:val="left"/>
    </w:pPr>
    <w:rPr>
      <w:rFonts w:ascii="Arial" w:hAnsi="Arial" w:eastAsia="黑体"/>
      <w:lang w:val="en-US" w:eastAsia="zh-CN"/>
    </w:rPr>
  </w:style>
  <w:style w:type="paragraph" w:customStyle="1" w:styleId="61">
    <w:name w:val="标题 3（DBSec）"/>
    <w:basedOn w:val="4"/>
    <w:next w:val="1"/>
    <w:qFormat/>
    <w:uiPriority w:val="0"/>
    <w:pPr>
      <w:numPr>
        <w:ilvl w:val="2"/>
        <w:numId w:val="2"/>
      </w:numPr>
      <w:tabs>
        <w:tab w:val="left" w:pos="960"/>
      </w:tabs>
      <w:spacing w:line="415" w:lineRule="auto"/>
      <w:ind w:left="200" w:leftChars="200"/>
      <w:jc w:val="left"/>
    </w:pPr>
    <w:rPr>
      <w:rFonts w:ascii="Arial" w:hAnsi="Arial" w:eastAsia="黑体"/>
      <w:bCs w:val="0"/>
      <w:kern w:val="0"/>
    </w:rPr>
  </w:style>
  <w:style w:type="paragraph" w:customStyle="1" w:styleId="62">
    <w:name w:val="列出段落2"/>
    <w:basedOn w:val="1"/>
    <w:qFormat/>
    <w:uiPriority w:val="99"/>
    <w:pPr>
      <w:widowControl/>
      <w:spacing w:line="240" w:lineRule="atLeast"/>
      <w:ind w:firstLine="420" w:firstLineChars="200"/>
    </w:pPr>
    <w:rPr>
      <w:rFonts w:ascii="Arial" w:hAnsi="Arial"/>
      <w:kern w:val="0"/>
      <w:szCs w:val="21"/>
    </w:rPr>
  </w:style>
  <w:style w:type="paragraph" w:customStyle="1" w:styleId="6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微软雅黑" w:hAnsi="Times New Roman" w:eastAsia="微软雅黑" w:cs="微软雅黑"/>
      <w:color w:val="000000"/>
      <w:sz w:val="24"/>
      <w:szCs w:val="24"/>
      <w:lang w:val="en-US" w:eastAsia="zh-CN" w:bidi="ar-SA"/>
    </w:rPr>
  </w:style>
  <w:style w:type="paragraph" w:customStyle="1" w:styleId="64">
    <w:name w:val="列出段落1"/>
    <w:basedOn w:val="1"/>
    <w:qFormat/>
    <w:uiPriority w:val="34"/>
    <w:pPr>
      <w:widowControl/>
      <w:ind w:firstLine="420" w:firstLineChars="200"/>
      <w:jc w:val="left"/>
    </w:pPr>
    <w:rPr>
      <w:rFonts w:ascii="宋体" w:hAnsi="宋体" w:cs="宋体"/>
      <w:kern w:val="0"/>
      <w:sz w:val="24"/>
    </w:rPr>
  </w:style>
  <w:style w:type="paragraph" w:customStyle="1" w:styleId="65">
    <w:name w:val="彩色列表 - 着色 11"/>
    <w:basedOn w:val="1"/>
    <w:qFormat/>
    <w:uiPriority w:val="34"/>
    <w:pPr>
      <w:spacing w:line="360" w:lineRule="auto"/>
      <w:ind w:firstLine="420" w:firstLineChars="200"/>
    </w:pPr>
    <w:rPr>
      <w:rFonts w:ascii="Arial" w:hAnsi="Arial"/>
      <w:szCs w:val="21"/>
    </w:rPr>
  </w:style>
  <w:style w:type="paragraph" w:customStyle="1" w:styleId="66">
    <w:name w:val="标题 2（DBSec）"/>
    <w:basedOn w:val="3"/>
    <w:next w:val="1"/>
    <w:qFormat/>
    <w:uiPriority w:val="0"/>
    <w:pPr>
      <w:numPr>
        <w:ilvl w:val="1"/>
        <w:numId w:val="2"/>
      </w:numPr>
      <w:spacing w:line="415" w:lineRule="auto"/>
      <w:ind w:left="794" w:leftChars="200"/>
      <w:jc w:val="left"/>
    </w:pPr>
    <w:rPr>
      <w:rFonts w:ascii="Arial" w:hAnsi="Arial" w:eastAsia="黑体"/>
      <w:bCs w:val="0"/>
    </w:rPr>
  </w:style>
  <w:style w:type="paragraph" w:customStyle="1" w:styleId="67">
    <w:name w:val="标题 4（DBSec）"/>
    <w:basedOn w:val="5"/>
    <w:next w:val="1"/>
    <w:qFormat/>
    <w:uiPriority w:val="0"/>
    <w:pPr>
      <w:widowControl/>
      <w:numPr>
        <w:numId w:val="2"/>
      </w:numPr>
      <w:spacing w:after="156"/>
      <w:ind w:left="200" w:leftChars="200"/>
      <w:jc w:val="left"/>
    </w:pPr>
    <w:rPr>
      <w:rFonts w:ascii="Arial" w:hAnsi="Arial" w:eastAsia="黑体"/>
      <w:bCs w:val="0"/>
      <w:kern w:val="0"/>
    </w:rPr>
  </w:style>
  <w:style w:type="paragraph" w:customStyle="1" w:styleId="68">
    <w:name w:val="Other|1"/>
    <w:basedOn w:val="1"/>
    <w:qFormat/>
    <w:uiPriority w:val="0"/>
    <w:pPr>
      <w:jc w:val="center"/>
    </w:pPr>
    <w:rPr>
      <w:rFonts w:ascii="宋体" w:hAnsi="宋体" w:cs="宋体"/>
      <w:sz w:val="22"/>
      <w:szCs w:val="22"/>
    </w:rPr>
  </w:style>
  <w:style w:type="paragraph" w:customStyle="1" w:styleId="69">
    <w:name w:val="标题 6（有编号）（安华金和）"/>
    <w:basedOn w:val="1"/>
    <w:next w:val="1"/>
    <w:qFormat/>
    <w:uiPriority w:val="0"/>
    <w:pPr>
      <w:keepNext/>
      <w:keepLines/>
      <w:numPr>
        <w:ilvl w:val="5"/>
        <w:numId w:val="2"/>
      </w:numPr>
      <w:spacing w:before="240" w:after="64" w:line="319" w:lineRule="auto"/>
      <w:ind w:left="0"/>
      <w:jc w:val="left"/>
      <w:outlineLvl w:val="5"/>
    </w:pPr>
    <w:rPr>
      <w:rFonts w:ascii="Arial" w:hAnsi="Arial" w:eastAsia="黑体"/>
      <w:b/>
      <w:kern w:val="0"/>
    </w:rPr>
  </w:style>
  <w:style w:type="paragraph" w:customStyle="1" w:styleId="70">
    <w:name w:val="_Style 27"/>
    <w:basedOn w:val="1"/>
    <w:next w:val="28"/>
    <w:qFormat/>
    <w:uiPriority w:val="34"/>
    <w:pPr>
      <w:widowControl/>
      <w:spacing w:line="240" w:lineRule="atLeast"/>
      <w:ind w:firstLine="420" w:firstLineChars="200"/>
    </w:pPr>
    <w:rPr>
      <w:rFonts w:ascii="Arial" w:hAnsi="Arial"/>
      <w:kern w:val="0"/>
      <w:szCs w:val="21"/>
    </w:rPr>
  </w:style>
  <w:style w:type="paragraph" w:customStyle="1" w:styleId="71">
    <w:name w:val="ds-markdown-paragraph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2292</Words>
  <Characters>2782</Characters>
  <Lines>22</Lines>
  <Paragraphs>6</Paragraphs>
  <TotalTime>0</TotalTime>
  <ScaleCrop>false</ScaleCrop>
  <LinksUpToDate>false</LinksUpToDate>
  <CharactersWithSpaces>2915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2022-01-06T02:43:00Z</dcterms:created>
  <dc:creator>陈永辉</dc:creator>
  <cp:lastModifiedBy>Administrator</cp:lastModifiedBy>
  <dcterms:modified xsi:type="dcterms:W3CDTF">2026-09-07T03:00:50Z</dcterms:modified>
  <dc:title>1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A029657EF5DF417D960240D42DD85B4C_13</vt:lpwstr>
  </property>
  <property fmtid="{D5CDD505-2E9C-101B-9397-08002B2CF9AE}" pid="4" name="KSOTemplateDocerSaveRecord">
    <vt:lpwstr>eyJoZGlkIjoiOWI0YmVmZTRlOWQwNTVhYzE3NTBlZGI4M2QzZDg4ZjkiLCJ1c2VySWQiOiIyNjQwMTAyNjMifQ==</vt:lpwstr>
  </property>
</Properties>
</file>