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36"/>
      </w:tblGrid>
      <w:tr w14:paraId="4889B5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10546" w:type="dxa"/>
            <w:tcBorders>
              <w:top w:val="nil"/>
              <w:left w:val="nil"/>
              <w:bottom w:val="nil"/>
              <w:right w:val="nil"/>
            </w:tcBorders>
          </w:tcPr>
          <w:p w14:paraId="36C3CAF1">
            <w:pPr>
              <w:pStyle w:val="23"/>
              <w:spacing w:line="360" w:lineRule="auto"/>
              <w:jc w:val="center"/>
              <w:rPr>
                <w:rFonts w:ascii="Times New Roman" w:hAnsi="Times New Roman" w:eastAsia="宋体" w:cs="Times New Roman"/>
                <w:b/>
                <w:i w:val="0"/>
                <w:iCs w:val="0"/>
                <w:color w:val="auto"/>
                <w:sz w:val="28"/>
                <w:szCs w:val="36"/>
                <w:u w:val="none"/>
              </w:rPr>
            </w:pPr>
            <w:r>
              <w:rPr>
                <w:rFonts w:hint="eastAsia" w:ascii="Times New Roman" w:hAnsi="Times New Roman" w:cs="Times New Roman" w:eastAsiaTheme="minorEastAsia"/>
                <w:b/>
                <w:i w:val="0"/>
                <w:iCs w:val="0"/>
                <w:color w:val="auto"/>
                <w:sz w:val="28"/>
                <w:szCs w:val="36"/>
                <w:u w:val="none"/>
              </w:rPr>
              <w:t>动脉粥样硬化性心血管疾病患者</w:t>
            </w:r>
            <w:r>
              <w:rPr>
                <w:rFonts w:hint="eastAsia" w:ascii="Times New Roman" w:hAnsi="Times New Roman" w:eastAsia="宋体" w:cs="Times New Roman"/>
                <w:b/>
                <w:i w:val="0"/>
                <w:iCs w:val="0"/>
                <w:color w:val="auto"/>
                <w:sz w:val="28"/>
                <w:szCs w:val="36"/>
                <w:u w:val="none"/>
              </w:rPr>
              <w:t>招募</w:t>
            </w:r>
          </w:p>
          <w:p w14:paraId="0EECE0E9">
            <w:pPr>
              <w:pStyle w:val="23"/>
              <w:spacing w:line="360" w:lineRule="auto"/>
              <w:jc w:val="center"/>
              <w:rPr>
                <w:rFonts w:ascii="Times New Roman" w:hAnsi="Times New Roman" w:eastAsia="宋体" w:cs="Times New Roman"/>
                <w:b/>
                <w:i w:val="0"/>
                <w:iCs w:val="0"/>
                <w:color w:val="00C800"/>
                <w:sz w:val="28"/>
                <w:szCs w:val="36"/>
                <w:u w:val="none"/>
              </w:rPr>
            </w:pPr>
          </w:p>
          <w:p w14:paraId="2E2A12BB">
            <w:pPr>
              <w:pStyle w:val="23"/>
              <w:spacing w:line="360" w:lineRule="auto"/>
              <w:rPr>
                <w:rFonts w:hAnsi="Times New Roman" w:eastAsiaTheme="minorEastAsia"/>
                <w:b/>
                <w:i w:val="0"/>
                <w:iCs w:val="0"/>
                <w:sz w:val="21"/>
                <w:szCs w:val="21"/>
                <w:u w:val="none"/>
              </w:rPr>
            </w:pPr>
            <w:r>
              <w:rPr>
                <w:rFonts w:hint="eastAsia" w:hAnsi="Times New Roman" w:eastAsiaTheme="minorEastAsia"/>
                <w:b/>
                <w:i w:val="0"/>
                <w:iCs w:val="0"/>
                <w:color w:val="auto"/>
                <w:sz w:val="21"/>
                <w:szCs w:val="21"/>
                <w:u w:val="none"/>
              </w:rPr>
              <w:t>【这是一项什么样的研究？】</w:t>
            </w:r>
          </w:p>
          <w:p w14:paraId="17B2DBA4">
            <w:pPr>
              <w:pStyle w:val="23"/>
              <w:spacing w:line="360" w:lineRule="auto"/>
              <w:ind w:firstLine="420" w:firstLineChars="200"/>
              <w:rPr>
                <w:rFonts w:hAnsi="Times New Roman" w:eastAsiaTheme="minorEastAsia"/>
                <w:i w:val="0"/>
                <w:iCs w:val="0"/>
                <w:sz w:val="21"/>
                <w:szCs w:val="21"/>
                <w:u w:val="none"/>
              </w:rPr>
            </w:pPr>
            <w:r>
              <w:rPr>
                <w:rFonts w:hint="eastAsia" w:hAnsi="Times New Roman" w:eastAsiaTheme="minorEastAsia"/>
                <w:i w:val="0"/>
                <w:iCs w:val="0"/>
                <w:sz w:val="21"/>
                <w:szCs w:val="21"/>
                <w:u w:val="none"/>
              </w:rPr>
              <w:t>尊敬的患者及家属朋友：</w:t>
            </w:r>
          </w:p>
          <w:p w14:paraId="77DD2112">
            <w:pPr>
              <w:pStyle w:val="23"/>
              <w:spacing w:line="360" w:lineRule="auto"/>
              <w:ind w:firstLine="420" w:firstLineChars="200"/>
              <w:rPr>
                <w:rFonts w:hAnsi="Times New Roman" w:eastAsiaTheme="minorEastAsia"/>
                <w:i w:val="0"/>
                <w:iCs w:val="0"/>
                <w:sz w:val="21"/>
                <w:szCs w:val="21"/>
                <w:u w:val="none"/>
              </w:rPr>
            </w:pPr>
            <w:r>
              <w:rPr>
                <w:rFonts w:hint="eastAsia" w:hAnsi="Times New Roman" w:eastAsiaTheme="minorEastAsia"/>
                <w:i w:val="0"/>
                <w:iCs w:val="0"/>
                <w:sz w:val="21"/>
                <w:szCs w:val="21"/>
                <w:u w:val="none"/>
              </w:rPr>
              <w:t>您好！</w:t>
            </w:r>
          </w:p>
          <w:p w14:paraId="7435DF2B">
            <w:pPr>
              <w:pStyle w:val="23"/>
              <w:spacing w:line="360" w:lineRule="auto"/>
              <w:ind w:firstLine="420" w:firstLineChars="200"/>
              <w:rPr>
                <w:rFonts w:hAnsi="Times New Roman" w:eastAsiaTheme="minorEastAsia"/>
                <w:i w:val="0"/>
                <w:iCs w:val="0"/>
                <w:sz w:val="21"/>
                <w:szCs w:val="21"/>
                <w:u w:val="none"/>
              </w:rPr>
            </w:pPr>
            <w:r>
              <w:rPr>
                <w:rFonts w:hint="eastAsia" w:hAnsi="Times New Roman" w:eastAsiaTheme="minorEastAsia"/>
                <w:i w:val="0"/>
                <w:iCs w:val="0"/>
                <w:sz w:val="21"/>
                <w:szCs w:val="21"/>
                <w:u w:val="none"/>
              </w:rPr>
              <w:t>我院</w:t>
            </w:r>
            <w:r>
              <w:rPr>
                <w:rFonts w:hint="eastAsia" w:hAnsi="Times New Roman" w:eastAsiaTheme="minorEastAsia"/>
                <w:i w:val="0"/>
                <w:iCs w:val="0"/>
                <w:sz w:val="21"/>
                <w:szCs w:val="21"/>
                <w:u w:val="none"/>
                <w:lang w:val="en-US" w:eastAsia="zh-CN"/>
              </w:rPr>
              <w:t>内分泌</w:t>
            </w:r>
            <w:r>
              <w:rPr>
                <w:rFonts w:hint="eastAsia" w:hAnsi="Times New Roman" w:eastAsiaTheme="minorEastAsia"/>
                <w:i w:val="0"/>
                <w:iCs w:val="0"/>
                <w:color w:val="auto"/>
                <w:sz w:val="21"/>
                <w:szCs w:val="21"/>
                <w:u w:val="none"/>
              </w:rPr>
              <w:t>科</w:t>
            </w:r>
            <w:r>
              <w:rPr>
                <w:rFonts w:hint="eastAsia" w:hAnsi="Times New Roman" w:eastAsiaTheme="minorEastAsia"/>
                <w:i w:val="0"/>
                <w:iCs w:val="0"/>
                <w:sz w:val="21"/>
                <w:szCs w:val="21"/>
                <w:u w:val="none"/>
              </w:rPr>
              <w:t>正在开展一项“评价HRS9531注射液在动脉粥样硬化性心血管疾病患者中有效性和安全性的多中心、随机、双盲、安慰剂平行对照III期临床研究（方案编号：</w:t>
            </w:r>
            <w:r>
              <w:rPr>
                <w:rFonts w:hAnsi="Times New Roman" w:eastAsiaTheme="minorEastAsia"/>
                <w:i w:val="0"/>
                <w:iCs w:val="0"/>
                <w:sz w:val="21"/>
                <w:szCs w:val="21"/>
                <w:u w:val="none"/>
              </w:rPr>
              <w:t>HRS9531-310</w:t>
            </w:r>
            <w:r>
              <w:rPr>
                <w:rFonts w:hint="eastAsia" w:hAnsi="Times New Roman" w:eastAsiaTheme="minorEastAsia"/>
                <w:i w:val="0"/>
                <w:iCs w:val="0"/>
                <w:sz w:val="21"/>
                <w:szCs w:val="21"/>
                <w:u w:val="none"/>
              </w:rPr>
              <w:t>）”。</w:t>
            </w:r>
          </w:p>
          <w:p w14:paraId="69EB618D">
            <w:pPr>
              <w:pStyle w:val="23"/>
              <w:spacing w:line="360" w:lineRule="auto"/>
              <w:ind w:firstLine="420" w:firstLineChars="200"/>
              <w:rPr>
                <w:rFonts w:hAnsi="Times New Roman" w:eastAsiaTheme="minorEastAsia"/>
                <w:i w:val="0"/>
                <w:iCs w:val="0"/>
                <w:color w:val="auto"/>
                <w:sz w:val="21"/>
                <w:szCs w:val="21"/>
                <w:u w:val="none"/>
              </w:rPr>
            </w:pPr>
            <w:r>
              <w:rPr>
                <w:rFonts w:hint="eastAsia" w:hAnsi="Times New Roman" w:eastAsiaTheme="minorEastAsia"/>
                <w:i w:val="0"/>
                <w:iCs w:val="0"/>
                <w:sz w:val="21"/>
                <w:szCs w:val="21"/>
                <w:u w:val="none"/>
              </w:rPr>
              <w:t>本研究</w:t>
            </w:r>
            <w:bookmarkStart w:id="1" w:name="_GoBack"/>
            <w:bookmarkEnd w:id="1"/>
            <w:r>
              <w:rPr>
                <w:rFonts w:hint="eastAsia" w:hAnsi="Times New Roman" w:eastAsiaTheme="minorEastAsia"/>
                <w:i w:val="0"/>
                <w:iCs w:val="0"/>
                <w:sz w:val="21"/>
                <w:szCs w:val="21"/>
                <w:u w:val="none"/>
              </w:rPr>
              <w:t>已获得国家药品监督管理局和我院伦理委员会的批准。计划在全国多家中心招募约</w:t>
            </w:r>
            <w:r>
              <w:rPr>
                <w:rFonts w:ascii="Times New Roman" w:hAnsi="Times New Roman" w:eastAsiaTheme="minorEastAsia" w:cstheme="minorBidi"/>
                <w:i w:val="0"/>
                <w:iCs w:val="0"/>
                <w:color w:val="auto"/>
                <w:kern w:val="2"/>
                <w:sz w:val="21"/>
                <w:szCs w:val="21"/>
                <w:u w:val="none"/>
              </w:rPr>
              <w:t>9262</w:t>
            </w:r>
            <w:r>
              <w:rPr>
                <w:rFonts w:hint="eastAsia" w:hAnsi="Times New Roman" w:eastAsiaTheme="minorEastAsia"/>
                <w:i w:val="0"/>
                <w:iCs w:val="0"/>
                <w:sz w:val="21"/>
                <w:szCs w:val="21"/>
                <w:u w:val="none"/>
              </w:rPr>
              <w:t>例动脉粥样硬化性心血管疾病试验参与者，</w:t>
            </w:r>
            <w:r>
              <w:rPr>
                <w:rFonts w:hint="eastAsia" w:ascii="Times New Roman" w:hAnsi="Times New Roman" w:eastAsiaTheme="minorEastAsia" w:cstheme="minorBidi"/>
                <w:i w:val="0"/>
                <w:iCs w:val="0"/>
                <w:color w:val="auto"/>
                <w:kern w:val="2"/>
                <w:sz w:val="21"/>
                <w:szCs w:val="21"/>
                <w:u w:val="none"/>
              </w:rPr>
              <w:t>以探索该药物对主要不良心血管事件的影响</w:t>
            </w:r>
            <w:r>
              <w:rPr>
                <w:rFonts w:hint="eastAsia" w:hAnsi="Times New Roman" w:eastAsiaTheme="minorEastAsia"/>
                <w:i w:val="0"/>
                <w:iCs w:val="0"/>
                <w:color w:val="auto"/>
                <w:sz w:val="21"/>
                <w:szCs w:val="21"/>
                <w:u w:val="none"/>
              </w:rPr>
              <w:t>。</w:t>
            </w:r>
          </w:p>
          <w:p w14:paraId="52CBB4B2">
            <w:pPr>
              <w:pStyle w:val="23"/>
              <w:spacing w:line="360" w:lineRule="auto"/>
              <w:ind w:firstLine="420" w:firstLineChars="200"/>
              <w:rPr>
                <w:rFonts w:ascii="Times New Roman" w:hAnsi="Times New Roman" w:cs="Times New Roman" w:eastAsiaTheme="minorEastAsia"/>
                <w:i w:val="0"/>
                <w:iCs w:val="0"/>
                <w:sz w:val="21"/>
                <w:szCs w:val="21"/>
                <w:u w:val="none"/>
              </w:rPr>
            </w:pPr>
            <w:r>
              <w:rPr>
                <w:rFonts w:ascii="Times New Roman" w:hAnsi="Times New Roman" w:cs="Times New Roman" w:eastAsiaTheme="minorEastAsia"/>
                <w:i w:val="0"/>
                <w:iCs w:val="0"/>
                <w:color w:val="auto"/>
                <w:sz w:val="21"/>
                <w:szCs w:val="21"/>
                <w:u w:val="none"/>
              </w:rPr>
              <w:t>HRS9531</w:t>
            </w:r>
            <w:r>
              <w:rPr>
                <w:rFonts w:hint="eastAsia" w:ascii="Times New Roman" w:hAnsi="Times New Roman" w:cs="Times New Roman" w:eastAsiaTheme="minorEastAsia"/>
                <w:i w:val="0"/>
                <w:iCs w:val="0"/>
                <w:color w:val="auto"/>
                <w:sz w:val="21"/>
                <w:szCs w:val="21"/>
                <w:u w:val="none"/>
              </w:rPr>
              <w:t>（瑞普泊肽）是一种胰高血糖素样肽</w:t>
            </w:r>
            <w:r>
              <w:rPr>
                <w:rFonts w:ascii="Times New Roman" w:hAnsi="Times New Roman" w:cs="Times New Roman" w:eastAsiaTheme="minorEastAsia"/>
                <w:i w:val="0"/>
                <w:iCs w:val="0"/>
                <w:color w:val="auto"/>
                <w:sz w:val="21"/>
                <w:szCs w:val="21"/>
                <w:u w:val="none"/>
              </w:rPr>
              <w:t>‑1</w:t>
            </w:r>
            <w:r>
              <w:rPr>
                <w:rFonts w:hint="eastAsia" w:ascii="Times New Roman" w:hAnsi="Times New Roman" w:cs="Times New Roman" w:eastAsiaTheme="minorEastAsia"/>
                <w:i w:val="0"/>
                <w:iCs w:val="0"/>
                <w:color w:val="auto"/>
                <w:sz w:val="21"/>
                <w:szCs w:val="21"/>
                <w:u w:val="none"/>
              </w:rPr>
              <w:t>（</w:t>
            </w:r>
            <w:r>
              <w:rPr>
                <w:rFonts w:ascii="Times New Roman" w:hAnsi="Times New Roman" w:cs="Times New Roman" w:eastAsiaTheme="minorEastAsia"/>
                <w:i w:val="0"/>
                <w:iCs w:val="0"/>
                <w:color w:val="auto"/>
                <w:sz w:val="21"/>
                <w:szCs w:val="21"/>
                <w:u w:val="none"/>
              </w:rPr>
              <w:t>Glucagon-like peptide-1, GLP-1</w:t>
            </w:r>
            <w:r>
              <w:rPr>
                <w:rFonts w:hint="eastAsia" w:ascii="Times New Roman" w:hAnsi="Times New Roman" w:cs="Times New Roman" w:eastAsiaTheme="minorEastAsia"/>
                <w:i w:val="0"/>
                <w:iCs w:val="0"/>
                <w:color w:val="auto"/>
                <w:sz w:val="21"/>
                <w:szCs w:val="21"/>
                <w:u w:val="none"/>
              </w:rPr>
              <w:t>）和葡萄糖依赖性促胰岛素肽（</w:t>
            </w:r>
            <w:r>
              <w:rPr>
                <w:rFonts w:ascii="Times New Roman" w:hAnsi="Times New Roman" w:cs="Times New Roman" w:eastAsiaTheme="minorEastAsia"/>
                <w:i w:val="0"/>
                <w:iCs w:val="0"/>
                <w:color w:val="auto"/>
                <w:sz w:val="21"/>
                <w:szCs w:val="21"/>
                <w:u w:val="none"/>
              </w:rPr>
              <w:t>Glucose-dependent insulinotropic peptide</w:t>
            </w:r>
            <w:r>
              <w:rPr>
                <w:rFonts w:hint="eastAsia" w:ascii="Times New Roman" w:hAnsi="Times New Roman" w:cs="Times New Roman" w:eastAsiaTheme="minorEastAsia"/>
                <w:i w:val="0"/>
                <w:iCs w:val="0"/>
                <w:color w:val="auto"/>
                <w:sz w:val="21"/>
                <w:szCs w:val="21"/>
                <w:u w:val="none"/>
              </w:rPr>
              <w:t>，</w:t>
            </w:r>
            <w:r>
              <w:rPr>
                <w:rFonts w:ascii="Times New Roman" w:hAnsi="Times New Roman" w:cs="Times New Roman" w:eastAsiaTheme="minorEastAsia"/>
                <w:i w:val="0"/>
                <w:iCs w:val="0"/>
                <w:color w:val="auto"/>
                <w:sz w:val="21"/>
                <w:szCs w:val="21"/>
                <w:u w:val="none"/>
              </w:rPr>
              <w:t>GIP</w:t>
            </w:r>
            <w:r>
              <w:rPr>
                <w:rFonts w:hint="eastAsia" w:ascii="Times New Roman" w:hAnsi="Times New Roman" w:cs="Times New Roman" w:eastAsiaTheme="minorEastAsia"/>
                <w:i w:val="0"/>
                <w:iCs w:val="0"/>
                <w:color w:val="auto"/>
                <w:sz w:val="21"/>
                <w:szCs w:val="21"/>
                <w:u w:val="none"/>
              </w:rPr>
              <w:t>）双重受体激动剂，可通过同时激动</w:t>
            </w:r>
            <w:r>
              <w:rPr>
                <w:rFonts w:ascii="Times New Roman" w:hAnsi="Times New Roman" w:cs="Times New Roman" w:eastAsiaTheme="minorEastAsia"/>
                <w:i w:val="0"/>
                <w:iCs w:val="0"/>
                <w:color w:val="auto"/>
                <w:sz w:val="21"/>
                <w:szCs w:val="21"/>
                <w:u w:val="none"/>
              </w:rPr>
              <w:t>GLP-1</w:t>
            </w:r>
            <w:r>
              <w:rPr>
                <w:rFonts w:hint="eastAsia" w:ascii="Times New Roman" w:hAnsi="Times New Roman" w:cs="Times New Roman" w:eastAsiaTheme="minorEastAsia"/>
                <w:i w:val="0"/>
                <w:iCs w:val="0"/>
                <w:color w:val="auto"/>
                <w:sz w:val="21"/>
                <w:szCs w:val="21"/>
                <w:u w:val="none"/>
              </w:rPr>
              <w:t>和</w:t>
            </w:r>
            <w:r>
              <w:rPr>
                <w:rFonts w:ascii="Times New Roman" w:hAnsi="Times New Roman" w:cs="Times New Roman" w:eastAsiaTheme="minorEastAsia"/>
                <w:i w:val="0"/>
                <w:iCs w:val="0"/>
                <w:color w:val="auto"/>
                <w:sz w:val="21"/>
                <w:szCs w:val="21"/>
                <w:u w:val="none"/>
              </w:rPr>
              <w:t>GIP</w:t>
            </w:r>
            <w:r>
              <w:rPr>
                <w:rFonts w:hint="eastAsia" w:ascii="Times New Roman" w:hAnsi="Times New Roman" w:cs="Times New Roman" w:eastAsiaTheme="minorEastAsia"/>
                <w:i w:val="0"/>
                <w:iCs w:val="0"/>
                <w:color w:val="auto"/>
                <w:sz w:val="21"/>
                <w:szCs w:val="21"/>
                <w:u w:val="none"/>
              </w:rPr>
              <w:t>受体，发挥葡萄糖依赖性的促胰岛素分泌、抑制食欲和改善胰岛素敏感性等作用，降低血糖和减轻体重，以降低主要心血管事件风险。</w:t>
            </w:r>
            <w:r>
              <w:rPr>
                <w:rFonts w:ascii="Times New Roman" w:hAnsi="Times New Roman" w:cs="Times New Roman" w:eastAsiaTheme="minorEastAsia"/>
                <w:i w:val="0"/>
                <w:iCs w:val="0"/>
                <w:color w:val="auto"/>
                <w:sz w:val="21"/>
                <w:szCs w:val="21"/>
                <w:u w:val="none"/>
              </w:rPr>
              <w:t xml:space="preserve"> </w:t>
            </w:r>
          </w:p>
          <w:p w14:paraId="1535958F">
            <w:pPr>
              <w:pStyle w:val="23"/>
              <w:spacing w:line="360" w:lineRule="auto"/>
              <w:rPr>
                <w:rFonts w:hAnsi="Times New Roman" w:eastAsiaTheme="minorEastAsia"/>
                <w:b/>
                <w:i w:val="0"/>
                <w:iCs w:val="0"/>
                <w:sz w:val="21"/>
                <w:szCs w:val="21"/>
                <w:u w:val="none"/>
              </w:rPr>
            </w:pPr>
            <w:r>
              <w:rPr>
                <w:rFonts w:hint="eastAsia" w:hAnsi="Times New Roman" w:eastAsiaTheme="minorEastAsia"/>
                <w:b/>
                <w:i w:val="0"/>
                <w:iCs w:val="0"/>
                <w:color w:val="auto"/>
                <w:sz w:val="21"/>
                <w:szCs w:val="21"/>
                <w:u w:val="none"/>
              </w:rPr>
              <w:t>【参加本研究需要至少符合下列条件】</w:t>
            </w:r>
          </w:p>
          <w:p w14:paraId="43B74127">
            <w:pPr>
              <w:pStyle w:val="23"/>
              <w:spacing w:line="360" w:lineRule="auto"/>
              <w:ind w:firstLine="420" w:firstLineChars="200"/>
              <w:rPr>
                <w:rFonts w:hAnsi="Times New Roman" w:eastAsiaTheme="minorEastAsia"/>
                <w:i w:val="0"/>
                <w:iCs w:val="0"/>
                <w:color w:val="auto"/>
                <w:kern w:val="2"/>
                <w:sz w:val="21"/>
                <w:szCs w:val="21"/>
                <w:u w:val="none"/>
              </w:rPr>
            </w:pPr>
            <w:r>
              <w:rPr>
                <w:rFonts w:hAnsi="Times New Roman" w:eastAsiaTheme="minorEastAsia"/>
                <w:i w:val="0"/>
                <w:iCs w:val="0"/>
                <w:color w:val="auto"/>
                <w:sz w:val="21"/>
                <w:szCs w:val="21"/>
                <w:u w:val="none"/>
              </w:rPr>
              <w:t>1</w:t>
            </w:r>
            <w:r>
              <w:rPr>
                <w:rFonts w:hint="eastAsia" w:hAnsi="Times New Roman" w:eastAsiaTheme="minorEastAsia"/>
                <w:i w:val="0"/>
                <w:iCs w:val="0"/>
                <w:color w:val="auto"/>
                <w:sz w:val="21"/>
                <w:szCs w:val="21"/>
                <w:u w:val="none"/>
              </w:rPr>
              <w:t>．年龄≥18周岁</w:t>
            </w:r>
            <w:r>
              <w:rPr>
                <w:rFonts w:hint="eastAsia" w:ascii="Times New Roman" w:hAnsi="Times New Roman" w:eastAsiaTheme="minorEastAsia" w:cstheme="minorBidi"/>
                <w:i w:val="0"/>
                <w:iCs w:val="0"/>
                <w:color w:val="auto"/>
                <w:kern w:val="2"/>
                <w:sz w:val="21"/>
                <w:szCs w:val="21"/>
                <w:u w:val="none"/>
              </w:rPr>
              <w:t>，性别不限；</w:t>
            </w:r>
          </w:p>
          <w:p w14:paraId="0F5FF646">
            <w:pPr>
              <w:pStyle w:val="23"/>
              <w:spacing w:line="360" w:lineRule="auto"/>
              <w:ind w:firstLine="420" w:firstLineChars="200"/>
              <w:rPr>
                <w:rFonts w:ascii="Times New Roman" w:hAnsi="Times New Roman" w:eastAsiaTheme="minorEastAsia" w:cstheme="minorBidi"/>
                <w:i w:val="0"/>
                <w:iCs w:val="0"/>
                <w:color w:val="auto"/>
                <w:kern w:val="2"/>
                <w:sz w:val="21"/>
                <w:szCs w:val="21"/>
                <w:u w:val="none"/>
              </w:rPr>
            </w:pPr>
            <w:r>
              <w:rPr>
                <w:rFonts w:hint="eastAsia" w:hAnsi="Times New Roman" w:eastAsiaTheme="minorEastAsia"/>
                <w:i w:val="0"/>
                <w:iCs w:val="0"/>
                <w:color w:val="auto"/>
                <w:sz w:val="21"/>
                <w:szCs w:val="21"/>
                <w:u w:val="none"/>
              </w:rPr>
              <w:t>2</w:t>
            </w:r>
            <w:r>
              <w:rPr>
                <w:rFonts w:hAnsi="Times New Roman" w:eastAsiaTheme="minorEastAsia"/>
                <w:i w:val="0"/>
                <w:iCs w:val="0"/>
                <w:color w:val="auto"/>
                <w:sz w:val="21"/>
                <w:szCs w:val="21"/>
                <w:u w:val="none"/>
              </w:rPr>
              <w:t xml:space="preserve">. </w:t>
            </w:r>
            <w:r>
              <w:rPr>
                <w:rFonts w:hint="eastAsia" w:ascii="Times New Roman" w:hAnsi="Times New Roman" w:eastAsiaTheme="minorEastAsia" w:cstheme="minorBidi"/>
                <w:i w:val="0"/>
                <w:iCs w:val="0"/>
                <w:color w:val="auto"/>
                <w:kern w:val="2"/>
                <w:sz w:val="21"/>
                <w:szCs w:val="21"/>
                <w:u w:val="none"/>
              </w:rPr>
              <w:t>经医生确诊为动脉粥样硬化性心血管疾病（ASCVD），且病程超过3个月，至少满足以下一项诊断标准：冠心病、脑血管疾病或外周动脉疾病（PAD）；</w:t>
            </w:r>
          </w:p>
          <w:p w14:paraId="395E7B59">
            <w:pPr>
              <w:pStyle w:val="23"/>
              <w:spacing w:line="360" w:lineRule="auto"/>
              <w:ind w:firstLine="420" w:firstLineChars="200"/>
              <w:rPr>
                <w:rFonts w:hAnsi="Times New Roman" w:eastAsiaTheme="minorEastAsia"/>
                <w:i w:val="0"/>
                <w:iCs w:val="0"/>
                <w:color w:val="auto"/>
                <w:sz w:val="21"/>
                <w:szCs w:val="21"/>
                <w:u w:val="none"/>
              </w:rPr>
            </w:pPr>
            <w:r>
              <w:rPr>
                <w:rFonts w:hint="eastAsia" w:hAnsi="Times New Roman" w:eastAsiaTheme="minorEastAsia"/>
                <w:i w:val="0"/>
                <w:iCs w:val="0"/>
                <w:color w:val="auto"/>
                <w:sz w:val="21"/>
                <w:szCs w:val="21"/>
                <w:u w:val="none"/>
              </w:rPr>
              <w:t>3</w:t>
            </w:r>
            <w:r>
              <w:rPr>
                <w:rFonts w:hAnsi="Times New Roman" w:eastAsiaTheme="minorEastAsia"/>
                <w:i w:val="0"/>
                <w:iCs w:val="0"/>
                <w:color w:val="auto"/>
                <w:sz w:val="21"/>
                <w:szCs w:val="21"/>
                <w:u w:val="none"/>
              </w:rPr>
              <w:t xml:space="preserve">. </w:t>
            </w:r>
            <w:r>
              <w:rPr>
                <w:rFonts w:hint="eastAsia" w:hAnsi="Times New Roman" w:eastAsiaTheme="minorEastAsia"/>
                <w:i w:val="0"/>
                <w:iCs w:val="0"/>
                <w:color w:val="auto"/>
                <w:sz w:val="21"/>
                <w:szCs w:val="21"/>
                <w:u w:val="none"/>
              </w:rPr>
              <w:t>筛选前需要满足以下条件之一：1）诊断为复杂冠状动脉病变；2)诊断为2型糖尿病，且糖化血红蛋白（HbA1c）≥6.5%；3）诊断为慢性肾脏疾病，且肾小球滤过率（eGFR）＜60 mL/min/1.73m²或</w:t>
            </w:r>
            <w:r>
              <w:rPr>
                <w:rStyle w:val="24"/>
                <w:rFonts w:hint="eastAsia" w:eastAsiaTheme="minorEastAsia"/>
                <w:i w:val="0"/>
                <w:iCs w:val="0"/>
                <w:sz w:val="21"/>
                <w:szCs w:val="21"/>
                <w:u w:val="none"/>
                <w:shd w:val="clear" w:color="auto" w:fill="FFFFFF"/>
              </w:rPr>
              <w:t>尿白蛋白</w:t>
            </w:r>
            <w:r>
              <w:rPr>
                <w:rStyle w:val="24"/>
                <w:rFonts w:ascii="Times New Roman" w:hAnsi="Times New Roman" w:cs="Times New Roman" w:eastAsiaTheme="minorEastAsia"/>
                <w:i w:val="0"/>
                <w:iCs w:val="0"/>
                <w:sz w:val="21"/>
                <w:szCs w:val="21"/>
                <w:u w:val="none"/>
                <w:shd w:val="clear" w:color="auto" w:fill="FFFFFF"/>
              </w:rPr>
              <w:t>/</w:t>
            </w:r>
            <w:r>
              <w:rPr>
                <w:rStyle w:val="24"/>
                <w:rFonts w:hint="eastAsia" w:eastAsiaTheme="minorEastAsia"/>
                <w:i w:val="0"/>
                <w:iCs w:val="0"/>
                <w:sz w:val="21"/>
                <w:szCs w:val="21"/>
                <w:u w:val="none"/>
                <w:shd w:val="clear" w:color="auto" w:fill="FFFFFF"/>
              </w:rPr>
              <w:t>肌酐比值（</w:t>
            </w:r>
            <w:r>
              <w:rPr>
                <w:rFonts w:hint="eastAsia" w:hAnsi="Times New Roman" w:eastAsiaTheme="minorEastAsia"/>
                <w:i w:val="0"/>
                <w:iCs w:val="0"/>
                <w:color w:val="auto"/>
                <w:sz w:val="21"/>
                <w:szCs w:val="21"/>
                <w:u w:val="none"/>
              </w:rPr>
              <w:t>UACR）300-5000 mg/g；4)既往1年内有新发急性心肌梗死病史或缺血性卒中病史；</w:t>
            </w:r>
          </w:p>
          <w:p w14:paraId="4FB68C07">
            <w:pPr>
              <w:pStyle w:val="23"/>
              <w:spacing w:line="360" w:lineRule="auto"/>
              <w:ind w:firstLine="420" w:firstLineChars="200"/>
              <w:rPr>
                <w:rFonts w:hAnsi="Times New Roman" w:eastAsiaTheme="minorEastAsia"/>
                <w:i w:val="0"/>
                <w:iCs w:val="0"/>
                <w:color w:val="auto"/>
                <w:sz w:val="21"/>
                <w:szCs w:val="21"/>
                <w:u w:val="none"/>
              </w:rPr>
            </w:pPr>
            <w:r>
              <w:rPr>
                <w:rFonts w:hint="eastAsia" w:hAnsi="Times New Roman" w:eastAsiaTheme="minorEastAsia"/>
                <w:i w:val="0"/>
                <w:iCs w:val="0"/>
                <w:color w:val="auto"/>
                <w:sz w:val="21"/>
                <w:szCs w:val="21"/>
                <w:u w:val="none"/>
              </w:rPr>
              <w:t>4</w:t>
            </w:r>
            <w:r>
              <w:rPr>
                <w:rFonts w:hAnsi="Times New Roman" w:eastAsiaTheme="minorEastAsia"/>
                <w:i w:val="0"/>
                <w:iCs w:val="0"/>
                <w:color w:val="auto"/>
                <w:sz w:val="21"/>
                <w:szCs w:val="21"/>
                <w:u w:val="none"/>
              </w:rPr>
              <w:t xml:space="preserve">. </w:t>
            </w:r>
            <w:r>
              <w:rPr>
                <w:rFonts w:hint="eastAsia" w:hAnsi="Times New Roman" w:eastAsiaTheme="minorEastAsia"/>
                <w:i w:val="0"/>
                <w:iCs w:val="0"/>
                <w:color w:val="auto"/>
                <w:sz w:val="21"/>
                <w:szCs w:val="21"/>
                <w:u w:val="none"/>
              </w:rPr>
              <w:t>筛选时体重指数（BMI）≥24.0 kg/m2；2型糖尿病患者BMI≥22.0 kg/m2。</w:t>
            </w:r>
          </w:p>
          <w:p w14:paraId="701D1769">
            <w:pPr>
              <w:pStyle w:val="23"/>
              <w:spacing w:line="360" w:lineRule="auto"/>
              <w:rPr>
                <w:rFonts w:ascii="Times New Roman" w:hAnsi="Times New Roman" w:eastAsiaTheme="minorEastAsia" w:cstheme="minorBidi"/>
                <w:i w:val="0"/>
                <w:iCs w:val="0"/>
                <w:color w:val="00C800"/>
                <w:kern w:val="2"/>
                <w:sz w:val="21"/>
                <w:szCs w:val="21"/>
                <w:u w:val="none"/>
              </w:rPr>
            </w:pPr>
          </w:p>
          <w:p w14:paraId="554D874A">
            <w:pPr>
              <w:pStyle w:val="23"/>
              <w:spacing w:line="360" w:lineRule="auto"/>
              <w:rPr>
                <w:rFonts w:hAnsi="Times New Roman" w:eastAsiaTheme="minorEastAsia"/>
                <w:i w:val="0"/>
                <w:iCs w:val="0"/>
                <w:sz w:val="21"/>
                <w:szCs w:val="21"/>
                <w:u w:val="none"/>
              </w:rPr>
            </w:pPr>
            <w:r>
              <w:rPr>
                <w:rFonts w:hint="eastAsia" w:hAnsi="Times New Roman" w:eastAsiaTheme="minorEastAsia"/>
                <w:i w:val="0"/>
                <w:iCs w:val="0"/>
                <w:sz w:val="21"/>
                <w:szCs w:val="21"/>
                <w:u w:val="none"/>
              </w:rPr>
              <w:t>如果您或您的家人/朋友有可能符合上述条件，可以咨询研究医生，研究医生将根据具体情况来判断您是否可以参加此项研究。</w:t>
            </w:r>
          </w:p>
          <w:p w14:paraId="49F889B3">
            <w:pPr>
              <w:pStyle w:val="23"/>
              <w:spacing w:line="360" w:lineRule="auto"/>
              <w:rPr>
                <w:rFonts w:hAnsi="Times New Roman" w:eastAsiaTheme="minorEastAsia"/>
                <w:i w:val="0"/>
                <w:iCs w:val="0"/>
                <w:color w:val="auto"/>
                <w:sz w:val="21"/>
                <w:szCs w:val="21"/>
                <w:u w:val="none"/>
              </w:rPr>
            </w:pPr>
            <w:r>
              <w:rPr>
                <w:rFonts w:hint="eastAsia" w:hAnsi="Times New Roman" w:eastAsiaTheme="minorEastAsia"/>
                <w:i w:val="0"/>
                <w:iCs w:val="0"/>
                <w:color w:val="auto"/>
                <w:sz w:val="21"/>
                <w:szCs w:val="21"/>
                <w:u w:val="none"/>
              </w:rPr>
              <w:t>本研究中，您无需缴纳费用。研究药物、研究相关程序和研究访视检查（如：血常规、尿常规、肝肾功能、血脂检查、血糖指标、心电图、超声心动图、腹部超声等）所需的费用不会向您或者您的保险公司收取。研究期间将有专科医生定期为您诊疗，对您的身体和病情定期检测评估，并有</w:t>
            </w:r>
            <w:r>
              <w:rPr>
                <w:rFonts w:hint="eastAsia" w:ascii="Times New Roman" w:hAnsi="Times New Roman" w:eastAsiaTheme="minorEastAsia" w:cstheme="minorBidi"/>
                <w:i w:val="0"/>
                <w:iCs w:val="0"/>
                <w:color w:val="auto"/>
                <w:kern w:val="2"/>
                <w:sz w:val="21"/>
                <w:szCs w:val="21"/>
                <w:u w:val="none"/>
              </w:rPr>
              <w:t>一定的交通和营养补贴。</w:t>
            </w:r>
          </w:p>
          <w:p w14:paraId="036507C9">
            <w:pPr>
              <w:pStyle w:val="23"/>
              <w:spacing w:line="360" w:lineRule="auto"/>
              <w:rPr>
                <w:rFonts w:hAnsi="Times New Roman" w:eastAsiaTheme="minorEastAsia"/>
                <w:b/>
                <w:i w:val="0"/>
                <w:iCs w:val="0"/>
                <w:color w:val="000000" w:themeColor="text1"/>
                <w:sz w:val="21"/>
                <w:szCs w:val="21"/>
                <w:u w:val="none"/>
                <w14:textFill>
                  <w14:solidFill>
                    <w14:schemeClr w14:val="tx1"/>
                  </w14:solidFill>
                </w14:textFill>
              </w:rPr>
            </w:pPr>
            <w:r>
              <w:rPr>
                <w:rFonts w:hint="eastAsia" w:hAnsi="Times New Roman" w:eastAsiaTheme="minorEastAsia"/>
                <w:b/>
                <w:i w:val="0"/>
                <w:iCs w:val="0"/>
                <w:color w:val="000000" w:themeColor="text1"/>
                <w:sz w:val="21"/>
                <w:szCs w:val="21"/>
                <w:u w:val="none"/>
                <w14:textFill>
                  <w14:solidFill>
                    <w14:schemeClr w14:val="tx1"/>
                  </w14:solidFill>
                </w14:textFill>
              </w:rPr>
              <w:t>【您的权益受到充分保护】</w:t>
            </w:r>
          </w:p>
          <w:p w14:paraId="2E6EE6C3">
            <w:pPr>
              <w:pStyle w:val="23"/>
              <w:spacing w:line="360" w:lineRule="auto"/>
              <w:rPr>
                <w:rFonts w:hAnsi="Times New Roman" w:eastAsiaTheme="minorEastAsia"/>
                <w:i w:val="0"/>
                <w:iCs w:val="0"/>
                <w:sz w:val="21"/>
                <w:szCs w:val="21"/>
                <w:u w:val="none"/>
              </w:rPr>
            </w:pPr>
            <w:r>
              <w:rPr>
                <w:rFonts w:hint="eastAsia" w:hAnsi="Times New Roman" w:eastAsiaTheme="minorEastAsia"/>
                <w:i w:val="0"/>
                <w:iCs w:val="0"/>
                <w:sz w:val="21"/>
                <w:szCs w:val="21"/>
                <w:u w:val="none"/>
              </w:rPr>
              <w:t>您的参与完全是</w:t>
            </w:r>
            <w:r>
              <w:rPr>
                <w:rFonts w:hint="eastAsia" w:hAnsi="Times New Roman" w:eastAsiaTheme="minorEastAsia"/>
                <w:b/>
                <w:i w:val="0"/>
                <w:iCs w:val="0"/>
                <w:sz w:val="21"/>
                <w:szCs w:val="21"/>
                <w:u w:val="none"/>
              </w:rPr>
              <w:t>自愿的</w:t>
            </w:r>
            <w:r>
              <w:rPr>
                <w:rFonts w:hint="eastAsia" w:hAnsi="Times New Roman" w:eastAsiaTheme="minorEastAsia"/>
                <w:i w:val="0"/>
                <w:iCs w:val="0"/>
                <w:sz w:val="21"/>
                <w:szCs w:val="21"/>
                <w:u w:val="none"/>
              </w:rPr>
              <w:t>。您的所有个人资料和病情都将严格保密。在整个研究过程中，您有权随时退出研究。</w:t>
            </w:r>
          </w:p>
          <w:p w14:paraId="05390C7A">
            <w:pPr>
              <w:pStyle w:val="23"/>
              <w:spacing w:line="360" w:lineRule="auto"/>
              <w:rPr>
                <w:rFonts w:hAnsi="Times New Roman" w:eastAsiaTheme="minorEastAsia"/>
                <w:i w:val="0"/>
                <w:iCs w:val="0"/>
                <w:sz w:val="21"/>
                <w:szCs w:val="21"/>
                <w:u w:val="none"/>
              </w:rPr>
            </w:pPr>
            <w:r>
              <w:rPr>
                <w:rFonts w:hint="eastAsia" w:hAnsi="Times New Roman" w:eastAsiaTheme="minorEastAsia"/>
                <w:b/>
                <w:i w:val="0"/>
                <w:iCs w:val="0"/>
                <w:sz w:val="21"/>
                <w:szCs w:val="21"/>
                <w:u w:val="none"/>
              </w:rPr>
              <w:t>【如果您或您的亲友有兴趣了解更详细的信息，请联系我们】</w:t>
            </w:r>
            <w:r>
              <w:rPr>
                <w:rFonts w:hAnsi="Times New Roman" w:eastAsiaTheme="minorEastAsia"/>
                <w:b/>
                <w:i w:val="0"/>
                <w:iCs w:val="0"/>
                <w:sz w:val="21"/>
                <w:szCs w:val="21"/>
                <w:u w:val="none"/>
              </w:rPr>
              <w:t xml:space="preserve"> </w:t>
            </w:r>
          </w:p>
          <w:tbl>
            <w:tblPr>
              <w:tblStyle w:val="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782"/>
              <w:gridCol w:w="4404"/>
            </w:tblGrid>
            <w:tr w14:paraId="3E27D6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428" w:hRule="atLeast"/>
              </w:trPr>
              <w:tc>
                <w:tcPr>
                  <w:tcW w:w="2782" w:type="dxa"/>
                </w:tcPr>
                <w:p w14:paraId="49E89D43">
                  <w:pPr>
                    <w:autoSpaceDE w:val="0"/>
                    <w:autoSpaceDN w:val="0"/>
                    <w:adjustRightInd w:val="0"/>
                    <w:spacing w:line="360" w:lineRule="auto"/>
                    <w:jc w:val="left"/>
                    <w:rPr>
                      <w:rFonts w:hAnsi="Times New Roman"/>
                      <w:b/>
                      <w:i w:val="0"/>
                      <w:iCs w:val="0"/>
                      <w:szCs w:val="21"/>
                      <w:u w:val="none"/>
                    </w:rPr>
                  </w:pPr>
                  <w:r>
                    <w:rPr>
                      <w:rFonts w:hint="eastAsia" w:hAnsi="Times New Roman"/>
                      <w:b/>
                      <w:i w:val="0"/>
                      <w:iCs w:val="0"/>
                      <w:szCs w:val="21"/>
                      <w:u w:val="none"/>
                    </w:rPr>
                    <w:t>研究医生</w:t>
                  </w:r>
                </w:p>
              </w:tc>
              <w:tc>
                <w:tcPr>
                  <w:tcW w:w="4404" w:type="dxa"/>
                </w:tcPr>
                <w:p w14:paraId="7BE5E8FB">
                  <w:pPr>
                    <w:autoSpaceDE w:val="0"/>
                    <w:autoSpaceDN w:val="0"/>
                    <w:adjustRightInd w:val="0"/>
                    <w:spacing w:line="360" w:lineRule="auto"/>
                    <w:jc w:val="left"/>
                    <w:rPr>
                      <w:rFonts w:hAnsi="Times New Roman"/>
                      <w:b/>
                      <w:i w:val="0"/>
                      <w:iCs w:val="0"/>
                      <w:szCs w:val="21"/>
                      <w:u w:val="none"/>
                    </w:rPr>
                  </w:pPr>
                  <w:r>
                    <w:rPr>
                      <w:rFonts w:hint="eastAsia" w:hAnsi="Times New Roman"/>
                      <w:b/>
                      <w:i w:val="0"/>
                      <w:iCs w:val="0"/>
                      <w:szCs w:val="21"/>
                      <w:u w:val="none"/>
                    </w:rPr>
                    <w:t>出诊时间和出诊地点</w:t>
                  </w:r>
                </w:p>
              </w:tc>
            </w:tr>
            <w:tr w14:paraId="125C86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9" w:hRule="atLeast"/>
              </w:trPr>
              <w:tc>
                <w:tcPr>
                  <w:tcW w:w="2782" w:type="dxa"/>
                </w:tcPr>
                <w:p w14:paraId="7EE44E3B">
                  <w:pPr>
                    <w:autoSpaceDE w:val="0"/>
                    <w:autoSpaceDN w:val="0"/>
                    <w:adjustRightInd w:val="0"/>
                    <w:spacing w:line="360" w:lineRule="auto"/>
                    <w:jc w:val="left"/>
                    <w:rPr>
                      <w:rFonts w:hint="eastAsia" w:hAnsi="Times New Roman" w:eastAsiaTheme="minorEastAsia"/>
                      <w:i w:val="0"/>
                      <w:iCs w:val="0"/>
                      <w:color w:val="auto"/>
                      <w:szCs w:val="21"/>
                      <w:u w:val="none"/>
                      <w:lang w:val="en-US" w:eastAsia="zh-CN"/>
                    </w:rPr>
                  </w:pPr>
                  <w:r>
                    <w:rPr>
                      <w:rFonts w:hint="eastAsia" w:hAnsi="Times New Roman"/>
                      <w:i w:val="0"/>
                      <w:iCs w:val="0"/>
                      <w:color w:val="auto"/>
                      <w:szCs w:val="21"/>
                      <w:u w:val="none"/>
                      <w:lang w:val="en-US" w:eastAsia="zh-CN"/>
                    </w:rPr>
                    <w:t>王龙</w:t>
                  </w:r>
                </w:p>
              </w:tc>
              <w:tc>
                <w:tcPr>
                  <w:tcW w:w="4404" w:type="dxa"/>
                </w:tcPr>
                <w:p w14:paraId="2C038DA8">
                  <w:pPr>
                    <w:autoSpaceDE w:val="0"/>
                    <w:autoSpaceDN w:val="0"/>
                    <w:adjustRightInd w:val="0"/>
                    <w:spacing w:line="360" w:lineRule="auto"/>
                    <w:jc w:val="left"/>
                    <w:rPr>
                      <w:rFonts w:hint="default" w:hAnsi="Times New Roman"/>
                      <w:i w:val="0"/>
                      <w:iCs w:val="0"/>
                      <w:color w:val="auto"/>
                      <w:szCs w:val="21"/>
                      <w:u w:val="none"/>
                      <w:lang w:val="en-US" w:eastAsia="zh-CN"/>
                    </w:rPr>
                  </w:pPr>
                  <w:r>
                    <w:rPr>
                      <w:rFonts w:hint="eastAsia" w:hAnsi="Times New Roman"/>
                      <w:i w:val="0"/>
                      <w:iCs w:val="0"/>
                      <w:color w:val="auto"/>
                      <w:szCs w:val="21"/>
                      <w:u w:val="none"/>
                      <w:lang w:val="en-US" w:eastAsia="zh-CN"/>
                    </w:rPr>
                    <w:t>周一上午，东川门诊308</w:t>
                  </w:r>
                </w:p>
                <w:p w14:paraId="179A37D4">
                  <w:pPr>
                    <w:autoSpaceDE w:val="0"/>
                    <w:autoSpaceDN w:val="0"/>
                    <w:adjustRightInd w:val="0"/>
                    <w:spacing w:line="360" w:lineRule="auto"/>
                    <w:jc w:val="left"/>
                    <w:rPr>
                      <w:rFonts w:hint="eastAsia" w:hAnsi="Times New Roman"/>
                      <w:i w:val="0"/>
                      <w:iCs w:val="0"/>
                      <w:color w:val="auto"/>
                      <w:szCs w:val="21"/>
                      <w:u w:val="none"/>
                      <w:lang w:val="en-US" w:eastAsia="zh-CN"/>
                    </w:rPr>
                  </w:pPr>
                  <w:r>
                    <w:rPr>
                      <w:rFonts w:hint="eastAsia" w:hAnsi="Times New Roman"/>
                      <w:i w:val="0"/>
                      <w:iCs w:val="0"/>
                      <w:color w:val="auto"/>
                      <w:szCs w:val="21"/>
                      <w:u w:val="none"/>
                      <w:lang w:val="en-US" w:eastAsia="zh-CN"/>
                    </w:rPr>
                    <w:t>周三上午，东川门诊307</w:t>
                  </w:r>
                </w:p>
                <w:p w14:paraId="1D78E1F2">
                  <w:pPr>
                    <w:autoSpaceDE w:val="0"/>
                    <w:autoSpaceDN w:val="0"/>
                    <w:adjustRightInd w:val="0"/>
                    <w:spacing w:line="360" w:lineRule="auto"/>
                    <w:jc w:val="left"/>
                    <w:rPr>
                      <w:rFonts w:hint="eastAsia" w:hAnsi="Times New Roman"/>
                      <w:i w:val="0"/>
                      <w:iCs w:val="0"/>
                      <w:color w:val="auto"/>
                      <w:szCs w:val="21"/>
                      <w:u w:val="none"/>
                      <w:lang w:val="en-US" w:eastAsia="zh-CN"/>
                    </w:rPr>
                  </w:pPr>
                  <w:r>
                    <w:rPr>
                      <w:rFonts w:hint="eastAsia" w:hAnsi="Times New Roman"/>
                      <w:i w:val="0"/>
                      <w:iCs w:val="0"/>
                      <w:color w:val="auto"/>
                      <w:szCs w:val="21"/>
                      <w:u w:val="none"/>
                      <w:lang w:val="en-US" w:eastAsia="zh-CN"/>
                    </w:rPr>
                    <w:t>周四下午，东川门诊307</w:t>
                  </w:r>
                </w:p>
                <w:p w14:paraId="7C4666A7">
                  <w:pPr>
                    <w:autoSpaceDE w:val="0"/>
                    <w:autoSpaceDN w:val="0"/>
                    <w:adjustRightInd w:val="0"/>
                    <w:spacing w:line="360" w:lineRule="auto"/>
                    <w:jc w:val="left"/>
                    <w:rPr>
                      <w:rFonts w:hint="default" w:hAnsi="Times New Roman"/>
                      <w:i w:val="0"/>
                      <w:iCs w:val="0"/>
                      <w:color w:val="auto"/>
                      <w:szCs w:val="21"/>
                      <w:u w:val="none"/>
                      <w:lang w:val="en-US" w:eastAsia="zh-CN"/>
                    </w:rPr>
                  </w:pPr>
                  <w:r>
                    <w:rPr>
                      <w:rFonts w:hint="eastAsia" w:hAnsi="Times New Roman"/>
                      <w:i w:val="0"/>
                      <w:iCs w:val="0"/>
                      <w:color w:val="auto"/>
                      <w:szCs w:val="21"/>
                      <w:u w:val="none"/>
                      <w:lang w:val="en-US" w:eastAsia="zh-CN"/>
                    </w:rPr>
                    <w:t>周五下午，东川门诊308</w:t>
                  </w:r>
                </w:p>
              </w:tc>
            </w:tr>
            <w:tr w14:paraId="1277F7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8" w:hRule="atLeast"/>
              </w:trPr>
              <w:tc>
                <w:tcPr>
                  <w:tcW w:w="2782" w:type="dxa"/>
                </w:tcPr>
                <w:p w14:paraId="586F8B63">
                  <w:pPr>
                    <w:autoSpaceDE w:val="0"/>
                    <w:autoSpaceDN w:val="0"/>
                    <w:adjustRightInd w:val="0"/>
                    <w:spacing w:line="360" w:lineRule="auto"/>
                    <w:jc w:val="left"/>
                    <w:rPr>
                      <w:rFonts w:hint="eastAsia" w:hAnsi="Times New Roman" w:eastAsiaTheme="minorEastAsia"/>
                      <w:i w:val="0"/>
                      <w:iCs w:val="0"/>
                      <w:color w:val="auto"/>
                      <w:szCs w:val="21"/>
                      <w:u w:val="none"/>
                      <w:lang w:val="en-US" w:eastAsia="zh-CN"/>
                    </w:rPr>
                  </w:pPr>
                  <w:r>
                    <w:rPr>
                      <w:rFonts w:hint="eastAsia" w:hAnsi="Times New Roman"/>
                      <w:i w:val="0"/>
                      <w:iCs w:val="0"/>
                      <w:color w:val="auto"/>
                      <w:szCs w:val="21"/>
                      <w:u w:val="none"/>
                      <w:lang w:val="en-US" w:eastAsia="zh-CN"/>
                    </w:rPr>
                    <w:t>江敏纯</w:t>
                  </w:r>
                </w:p>
              </w:tc>
              <w:tc>
                <w:tcPr>
                  <w:tcW w:w="4404" w:type="dxa"/>
                </w:tcPr>
                <w:p w14:paraId="64EA9762">
                  <w:pPr>
                    <w:autoSpaceDE w:val="0"/>
                    <w:autoSpaceDN w:val="0"/>
                    <w:adjustRightInd w:val="0"/>
                    <w:spacing w:line="360" w:lineRule="auto"/>
                    <w:jc w:val="left"/>
                    <w:rPr>
                      <w:rFonts w:hint="default" w:hAnsi="Times New Roman"/>
                      <w:i w:val="0"/>
                      <w:iCs w:val="0"/>
                      <w:color w:val="auto"/>
                      <w:szCs w:val="21"/>
                      <w:u w:val="none"/>
                      <w:lang w:val="en-US" w:eastAsia="zh-CN"/>
                    </w:rPr>
                  </w:pPr>
                  <w:r>
                    <w:rPr>
                      <w:rFonts w:hint="eastAsia" w:hAnsi="Times New Roman"/>
                      <w:i w:val="0"/>
                      <w:iCs w:val="0"/>
                      <w:color w:val="auto"/>
                      <w:szCs w:val="21"/>
                      <w:u w:val="none"/>
                      <w:lang w:val="en-US" w:eastAsia="zh-CN"/>
                    </w:rPr>
                    <w:t>周一上午，东川门诊311</w:t>
                  </w:r>
                </w:p>
                <w:p w14:paraId="32E33329">
                  <w:pPr>
                    <w:autoSpaceDE w:val="0"/>
                    <w:autoSpaceDN w:val="0"/>
                    <w:adjustRightInd w:val="0"/>
                    <w:spacing w:line="360" w:lineRule="auto"/>
                    <w:jc w:val="left"/>
                    <w:rPr>
                      <w:rFonts w:hint="default" w:hAnsi="Times New Roman"/>
                      <w:i w:val="0"/>
                      <w:iCs w:val="0"/>
                      <w:color w:val="auto"/>
                      <w:szCs w:val="21"/>
                      <w:u w:val="none"/>
                      <w:lang w:val="en-US" w:eastAsia="zh-CN"/>
                    </w:rPr>
                  </w:pPr>
                  <w:r>
                    <w:rPr>
                      <w:rFonts w:hint="eastAsia" w:hAnsi="Times New Roman"/>
                      <w:i w:val="0"/>
                      <w:iCs w:val="0"/>
                      <w:color w:val="auto"/>
                      <w:szCs w:val="21"/>
                      <w:u w:val="none"/>
                      <w:lang w:val="en-US" w:eastAsia="zh-CN"/>
                    </w:rPr>
                    <w:t>周三上午，东川门诊308</w:t>
                  </w:r>
                </w:p>
                <w:p w14:paraId="27E7E21F">
                  <w:pPr>
                    <w:autoSpaceDE w:val="0"/>
                    <w:autoSpaceDN w:val="0"/>
                    <w:adjustRightInd w:val="0"/>
                    <w:spacing w:line="360" w:lineRule="auto"/>
                    <w:jc w:val="left"/>
                    <w:rPr>
                      <w:rFonts w:hint="default" w:hAnsi="Times New Roman"/>
                      <w:i w:val="0"/>
                      <w:iCs w:val="0"/>
                      <w:color w:val="auto"/>
                      <w:szCs w:val="21"/>
                      <w:u w:val="none"/>
                      <w:lang w:val="en-US" w:eastAsia="zh-CN"/>
                    </w:rPr>
                  </w:pPr>
                  <w:r>
                    <w:rPr>
                      <w:rFonts w:hint="eastAsia" w:hAnsi="Times New Roman"/>
                      <w:i w:val="0"/>
                      <w:iCs w:val="0"/>
                      <w:color w:val="auto"/>
                      <w:szCs w:val="21"/>
                      <w:u w:val="none"/>
                      <w:lang w:val="en-US" w:eastAsia="zh-CN"/>
                    </w:rPr>
                    <w:t>周二下午，东川门诊308</w:t>
                  </w:r>
                </w:p>
                <w:p w14:paraId="6961A235">
                  <w:pPr>
                    <w:autoSpaceDE w:val="0"/>
                    <w:autoSpaceDN w:val="0"/>
                    <w:adjustRightInd w:val="0"/>
                    <w:spacing w:line="360" w:lineRule="auto"/>
                    <w:jc w:val="left"/>
                    <w:rPr>
                      <w:rFonts w:hint="default" w:hAnsi="Times New Roman"/>
                      <w:i w:val="0"/>
                      <w:iCs w:val="0"/>
                      <w:color w:val="00C800"/>
                      <w:szCs w:val="21"/>
                      <w:u w:val="none"/>
                      <w:lang w:val="en-US"/>
                    </w:rPr>
                  </w:pPr>
                  <w:r>
                    <w:rPr>
                      <w:rFonts w:hint="eastAsia" w:hAnsi="Times New Roman"/>
                      <w:i w:val="0"/>
                      <w:iCs w:val="0"/>
                      <w:color w:val="auto"/>
                      <w:szCs w:val="21"/>
                      <w:u w:val="none"/>
                      <w:lang w:val="en-US" w:eastAsia="zh-CN"/>
                    </w:rPr>
                    <w:t>周五下午，东川门诊309</w:t>
                  </w:r>
                </w:p>
              </w:tc>
            </w:tr>
          </w:tbl>
          <w:p w14:paraId="247CF322">
            <w:pPr>
              <w:autoSpaceDE w:val="0"/>
              <w:autoSpaceDN w:val="0"/>
              <w:adjustRightInd w:val="0"/>
              <w:spacing w:line="360" w:lineRule="auto"/>
              <w:jc w:val="left"/>
              <w:rPr>
                <w:rFonts w:ascii="宋体" w:hAnsi="Times New Roman" w:eastAsia="宋体" w:cs="宋体"/>
                <w:i w:val="0"/>
                <w:iCs w:val="0"/>
                <w:kern w:val="0"/>
                <w:szCs w:val="21"/>
                <w:u w:val="none"/>
              </w:rPr>
            </w:pPr>
            <w:r>
              <w:rPr>
                <w:rFonts w:hint="eastAsia" w:ascii="宋体" w:hAnsi="Times New Roman" w:eastAsia="宋体" w:cs="宋体"/>
                <w:i w:val="0"/>
                <w:iCs w:val="0"/>
                <w:kern w:val="0"/>
                <w:szCs w:val="21"/>
                <w:u w:val="none"/>
              </w:rPr>
              <w:t>或咨询研究助理：</w:t>
            </w:r>
            <w:r>
              <w:rPr>
                <w:rFonts w:ascii="宋体" w:hAnsi="Times New Roman" w:eastAsia="宋体" w:cs="宋体"/>
                <w:i w:val="0"/>
                <w:iCs w:val="0"/>
                <w:kern w:val="0"/>
                <w:szCs w:val="21"/>
                <w:u w:val="none"/>
              </w:rPr>
              <w:t xml:space="preserve">  </w:t>
            </w:r>
            <w:r>
              <w:rPr>
                <w:rFonts w:hint="eastAsia" w:ascii="宋体" w:hAnsi="Times New Roman" w:eastAsia="宋体" w:cs="宋体"/>
                <w:i w:val="0"/>
                <w:iCs w:val="0"/>
                <w:kern w:val="0"/>
                <w:szCs w:val="21"/>
                <w:u w:val="none"/>
                <w:lang w:val="en-US" w:eastAsia="zh-CN"/>
              </w:rPr>
              <w:t>严俏敏</w:t>
            </w:r>
            <w:r>
              <w:rPr>
                <w:rFonts w:hint="eastAsia" w:ascii="宋体" w:hAnsi="Times New Roman" w:eastAsia="宋体" w:cs="宋体"/>
                <w:i w:val="0"/>
                <w:iCs w:val="0"/>
                <w:kern w:val="0"/>
                <w:szCs w:val="21"/>
                <w:u w:val="none"/>
              </w:rPr>
              <w:t>15622389084</w:t>
            </w:r>
            <w:r>
              <w:rPr>
                <w:rFonts w:ascii="宋体" w:hAnsi="Times New Roman" w:eastAsia="宋体" w:cs="宋体"/>
                <w:i w:val="0"/>
                <w:iCs w:val="0"/>
                <w:kern w:val="0"/>
                <w:szCs w:val="21"/>
                <w:u w:val="none"/>
              </w:rPr>
              <w:t xml:space="preserve"> </w:t>
            </w:r>
          </w:p>
          <w:p w14:paraId="68881E10">
            <w:pPr>
              <w:pStyle w:val="23"/>
              <w:spacing w:line="360" w:lineRule="auto"/>
              <w:rPr>
                <w:rFonts w:ascii="Times New Roman" w:hAnsi="Times New Roman" w:eastAsiaTheme="minorEastAsia" w:cstheme="minorBidi"/>
                <w:i w:val="0"/>
                <w:iCs w:val="0"/>
                <w:color w:val="auto"/>
                <w:kern w:val="2"/>
                <w:sz w:val="21"/>
                <w:szCs w:val="21"/>
                <w:u w:val="none"/>
              </w:rPr>
            </w:pPr>
            <w:r>
              <w:rPr>
                <w:rFonts w:hint="eastAsia" w:hAnsi="Times New Roman" w:eastAsiaTheme="minorEastAsia"/>
                <w:i w:val="0"/>
                <w:iCs w:val="0"/>
                <w:color w:val="auto"/>
                <w:sz w:val="21"/>
                <w:szCs w:val="21"/>
                <w:u w:val="none"/>
              </w:rPr>
              <w:t>地址：</w:t>
            </w:r>
            <w:r>
              <w:rPr>
                <w:rFonts w:hint="eastAsia" w:ascii="Times New Roman" w:hAnsi="Times New Roman" w:eastAsiaTheme="minorEastAsia" w:cstheme="minorBidi"/>
                <w:i w:val="0"/>
                <w:iCs w:val="0"/>
                <w:color w:val="auto"/>
                <w:kern w:val="2"/>
                <w:sz w:val="21"/>
                <w:szCs w:val="21"/>
                <w:u w:val="none"/>
                <w:lang w:val="en-US" w:eastAsia="zh-CN"/>
              </w:rPr>
              <w:t>广东省人民医院内分泌</w:t>
            </w:r>
            <w:r>
              <w:rPr>
                <w:rFonts w:hint="eastAsia" w:ascii="Times New Roman" w:hAnsi="Times New Roman" w:eastAsiaTheme="minorEastAsia" w:cstheme="minorBidi"/>
                <w:i w:val="0"/>
                <w:iCs w:val="0"/>
                <w:color w:val="auto"/>
                <w:kern w:val="2"/>
                <w:sz w:val="21"/>
                <w:szCs w:val="21"/>
                <w:u w:val="none"/>
              </w:rPr>
              <w:t>科</w:t>
            </w:r>
          </w:p>
          <w:p w14:paraId="48F64D4A">
            <w:pPr>
              <w:pStyle w:val="23"/>
              <w:rPr>
                <w:rFonts w:hAnsi="Times New Roman" w:eastAsiaTheme="minorEastAsia"/>
                <w:i w:val="0"/>
                <w:iCs w:val="0"/>
                <w:color w:val="auto"/>
                <w:sz w:val="21"/>
                <w:szCs w:val="21"/>
                <w:u w:val="none"/>
              </w:rPr>
            </w:pPr>
            <w:r>
              <w:rPr>
                <w:rFonts w:hint="eastAsia" w:hAnsi="Times New Roman" w:eastAsiaTheme="minorEastAsia"/>
                <w:i w:val="0"/>
                <w:iCs w:val="0"/>
                <w:color w:val="auto"/>
                <w:sz w:val="21"/>
                <w:szCs w:val="21"/>
                <w:u w:val="none"/>
              </w:rPr>
              <w:t>咨询时间：周一至周五，上午8:00-12:00，下午2:00-5:00</w:t>
            </w:r>
          </w:p>
          <w:p w14:paraId="2BFFE4EE">
            <w:pPr>
              <w:pStyle w:val="23"/>
              <w:jc w:val="right"/>
              <w:rPr>
                <w:rFonts w:ascii="Times New Roman" w:hAnsi="Times New Roman" w:cs="Times New Roman" w:eastAsiaTheme="minorEastAsia"/>
                <w:b/>
                <w:i w:val="0"/>
                <w:iCs w:val="0"/>
                <w:sz w:val="21"/>
                <w:szCs w:val="21"/>
                <w:u w:val="none"/>
              </w:rPr>
            </w:pPr>
            <w:r>
              <w:rPr>
                <w:rFonts w:hint="eastAsia" w:ascii="Times New Roman" w:hAnsi="Times New Roman" w:eastAsiaTheme="minorEastAsia" w:cstheme="minorBidi"/>
                <w:b/>
                <w:i w:val="0"/>
                <w:iCs w:val="0"/>
                <w:color w:val="auto"/>
                <w:kern w:val="2"/>
                <w:sz w:val="21"/>
                <w:szCs w:val="21"/>
                <w:u w:val="none"/>
                <w:lang w:val="en-US" w:eastAsia="zh-CN"/>
              </w:rPr>
              <w:t>广东省人民医院</w:t>
            </w:r>
          </w:p>
          <w:p w14:paraId="0FE7BEA7">
            <w:pPr>
              <w:rPr>
                <w:rFonts w:ascii="宋体" w:hAnsi="宋体" w:eastAsia="宋体"/>
                <w:i w:val="0"/>
                <w:iCs w:val="0"/>
                <w:color w:val="0000C8"/>
                <w:szCs w:val="21"/>
                <w:u w:val="none"/>
                <w:lang w:val="fr-FR"/>
              </w:rPr>
            </w:pPr>
          </w:p>
        </w:tc>
      </w:tr>
      <w:tr w14:paraId="4E3D0D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46" w:type="dxa"/>
            <w:tcBorders>
              <w:top w:val="nil"/>
              <w:left w:val="nil"/>
              <w:bottom w:val="nil"/>
              <w:right w:val="nil"/>
            </w:tcBorders>
          </w:tcPr>
          <w:p w14:paraId="7F1B1D39">
            <w:pPr>
              <w:rPr>
                <w:rFonts w:ascii="宋体" w:hAnsi="宋体" w:eastAsia="宋体"/>
                <w:i/>
                <w:color w:val="0000C8"/>
                <w:sz w:val="18"/>
                <w:szCs w:val="18"/>
                <w:lang w:val="fr-FR"/>
              </w:rPr>
            </w:pPr>
          </w:p>
        </w:tc>
      </w:tr>
    </w:tbl>
    <w:p w14:paraId="4EF9AE1C">
      <w:pPr>
        <w:spacing w:line="360" w:lineRule="auto"/>
        <w:rPr>
          <w:rFonts w:ascii="Times New Roman" w:hAnsi="Times New Roman"/>
          <w:szCs w:val="21"/>
        </w:rPr>
      </w:pPr>
    </w:p>
    <w:sectPr>
      <w:headerReference r:id="rId3" w:type="default"/>
      <w:footerReference r:id="rId5" w:type="default"/>
      <w:headerReference r:id="rId4" w:type="even"/>
      <w:footerReference r:id="rId6" w:type="even"/>
      <w:pgSz w:w="11906" w:h="16838"/>
      <w:pgMar w:top="850" w:right="680" w:bottom="850" w:left="680" w:header="567" w:footer="567"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92819">
    <w:pPr>
      <w:pStyle w:val="4"/>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D1209">
                          <w:pPr>
                            <w:pStyle w:val="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A5D1209">
                    <w:pPr>
                      <w:pStyle w:val="4"/>
                    </w:pPr>
                  </w:p>
                </w:txbxContent>
              </v:textbox>
            </v:shape>
          </w:pict>
        </mc:Fallback>
      </mc:AlternateContent>
    </w:r>
  </w:p>
  <w:tbl>
    <w:tblPr>
      <w:tblStyle w:val="7"/>
      <w:tblW w:w="10490" w:type="dxa"/>
      <w:tblInd w:w="0" w:type="dxa"/>
      <w:tblBorders>
        <w:top w:val="thinThickMediumGap" w:color="auto" w:sz="12"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7088"/>
      <w:gridCol w:w="3402"/>
    </w:tblGrid>
    <w:tr w14:paraId="65B79EE0">
      <w:tblPrEx>
        <w:tblBorders>
          <w:top w:val="thinThickMediumGap" w:color="auto" w:sz="12"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7088" w:type="dxa"/>
          <w:shd w:val="clear" w:color="auto" w:fill="auto"/>
          <w:vAlign w:val="center"/>
        </w:tcPr>
        <w:p w14:paraId="45A38540">
          <w:pPr>
            <w:pStyle w:val="4"/>
            <w:widowControl/>
            <w:tabs>
              <w:tab w:val="center" w:pos="4320"/>
              <w:tab w:val="right" w:pos="8640"/>
              <w:tab w:val="clear" w:pos="4153"/>
              <w:tab w:val="clear" w:pos="8306"/>
            </w:tabs>
            <w:snapToGrid/>
            <w:jc w:val="both"/>
            <w:rPr>
              <w:rFonts w:ascii="Times New Roman" w:hAnsi="Times New Roman" w:eastAsia="宋体" w:cs="Times New Roman"/>
            </w:rPr>
          </w:pPr>
          <w:r>
            <w:rPr>
              <w:rFonts w:hint="eastAsia" w:ascii="宋体" w:hAnsi="Calibri" w:eastAsia="宋体" w:cs="宋体"/>
              <w:kern w:val="0"/>
            </w:rPr>
            <w:t>注：此广告会在医院、社区医院、医学网站、医学刊物、微信、易企秀等发布</w:t>
          </w:r>
        </w:p>
      </w:tc>
      <w:tc>
        <w:tcPr>
          <w:tcW w:w="3402" w:type="dxa"/>
          <w:shd w:val="clear" w:color="auto" w:fill="auto"/>
          <w:vAlign w:val="center"/>
        </w:tcPr>
        <w:p w14:paraId="2D3BAF0F">
          <w:pPr>
            <w:pStyle w:val="4"/>
            <w:widowControl/>
            <w:tabs>
              <w:tab w:val="center" w:pos="4320"/>
              <w:tab w:val="right" w:pos="8640"/>
              <w:tab w:val="clear" w:pos="4153"/>
              <w:tab w:val="clear" w:pos="8306"/>
            </w:tabs>
            <w:wordWrap w:val="0"/>
            <w:snapToGrid/>
            <w:jc w:val="right"/>
            <w:rPr>
              <w:rFonts w:ascii="Times New Roman" w:hAnsi="Times New Roman" w:eastAsia="宋体" w:cs="Times New Roman"/>
              <w:lang w:val="en-GB"/>
            </w:rPr>
          </w:pPr>
          <w:r>
            <w:rPr>
              <w:rFonts w:ascii="Times New Roman" w:hAnsi="Times New Roman" w:eastAsia="宋体" w:cs="Times New Roman"/>
              <w:lang w:val="en-GB"/>
            </w:rPr>
            <w:t>页码：</w:t>
          </w:r>
          <w:r>
            <w:rPr>
              <w:rFonts w:ascii="Times New Roman" w:hAnsi="Times New Roman" w:eastAsia="宋体" w:cs="Times New Roman"/>
              <w:lang w:val="en-GB"/>
            </w:rPr>
            <w:fldChar w:fldCharType="begin"/>
          </w:r>
          <w:r>
            <w:rPr>
              <w:rFonts w:ascii="Times New Roman" w:hAnsi="Times New Roman" w:eastAsia="宋体" w:cs="Times New Roman"/>
              <w:lang w:val="en-GB"/>
            </w:rPr>
            <w:instrText xml:space="preserve">PAGE  \* Arabic  \* MERGEFORMAT</w:instrText>
          </w:r>
          <w:r>
            <w:rPr>
              <w:rFonts w:ascii="Times New Roman" w:hAnsi="Times New Roman" w:eastAsia="宋体" w:cs="Times New Roman"/>
              <w:lang w:val="en-GB"/>
            </w:rPr>
            <w:fldChar w:fldCharType="separate"/>
          </w:r>
          <w:r>
            <w:rPr>
              <w:rFonts w:ascii="Times New Roman" w:hAnsi="Times New Roman" w:eastAsia="宋体" w:cs="Times New Roman"/>
              <w:lang w:val="en-GB"/>
            </w:rPr>
            <w:t>2</w:t>
          </w:r>
          <w:r>
            <w:rPr>
              <w:rFonts w:ascii="Times New Roman" w:hAnsi="Times New Roman" w:eastAsia="宋体" w:cs="Times New Roman"/>
              <w:lang w:val="en-GB"/>
            </w:rPr>
            <w:fldChar w:fldCharType="end"/>
          </w:r>
          <w:r>
            <w:rPr>
              <w:rFonts w:ascii="Times New Roman" w:hAnsi="Times New Roman" w:eastAsia="宋体" w:cs="Times New Roman"/>
              <w:lang w:val="en-GB"/>
            </w:rPr>
            <w:t xml:space="preserve"> / </w:t>
          </w:r>
          <w:r>
            <w:rPr>
              <w:rFonts w:ascii="Times New Roman" w:hAnsi="Times New Roman" w:eastAsia="宋体" w:cs="Times New Roman"/>
              <w:lang w:val="en-GB"/>
            </w:rPr>
            <w:fldChar w:fldCharType="begin"/>
          </w:r>
          <w:r>
            <w:rPr>
              <w:rFonts w:ascii="Times New Roman" w:hAnsi="Times New Roman" w:eastAsia="宋体" w:cs="Times New Roman"/>
              <w:lang w:val="en-GB"/>
            </w:rPr>
            <w:instrText xml:space="preserve">NUMPAGES  \* Arabic  \* MERGEFORMAT</w:instrText>
          </w:r>
          <w:r>
            <w:rPr>
              <w:rFonts w:ascii="Times New Roman" w:hAnsi="Times New Roman" w:eastAsia="宋体" w:cs="Times New Roman"/>
              <w:lang w:val="en-GB"/>
            </w:rPr>
            <w:fldChar w:fldCharType="separate"/>
          </w:r>
          <w:r>
            <w:rPr>
              <w:rFonts w:ascii="Times New Roman" w:hAnsi="Times New Roman" w:eastAsia="宋体" w:cs="Times New Roman"/>
              <w:lang w:val="en-GB"/>
            </w:rPr>
            <w:t>9</w:t>
          </w:r>
          <w:r>
            <w:rPr>
              <w:rFonts w:ascii="Times New Roman" w:hAnsi="Times New Roman" w:eastAsia="宋体" w:cs="Times New Roman"/>
              <w:lang w:val="en-GB"/>
            </w:rPr>
            <w:fldChar w:fldCharType="end"/>
          </w:r>
        </w:p>
      </w:tc>
    </w:tr>
    <w:tr w14:paraId="4F8148BB">
      <w:tblPrEx>
        <w:tblBorders>
          <w:top w:val="thinThickMediumGap" w:color="auto" w:sz="12"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 w:hRule="atLeast"/>
      </w:trPr>
      <w:tc>
        <w:tcPr>
          <w:tcW w:w="7088" w:type="dxa"/>
          <w:shd w:val="clear" w:color="auto" w:fill="auto"/>
          <w:vAlign w:val="center"/>
        </w:tcPr>
        <w:p w14:paraId="3BC98CBF">
          <w:pPr>
            <w:pStyle w:val="4"/>
            <w:widowControl/>
            <w:tabs>
              <w:tab w:val="center" w:pos="4320"/>
              <w:tab w:val="right" w:pos="8640"/>
              <w:tab w:val="clear" w:pos="4153"/>
              <w:tab w:val="clear" w:pos="8306"/>
            </w:tabs>
            <w:snapToGrid/>
            <w:jc w:val="both"/>
            <w:rPr>
              <w:rFonts w:ascii="Times New Roman" w:hAnsi="Times New Roman" w:eastAsia="宋体" w:cs="Times New Roman"/>
            </w:rPr>
          </w:pPr>
        </w:p>
      </w:tc>
      <w:tc>
        <w:tcPr>
          <w:tcW w:w="3402" w:type="dxa"/>
          <w:shd w:val="clear" w:color="auto" w:fill="auto"/>
          <w:vAlign w:val="center"/>
        </w:tcPr>
        <w:p w14:paraId="3E293FCC">
          <w:pPr>
            <w:pStyle w:val="4"/>
            <w:widowControl/>
            <w:tabs>
              <w:tab w:val="center" w:pos="4320"/>
              <w:tab w:val="right" w:pos="8640"/>
              <w:tab w:val="clear" w:pos="4153"/>
              <w:tab w:val="clear" w:pos="8306"/>
            </w:tabs>
            <w:wordWrap w:val="0"/>
            <w:snapToGrid/>
            <w:jc w:val="right"/>
            <w:rPr>
              <w:rFonts w:ascii="Times New Roman" w:hAnsi="Times New Roman" w:eastAsia="宋体" w:cs="Times New Roman"/>
              <w:lang w:val="en-GB"/>
            </w:rPr>
          </w:pPr>
        </w:p>
      </w:tc>
    </w:tr>
  </w:tbl>
  <w:p w14:paraId="5056DBB4">
    <w:pPr>
      <w:pStyle w:val="4"/>
    </w:pPr>
  </w:p>
  <w:p w14:paraId="4C9FB55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5645D">
    <w:pPr>
      <w:pStyle w:val="4"/>
    </w:pPr>
  </w:p>
  <w:p w14:paraId="0E0E809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10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79"/>
      <w:gridCol w:w="4111"/>
    </w:tblGrid>
    <w:tr w14:paraId="2F91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6379" w:type="dxa"/>
          <w:vAlign w:val="center"/>
        </w:tcPr>
        <w:p w14:paraId="0BD8D2C0">
          <w:pPr>
            <w:widowControl/>
            <w:jc w:val="right"/>
            <w:rPr>
              <w:rFonts w:ascii="宋体" w:hAnsi="宋体" w:eastAsia="宋体" w:cs="Times New Roman"/>
              <w:b/>
              <w:sz w:val="28"/>
              <w:szCs w:val="28"/>
              <w:lang w:val="en-GB"/>
            </w:rPr>
          </w:pPr>
        </w:p>
      </w:tc>
      <w:tc>
        <w:tcPr>
          <w:tcW w:w="4111" w:type="dxa"/>
          <w:vAlign w:val="center"/>
        </w:tcPr>
        <w:p w14:paraId="1819C46D">
          <w:pPr>
            <w:tabs>
              <w:tab w:val="left" w:pos="1528"/>
            </w:tabs>
            <w:spacing w:line="360" w:lineRule="auto"/>
            <w:ind w:right="-403" w:rightChars="-192" w:firstLine="1988" w:firstLineChars="1100"/>
            <w:rPr>
              <w:rFonts w:asciiTheme="minorEastAsia" w:hAnsiTheme="minorEastAsia"/>
              <w:b/>
              <w:sz w:val="18"/>
              <w:szCs w:val="18"/>
            </w:rPr>
          </w:pPr>
          <w:r>
            <w:rPr>
              <w:rFonts w:hint="eastAsia" w:asciiTheme="minorEastAsia" w:hAnsiTheme="minorEastAsia"/>
              <w:b/>
              <w:sz w:val="18"/>
              <w:szCs w:val="18"/>
            </w:rPr>
            <w:t>项目编号：</w:t>
          </w:r>
          <w:r>
            <w:rPr>
              <w:rFonts w:ascii="Times New Roman" w:hAnsi="Times New Roman" w:cs="Times New Roman"/>
              <w:b/>
              <w:sz w:val="18"/>
              <w:szCs w:val="18"/>
            </w:rPr>
            <w:t>HRS9531-310</w:t>
          </w:r>
        </w:p>
      </w:tc>
    </w:tr>
    <w:tr w14:paraId="68553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6379" w:type="dxa"/>
          <w:vMerge w:val="restart"/>
          <w:vAlign w:val="center"/>
        </w:tcPr>
        <w:p w14:paraId="17720AC9">
          <w:pPr>
            <w:widowControl/>
            <w:jc w:val="right"/>
            <w:rPr>
              <w:rFonts w:ascii="宋体" w:hAnsi="宋体" w:eastAsia="宋体" w:cs="Times New Roman"/>
              <w:b/>
              <w:sz w:val="28"/>
              <w:szCs w:val="28"/>
              <w:lang w:val="en-GB"/>
            </w:rPr>
          </w:pPr>
          <w:bookmarkStart w:id="0" w:name="_Hlk183002831"/>
          <w:r>
            <w:rPr>
              <w:rFonts w:hint="eastAsia" w:ascii="宋体" w:hAnsi="宋体" w:eastAsia="宋体" w:cs="Times New Roman"/>
              <w:b/>
              <w:sz w:val="40"/>
              <w:szCs w:val="28"/>
              <w:lang w:val="en-GB"/>
            </w:rPr>
            <w:t>招募广告</w:t>
          </w:r>
        </w:p>
      </w:tc>
      <w:tc>
        <w:tcPr>
          <w:tcW w:w="4111" w:type="dxa"/>
          <w:vAlign w:val="center"/>
        </w:tcPr>
        <w:p w14:paraId="0D148C40">
          <w:pPr>
            <w:tabs>
              <w:tab w:val="left" w:pos="1528"/>
            </w:tabs>
            <w:spacing w:line="360" w:lineRule="auto"/>
            <w:ind w:right="-403" w:rightChars="-192" w:firstLine="1084" w:firstLineChars="600"/>
            <w:rPr>
              <w:b/>
              <w:sz w:val="18"/>
              <w:szCs w:val="18"/>
            </w:rPr>
          </w:pPr>
          <w:r>
            <w:rPr>
              <w:rFonts w:hint="eastAsia" w:asciiTheme="minorEastAsia" w:hAnsiTheme="minorEastAsia"/>
              <w:b/>
              <w:sz w:val="18"/>
              <w:szCs w:val="18"/>
            </w:rPr>
            <w:t>版本号</w:t>
          </w:r>
          <w:r>
            <w:rPr>
              <w:rFonts w:hint="eastAsia" w:cs="宋体" w:asciiTheme="minorEastAsia" w:hAnsiTheme="minorEastAsia"/>
              <w:b/>
              <w:sz w:val="18"/>
              <w:szCs w:val="18"/>
            </w:rPr>
            <w:t>：广东省人民医院专用版</w:t>
          </w:r>
          <w:r>
            <w:rPr>
              <w:rFonts w:ascii="Times New Roman" w:hAnsi="Times New Roman" w:cs="Times New Roman"/>
              <w:b/>
              <w:sz w:val="18"/>
              <w:szCs w:val="18"/>
            </w:rPr>
            <w:t>V1.1</w:t>
          </w:r>
        </w:p>
      </w:tc>
    </w:tr>
    <w:tr w14:paraId="75713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6379" w:type="dxa"/>
          <w:vMerge w:val="continue"/>
          <w:vAlign w:val="center"/>
        </w:tcPr>
        <w:p w14:paraId="27D7E6EE">
          <w:pPr>
            <w:widowControl/>
            <w:jc w:val="center"/>
            <w:rPr>
              <w:rFonts w:ascii="宋体" w:hAnsi="宋体" w:eastAsia="宋体" w:cs="Times New Roman"/>
              <w:b/>
              <w:sz w:val="28"/>
              <w:szCs w:val="28"/>
              <w:lang w:val="en-GB"/>
            </w:rPr>
          </w:pPr>
        </w:p>
      </w:tc>
      <w:tc>
        <w:tcPr>
          <w:tcW w:w="4111" w:type="dxa"/>
          <w:vAlign w:val="center"/>
        </w:tcPr>
        <w:p w14:paraId="20C30A5C">
          <w:pPr>
            <w:widowControl/>
            <w:ind w:firstLine="542" w:firstLineChars="300"/>
            <w:jc w:val="right"/>
            <w:rPr>
              <w:rFonts w:ascii="宋体" w:hAnsi="宋体" w:eastAsia="宋体" w:cs="Times New Roman"/>
              <w:b/>
              <w:sz w:val="28"/>
              <w:szCs w:val="28"/>
              <w:lang w:val="en-GB"/>
            </w:rPr>
          </w:pPr>
          <w:r>
            <w:rPr>
              <w:rFonts w:hint="eastAsia" w:asciiTheme="minorEastAsia" w:hAnsiTheme="minorEastAsia"/>
              <w:b/>
              <w:sz w:val="18"/>
              <w:szCs w:val="18"/>
            </w:rPr>
            <w:t>版本日期</w:t>
          </w:r>
          <w:r>
            <w:rPr>
              <w:rFonts w:hint="eastAsia" w:cs="宋体" w:asciiTheme="minorEastAsia" w:hAnsiTheme="minorEastAsia"/>
              <w:b/>
              <w:sz w:val="18"/>
              <w:szCs w:val="18"/>
            </w:rPr>
            <w:t>：</w:t>
          </w:r>
          <w:r>
            <w:rPr>
              <w:rFonts w:ascii="Times New Roman" w:hAnsi="Times New Roman" w:cs="Times New Roman"/>
              <w:b/>
              <w:sz w:val="18"/>
              <w:szCs w:val="18"/>
            </w:rPr>
            <w:t>2026-08-11</w:t>
          </w:r>
        </w:p>
      </w:tc>
    </w:tr>
    <w:bookmarkEnd w:id="0"/>
  </w:tbl>
  <w:p w14:paraId="12CBEBEC">
    <w:pPr>
      <w:widowControl/>
      <w:pBdr>
        <w:bottom w:val="thinThickSmallGap" w:color="auto" w:sz="12" w:space="1"/>
      </w:pBdr>
      <w:jc w:val="center"/>
      <w:rPr>
        <w:rFonts w:ascii="Times New Roman" w:hAnsi="Times New Roman" w:eastAsia="宋体" w:cs="Times New Roman"/>
        <w:b/>
        <w:sz w:val="2"/>
        <w:szCs w:val="28"/>
        <w:lang w:val="en-GB"/>
      </w:rPr>
    </w:pPr>
  </w:p>
  <w:p w14:paraId="342689B0">
    <w:pPr>
      <w:pStyle w:val="5"/>
      <w:jc w:val="cent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B9D27">
    <w:pPr>
      <w:pStyle w:val="5"/>
    </w:pPr>
  </w:p>
  <w:p w14:paraId="089ED166"/>
  <w:tbl>
    <w:tblPr>
      <w:tblStyle w:val="8"/>
      <w:tblW w:w="152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78"/>
      <w:gridCol w:w="5652"/>
    </w:tblGrid>
    <w:tr w14:paraId="33B8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 w:hRule="atLeast"/>
      </w:trPr>
      <w:tc>
        <w:tcPr>
          <w:tcW w:w="9578" w:type="dxa"/>
          <w:vMerge w:val="restart"/>
          <w:vAlign w:val="center"/>
        </w:tcPr>
        <w:p w14:paraId="4FD3E928">
          <w:pPr>
            <w:widowControl/>
            <w:jc w:val="right"/>
            <w:rPr>
              <w:rFonts w:ascii="宋体" w:hAnsi="宋体" w:eastAsia="宋体" w:cs="Times New Roman"/>
              <w:b/>
              <w:sz w:val="28"/>
              <w:szCs w:val="28"/>
              <w:lang w:val="en-GB"/>
            </w:rPr>
          </w:pPr>
          <w:r>
            <w:rPr>
              <w:rFonts w:hint="eastAsia" w:ascii="宋体" w:hAnsi="宋体" w:eastAsia="宋体" w:cs="Times New Roman"/>
              <w:b/>
              <w:i/>
              <w:color w:val="00C800"/>
              <w:sz w:val="28"/>
              <w:szCs w:val="28"/>
              <w:lang w:val="en-GB"/>
            </w:rPr>
            <w:t>X</w:t>
          </w:r>
          <w:r>
            <w:rPr>
              <w:rFonts w:ascii="宋体" w:hAnsi="宋体" w:eastAsia="宋体" w:cs="Times New Roman"/>
              <w:b/>
              <w:i/>
              <w:color w:val="00C800"/>
              <w:sz w:val="28"/>
              <w:szCs w:val="28"/>
              <w:lang w:val="en-GB"/>
            </w:rPr>
            <w:t>X</w:t>
          </w:r>
          <w:r>
            <w:rPr>
              <w:rFonts w:hint="eastAsia" w:ascii="宋体" w:hAnsi="宋体" w:eastAsia="宋体" w:cs="Times New Roman"/>
              <w:b/>
              <w:i/>
              <w:color w:val="0000C8"/>
              <w:sz w:val="28"/>
              <w:szCs w:val="28"/>
              <w:lang w:val="en-GB"/>
            </w:rPr>
            <w:t>（试验药物）</w:t>
          </w:r>
          <w:r>
            <w:rPr>
              <w:rFonts w:hint="eastAsia" w:ascii="宋体" w:hAnsi="宋体" w:eastAsia="宋体" w:cs="Times New Roman"/>
              <w:b/>
              <w:sz w:val="28"/>
              <w:szCs w:val="28"/>
              <w:lang w:val="en-GB"/>
            </w:rPr>
            <w:t>配制使用销毁记录表</w:t>
          </w:r>
        </w:p>
      </w:tc>
      <w:tc>
        <w:tcPr>
          <w:tcW w:w="5652" w:type="dxa"/>
          <w:vAlign w:val="center"/>
        </w:tcPr>
        <w:p w14:paraId="0FA478BA">
          <w:pPr>
            <w:tabs>
              <w:tab w:val="left" w:pos="1528"/>
            </w:tabs>
            <w:spacing w:line="360" w:lineRule="auto"/>
            <w:ind w:left="3780" w:leftChars="1800" w:right="-403" w:rightChars="-192"/>
            <w:jc w:val="center"/>
            <w:rPr>
              <w:b/>
              <w:sz w:val="18"/>
              <w:szCs w:val="18"/>
            </w:rPr>
          </w:pPr>
          <w:r>
            <w:rPr>
              <w:rFonts w:hint="eastAsia" w:asciiTheme="minorEastAsia" w:hAnsiTheme="minorEastAsia"/>
              <w:b/>
              <w:sz w:val="18"/>
              <w:szCs w:val="18"/>
            </w:rPr>
            <w:t>版本号</w:t>
          </w:r>
          <w:r>
            <w:rPr>
              <w:rFonts w:hint="eastAsia" w:cs="宋体" w:asciiTheme="minorEastAsia" w:hAnsiTheme="minorEastAsia"/>
              <w:b/>
              <w:sz w:val="18"/>
              <w:szCs w:val="18"/>
            </w:rPr>
            <w:t>：</w:t>
          </w:r>
          <w:r>
            <w:rPr>
              <w:rFonts w:ascii="Times New Roman" w:hAnsi="Times New Roman" w:cs="Times New Roman"/>
              <w:b/>
              <w:sz w:val="18"/>
              <w:szCs w:val="18"/>
            </w:rPr>
            <w:t xml:space="preserve"> </w:t>
          </w:r>
          <w:r>
            <w:rPr>
              <w:rFonts w:ascii="Times New Roman" w:hAnsi="Times New Roman" w:cs="Times New Roman"/>
              <w:b/>
              <w:i/>
              <w:color w:val="00C800"/>
              <w:sz w:val="18"/>
              <w:szCs w:val="18"/>
            </w:rPr>
            <w:t>V1</w:t>
          </w:r>
        </w:p>
      </w:tc>
    </w:tr>
    <w:tr w14:paraId="3C7BB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trPr>
      <w:tc>
        <w:tcPr>
          <w:tcW w:w="9578" w:type="dxa"/>
          <w:vMerge w:val="continue"/>
          <w:vAlign w:val="center"/>
        </w:tcPr>
        <w:p w14:paraId="3E5D7A3E">
          <w:pPr>
            <w:widowControl/>
            <w:jc w:val="center"/>
            <w:rPr>
              <w:rFonts w:ascii="宋体" w:hAnsi="宋体" w:eastAsia="宋体" w:cs="Times New Roman"/>
              <w:b/>
              <w:sz w:val="28"/>
              <w:szCs w:val="28"/>
              <w:lang w:val="en-GB"/>
            </w:rPr>
          </w:pPr>
        </w:p>
      </w:tc>
      <w:tc>
        <w:tcPr>
          <w:tcW w:w="5652" w:type="dxa"/>
          <w:vAlign w:val="center"/>
        </w:tcPr>
        <w:p w14:paraId="232779E3">
          <w:pPr>
            <w:widowControl/>
            <w:ind w:firstLine="542" w:firstLineChars="300"/>
            <w:jc w:val="right"/>
            <w:rPr>
              <w:rFonts w:ascii="宋体" w:hAnsi="宋体" w:eastAsia="宋体" w:cs="Times New Roman"/>
              <w:b/>
              <w:sz w:val="28"/>
              <w:szCs w:val="28"/>
              <w:lang w:val="en-GB"/>
            </w:rPr>
          </w:pPr>
          <w:r>
            <w:rPr>
              <w:rFonts w:hint="eastAsia" w:asciiTheme="minorEastAsia" w:hAnsiTheme="minorEastAsia"/>
              <w:b/>
              <w:sz w:val="18"/>
              <w:szCs w:val="18"/>
            </w:rPr>
            <w:t>版本日期</w:t>
          </w:r>
          <w:r>
            <w:rPr>
              <w:rFonts w:hint="eastAsia" w:cs="宋体" w:asciiTheme="minorEastAsia" w:hAnsiTheme="minorEastAsia"/>
              <w:b/>
              <w:sz w:val="18"/>
              <w:szCs w:val="18"/>
            </w:rPr>
            <w:t>：</w:t>
          </w:r>
          <w:r>
            <w:rPr>
              <w:rFonts w:ascii="Times New Roman" w:hAnsi="Times New Roman" w:cs="Times New Roman"/>
              <w:b/>
              <w:i/>
              <w:color w:val="00C800"/>
              <w:sz w:val="18"/>
              <w:szCs w:val="18"/>
            </w:rPr>
            <w:t>YYYY-MM-DD</w:t>
          </w:r>
        </w:p>
      </w:tc>
    </w:tr>
  </w:tbl>
  <w:p w14:paraId="4C42E46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E4MjRkNjc2ZDkxZTMxMGY2YTIzMWZkYTNkNmMwOTkifQ=="/>
  </w:docVars>
  <w:rsids>
    <w:rsidRoot w:val="3AAF1DF4"/>
    <w:rsid w:val="000218C2"/>
    <w:rsid w:val="00062AE7"/>
    <w:rsid w:val="00064C7F"/>
    <w:rsid w:val="000833F2"/>
    <w:rsid w:val="00093239"/>
    <w:rsid w:val="00093CF6"/>
    <w:rsid w:val="000A4B23"/>
    <w:rsid w:val="000A71F5"/>
    <w:rsid w:val="000D1077"/>
    <w:rsid w:val="000D5857"/>
    <w:rsid w:val="00107DAE"/>
    <w:rsid w:val="00115AFD"/>
    <w:rsid w:val="00183F03"/>
    <w:rsid w:val="001C0303"/>
    <w:rsid w:val="001C1D8D"/>
    <w:rsid w:val="001E1813"/>
    <w:rsid w:val="00204D5F"/>
    <w:rsid w:val="00210215"/>
    <w:rsid w:val="00210341"/>
    <w:rsid w:val="00220FFE"/>
    <w:rsid w:val="00223B3C"/>
    <w:rsid w:val="002375C0"/>
    <w:rsid w:val="002A6917"/>
    <w:rsid w:val="002B4799"/>
    <w:rsid w:val="002B5744"/>
    <w:rsid w:val="002B63C8"/>
    <w:rsid w:val="002C646A"/>
    <w:rsid w:val="002F04B9"/>
    <w:rsid w:val="003017D1"/>
    <w:rsid w:val="0032735E"/>
    <w:rsid w:val="00327DC0"/>
    <w:rsid w:val="00337BD0"/>
    <w:rsid w:val="00382639"/>
    <w:rsid w:val="00390EB6"/>
    <w:rsid w:val="003A0827"/>
    <w:rsid w:val="003B6843"/>
    <w:rsid w:val="003F79FB"/>
    <w:rsid w:val="00410A9D"/>
    <w:rsid w:val="004120DA"/>
    <w:rsid w:val="004459AB"/>
    <w:rsid w:val="004906F4"/>
    <w:rsid w:val="004B45ED"/>
    <w:rsid w:val="004C6A00"/>
    <w:rsid w:val="004D2C56"/>
    <w:rsid w:val="004D6831"/>
    <w:rsid w:val="004F5695"/>
    <w:rsid w:val="00537F9F"/>
    <w:rsid w:val="005441C0"/>
    <w:rsid w:val="00545440"/>
    <w:rsid w:val="00551575"/>
    <w:rsid w:val="00560EA9"/>
    <w:rsid w:val="00561174"/>
    <w:rsid w:val="00577779"/>
    <w:rsid w:val="00592EB4"/>
    <w:rsid w:val="005A3DF8"/>
    <w:rsid w:val="005B0BEC"/>
    <w:rsid w:val="005F4D65"/>
    <w:rsid w:val="005F5E9E"/>
    <w:rsid w:val="005F7199"/>
    <w:rsid w:val="00610268"/>
    <w:rsid w:val="00613507"/>
    <w:rsid w:val="00614D88"/>
    <w:rsid w:val="0061640D"/>
    <w:rsid w:val="006441F0"/>
    <w:rsid w:val="006663BF"/>
    <w:rsid w:val="00674845"/>
    <w:rsid w:val="006A0B6A"/>
    <w:rsid w:val="006C3BF5"/>
    <w:rsid w:val="006D25D5"/>
    <w:rsid w:val="006D59ED"/>
    <w:rsid w:val="006F4785"/>
    <w:rsid w:val="006F6846"/>
    <w:rsid w:val="007049AD"/>
    <w:rsid w:val="0071457C"/>
    <w:rsid w:val="00724474"/>
    <w:rsid w:val="00755D97"/>
    <w:rsid w:val="00781010"/>
    <w:rsid w:val="00786687"/>
    <w:rsid w:val="007A731D"/>
    <w:rsid w:val="007C23A7"/>
    <w:rsid w:val="00825F2F"/>
    <w:rsid w:val="00846F4D"/>
    <w:rsid w:val="00847CFB"/>
    <w:rsid w:val="0085097E"/>
    <w:rsid w:val="008C02FB"/>
    <w:rsid w:val="008C0532"/>
    <w:rsid w:val="008D178E"/>
    <w:rsid w:val="008D4074"/>
    <w:rsid w:val="008D57AE"/>
    <w:rsid w:val="008E2487"/>
    <w:rsid w:val="00920EB2"/>
    <w:rsid w:val="0093030A"/>
    <w:rsid w:val="009321A4"/>
    <w:rsid w:val="00940AB7"/>
    <w:rsid w:val="009442A0"/>
    <w:rsid w:val="00944E03"/>
    <w:rsid w:val="009638D7"/>
    <w:rsid w:val="009644A0"/>
    <w:rsid w:val="00964516"/>
    <w:rsid w:val="009863D6"/>
    <w:rsid w:val="009A18FC"/>
    <w:rsid w:val="009D2ADB"/>
    <w:rsid w:val="009E057D"/>
    <w:rsid w:val="00A06E83"/>
    <w:rsid w:val="00A20462"/>
    <w:rsid w:val="00A24348"/>
    <w:rsid w:val="00A67824"/>
    <w:rsid w:val="00A87B80"/>
    <w:rsid w:val="00A87E38"/>
    <w:rsid w:val="00AA064D"/>
    <w:rsid w:val="00AE244C"/>
    <w:rsid w:val="00AE6335"/>
    <w:rsid w:val="00AF738C"/>
    <w:rsid w:val="00B05FBC"/>
    <w:rsid w:val="00B061C8"/>
    <w:rsid w:val="00B16F7A"/>
    <w:rsid w:val="00B57A74"/>
    <w:rsid w:val="00B72E9C"/>
    <w:rsid w:val="00B942A4"/>
    <w:rsid w:val="00B95FE3"/>
    <w:rsid w:val="00BB13B7"/>
    <w:rsid w:val="00BC446C"/>
    <w:rsid w:val="00BC46A8"/>
    <w:rsid w:val="00BF1B8B"/>
    <w:rsid w:val="00C110C0"/>
    <w:rsid w:val="00C24537"/>
    <w:rsid w:val="00C3578F"/>
    <w:rsid w:val="00C46684"/>
    <w:rsid w:val="00C55337"/>
    <w:rsid w:val="00C74F03"/>
    <w:rsid w:val="00C93B43"/>
    <w:rsid w:val="00CA4F45"/>
    <w:rsid w:val="00CC1499"/>
    <w:rsid w:val="00CC251F"/>
    <w:rsid w:val="00CC7169"/>
    <w:rsid w:val="00D2423C"/>
    <w:rsid w:val="00D42117"/>
    <w:rsid w:val="00D706E5"/>
    <w:rsid w:val="00D711DB"/>
    <w:rsid w:val="00D97BCE"/>
    <w:rsid w:val="00DA5E01"/>
    <w:rsid w:val="00DB2D87"/>
    <w:rsid w:val="00DB5272"/>
    <w:rsid w:val="00DC7DF6"/>
    <w:rsid w:val="00DD5163"/>
    <w:rsid w:val="00DF2A61"/>
    <w:rsid w:val="00E10478"/>
    <w:rsid w:val="00E1562F"/>
    <w:rsid w:val="00E3365A"/>
    <w:rsid w:val="00E33B89"/>
    <w:rsid w:val="00E34BF0"/>
    <w:rsid w:val="00E833A4"/>
    <w:rsid w:val="00EB5522"/>
    <w:rsid w:val="00F0376E"/>
    <w:rsid w:val="00F070EC"/>
    <w:rsid w:val="00F36948"/>
    <w:rsid w:val="00F5040A"/>
    <w:rsid w:val="00F74065"/>
    <w:rsid w:val="00FB6593"/>
    <w:rsid w:val="00FD6E49"/>
    <w:rsid w:val="00FD763E"/>
    <w:rsid w:val="00FF5DE8"/>
    <w:rsid w:val="00FF6A64"/>
    <w:rsid w:val="06992038"/>
    <w:rsid w:val="26C90FF1"/>
    <w:rsid w:val="3AAF1DF4"/>
    <w:rsid w:val="3F4F0EB9"/>
    <w:rsid w:val="4A1C5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qFormat/>
    <w:uiPriority w:val="0"/>
    <w:pPr>
      <w:jc w:val="left"/>
    </w:pPr>
  </w:style>
  <w:style w:type="paragraph" w:styleId="3">
    <w:name w:val="Balloon Text"/>
    <w:basedOn w:val="1"/>
    <w:link w:val="21"/>
    <w:qFormat/>
    <w:uiPriority w:val="0"/>
    <w:rPr>
      <w:sz w:val="18"/>
      <w:szCs w:val="18"/>
    </w:rPr>
  </w:style>
  <w:style w:type="paragraph" w:styleId="4">
    <w:name w:val="footer"/>
    <w:basedOn w:val="1"/>
    <w:link w:val="17"/>
    <w:qFormat/>
    <w:uiPriority w:val="99"/>
    <w:pPr>
      <w:tabs>
        <w:tab w:val="center" w:pos="4153"/>
        <w:tab w:val="right" w:pos="8306"/>
      </w:tabs>
      <w:snapToGrid w:val="0"/>
      <w:jc w:val="left"/>
    </w:pPr>
    <w:rPr>
      <w:sz w:val="18"/>
    </w:rPr>
  </w:style>
  <w:style w:type="paragraph" w:styleId="5">
    <w:name w:val="header"/>
    <w:basedOn w:val="1"/>
    <w:link w:val="1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annotation subject"/>
    <w:basedOn w:val="2"/>
    <w:next w:val="2"/>
    <w:link w:val="20"/>
    <w:qFormat/>
    <w:uiPriority w:val="0"/>
    <w:rPr>
      <w:b/>
      <w:bCs/>
    </w:rPr>
  </w:style>
  <w:style w:type="table" w:styleId="8">
    <w:name w:val="Table Grid"/>
    <w:basedOn w:val="7"/>
    <w:qFormat/>
    <w:uiPriority w:val="3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annotation reference"/>
    <w:basedOn w:val="9"/>
    <w:qFormat/>
    <w:uiPriority w:val="0"/>
    <w:rPr>
      <w:sz w:val="21"/>
      <w:szCs w:val="21"/>
    </w:rPr>
  </w:style>
  <w:style w:type="character" w:customStyle="1" w:styleId="11">
    <w:name w:val="font71"/>
    <w:basedOn w:val="9"/>
    <w:qFormat/>
    <w:uiPriority w:val="0"/>
    <w:rPr>
      <w:rFonts w:hint="eastAsia" w:ascii="宋体" w:hAnsi="宋体" w:eastAsia="宋体" w:cs="宋体"/>
      <w:b/>
      <w:bCs/>
      <w:color w:val="000000"/>
      <w:sz w:val="22"/>
      <w:szCs w:val="22"/>
      <w:u w:val="none"/>
    </w:rPr>
  </w:style>
  <w:style w:type="character" w:customStyle="1" w:styleId="12">
    <w:name w:val="font61"/>
    <w:basedOn w:val="9"/>
    <w:qFormat/>
    <w:uiPriority w:val="0"/>
    <w:rPr>
      <w:rFonts w:hint="eastAsia" w:ascii="宋体" w:hAnsi="宋体" w:eastAsia="宋体" w:cs="宋体"/>
      <w:color w:val="000000"/>
      <w:sz w:val="22"/>
      <w:szCs w:val="22"/>
      <w:u w:val="none"/>
    </w:rPr>
  </w:style>
  <w:style w:type="character" w:customStyle="1" w:styleId="13">
    <w:name w:val="font81"/>
    <w:basedOn w:val="9"/>
    <w:qFormat/>
    <w:uiPriority w:val="0"/>
    <w:rPr>
      <w:rFonts w:hint="eastAsia" w:ascii="宋体" w:hAnsi="宋体" w:eastAsia="宋体" w:cs="宋体"/>
      <w:b/>
      <w:bCs/>
      <w:color w:val="000000"/>
      <w:sz w:val="20"/>
      <w:szCs w:val="20"/>
      <w:u w:val="none"/>
    </w:rPr>
  </w:style>
  <w:style w:type="character" w:customStyle="1" w:styleId="14">
    <w:name w:val="font101"/>
    <w:basedOn w:val="9"/>
    <w:qFormat/>
    <w:uiPriority w:val="0"/>
    <w:rPr>
      <w:rFonts w:hint="eastAsia" w:ascii="宋体" w:hAnsi="宋体" w:eastAsia="宋体" w:cs="宋体"/>
      <w:b/>
      <w:bCs/>
      <w:color w:val="auto"/>
      <w:sz w:val="20"/>
      <w:szCs w:val="20"/>
      <w:u w:val="none"/>
    </w:rPr>
  </w:style>
  <w:style w:type="character" w:customStyle="1" w:styleId="15">
    <w:name w:val="font91"/>
    <w:basedOn w:val="9"/>
    <w:qFormat/>
    <w:uiPriority w:val="0"/>
    <w:rPr>
      <w:rFonts w:hint="eastAsia" w:ascii="宋体" w:hAnsi="宋体" w:eastAsia="宋体" w:cs="宋体"/>
      <w:color w:val="auto"/>
      <w:sz w:val="20"/>
      <w:szCs w:val="20"/>
      <w:u w:val="none"/>
    </w:rPr>
  </w:style>
  <w:style w:type="character" w:customStyle="1" w:styleId="16">
    <w:name w:val="页眉 字符"/>
    <w:basedOn w:val="9"/>
    <w:link w:val="5"/>
    <w:uiPriority w:val="99"/>
    <w:rPr>
      <w:rFonts w:asciiTheme="minorHAnsi" w:hAnsiTheme="minorHAnsi" w:eastAsiaTheme="minorEastAsia" w:cstheme="minorBidi"/>
      <w:kern w:val="2"/>
      <w:sz w:val="18"/>
      <w:szCs w:val="24"/>
    </w:rPr>
  </w:style>
  <w:style w:type="character" w:customStyle="1" w:styleId="17">
    <w:name w:val="页脚 字符"/>
    <w:basedOn w:val="9"/>
    <w:link w:val="4"/>
    <w:qFormat/>
    <w:uiPriority w:val="99"/>
    <w:rPr>
      <w:rFonts w:asciiTheme="minorHAnsi" w:hAnsiTheme="minorHAnsi" w:eastAsiaTheme="minorEastAsia" w:cstheme="minorBidi"/>
      <w:kern w:val="2"/>
      <w:sz w:val="18"/>
      <w:szCs w:val="24"/>
    </w:rPr>
  </w:style>
  <w:style w:type="paragraph" w:styleId="18">
    <w:name w:val="List Paragraph"/>
    <w:basedOn w:val="1"/>
    <w:qFormat/>
    <w:uiPriority w:val="99"/>
    <w:pPr>
      <w:ind w:firstLine="420" w:firstLineChars="200"/>
    </w:pPr>
  </w:style>
  <w:style w:type="character" w:customStyle="1" w:styleId="19">
    <w:name w:val="批注文字 字符"/>
    <w:basedOn w:val="9"/>
    <w:link w:val="2"/>
    <w:qFormat/>
    <w:uiPriority w:val="0"/>
    <w:rPr>
      <w:rFonts w:asciiTheme="minorHAnsi" w:hAnsiTheme="minorHAnsi" w:eastAsiaTheme="minorEastAsia" w:cstheme="minorBidi"/>
      <w:kern w:val="2"/>
      <w:sz w:val="21"/>
      <w:szCs w:val="24"/>
    </w:rPr>
  </w:style>
  <w:style w:type="character" w:customStyle="1" w:styleId="20">
    <w:name w:val="批注主题 字符"/>
    <w:basedOn w:val="19"/>
    <w:link w:val="6"/>
    <w:uiPriority w:val="0"/>
    <w:rPr>
      <w:rFonts w:asciiTheme="minorHAnsi" w:hAnsiTheme="minorHAnsi" w:eastAsiaTheme="minorEastAsia" w:cstheme="minorBidi"/>
      <w:b/>
      <w:bCs/>
      <w:kern w:val="2"/>
      <w:sz w:val="21"/>
      <w:szCs w:val="24"/>
    </w:rPr>
  </w:style>
  <w:style w:type="character" w:customStyle="1" w:styleId="21">
    <w:name w:val="批注框文本 字符"/>
    <w:basedOn w:val="9"/>
    <w:link w:val="3"/>
    <w:qFormat/>
    <w:uiPriority w:val="0"/>
    <w:rPr>
      <w:rFonts w:asciiTheme="minorHAnsi" w:hAnsiTheme="minorHAnsi" w:eastAsiaTheme="minorEastAsia" w:cstheme="minorBidi"/>
      <w:kern w:val="2"/>
      <w:sz w:val="18"/>
      <w:szCs w:val="18"/>
    </w:rPr>
  </w:style>
  <w:style w:type="paragraph" w:customStyle="1" w:styleId="22">
    <w:name w:val="彩色列表 - 强调文字颜色 11"/>
    <w:basedOn w:val="1"/>
    <w:qFormat/>
    <w:uiPriority w:val="34"/>
    <w:pPr>
      <w:ind w:firstLine="420" w:firstLineChars="200"/>
    </w:pPr>
    <w:rPr>
      <w:rFonts w:ascii="Times New Roman" w:hAnsi="Times New Roman" w:eastAsia="宋体" w:cs="Times New Roman"/>
      <w:szCs w:val="22"/>
    </w:rPr>
  </w:style>
  <w:style w:type="paragraph" w:customStyle="1" w:styleId="23">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4">
    <w:name w:val="normaltextrun"/>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文档" ma:contentTypeID="0x010100722FD985ADBB5D44A7F1B20B96D39EE6" ma:contentTypeVersion="2" ma:contentTypeDescription="新建文档。" ma:contentTypeScope="" ma:versionID="1d441c692332ec219b76337fb761e85e">
  <xsd:schema xmlns:xsd="http://www.w3.org/2001/XMLSchema" xmlns:xs="http://www.w3.org/2001/XMLSchema" xmlns:p="http://schemas.microsoft.com/office/2006/metadata/properties" xmlns:ns2="9b2dee4b-99f8-4563-8194-40e618dea2ff" targetNamespace="http://schemas.microsoft.com/office/2006/metadata/properties" ma:root="true" ma:fieldsID="aeeff7e02f42d7a04f6c1d78ba948227" ns2:_="">
    <xsd:import namespace="9b2dee4b-99f8-4563-8194-40e618dea2f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dee4b-99f8-4563-8194-40e618dea2ff" elementFormDefault="qualified">
    <xsd:import namespace="http://schemas.microsoft.com/office/2006/documentManagement/types"/>
    <xsd:import namespace="http://schemas.microsoft.com/office/infopath/2007/PartnerControls"/>
    <xsd:element name="SharedWithUsers" ma:index="8"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享对象详细信息"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9b2dee4b-99f8-4563-8194-40e618dea2ff">
      <UserInfo>
        <DisplayName>Yueling Wang~R&amp;D[王月玲]</DisplayName>
        <AccountId>12</AccountId>
        <AccountType/>
      </UserInfo>
      <UserInfo>
        <DisplayName>Zegong Huo~R&amp;D [火泽功]</DisplayName>
        <AccountId>17</AccountId>
        <AccountType/>
      </UserInfo>
      <UserInfo>
        <DisplayName>Liangliang Ma~PD [马亮亮]</DisplayName>
        <AccountId>11</AccountId>
        <AccountType/>
      </UserInfo>
      <UserInfo>
        <DisplayName>Qiulan Zhuang~R&amp;D [庄秋兰]</DisplayName>
        <AccountId>182</AccountId>
        <AccountType/>
      </UserInfo>
    </SharedWithUser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43BDD1-80AA-428B-BA7E-D28635920487}">
  <ds:schemaRefs/>
</ds:datastoreItem>
</file>

<file path=customXml/itemProps3.xml><?xml version="1.0" encoding="utf-8"?>
<ds:datastoreItem xmlns:ds="http://schemas.openxmlformats.org/officeDocument/2006/customXml" ds:itemID="{82C3E81C-0F2E-4CB1-A3FD-084F27D5B312}">
  <ds:schemaRefs/>
</ds:datastoreItem>
</file>

<file path=customXml/itemProps4.xml><?xml version="1.0" encoding="utf-8"?>
<ds:datastoreItem xmlns:ds="http://schemas.openxmlformats.org/officeDocument/2006/customXml" ds:itemID="{1D2065E7-52BC-49AA-87A2-5026D053E6B8}">
  <ds:schemaRefs/>
</ds:datastoreItem>
</file>

<file path=docProps/app.xml><?xml version="1.0" encoding="utf-8"?>
<Properties xmlns="http://schemas.openxmlformats.org/officeDocument/2006/extended-properties" xmlns:vt="http://schemas.openxmlformats.org/officeDocument/2006/docPropsVTypes">
  <Template>Normal</Template>
  <Pages>2</Pages>
  <Words>1003</Words>
  <Characters>1208</Characters>
  <Lines>8</Lines>
  <Paragraphs>2</Paragraphs>
  <TotalTime>9</TotalTime>
  <ScaleCrop>false</ScaleCrop>
  <LinksUpToDate>false</LinksUpToDate>
  <CharactersWithSpaces>1224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2026-08-11T12:34:00Z</dcterms:created>
  <dc:creator>欧尼</dc:creator>
  <cp:lastModifiedBy>机构办</cp:lastModifiedBy>
  <cp:lastPrinted>2026-08-11T12:35:00Z</cp:lastPrinted>
  <dcterms:modified xsi:type="dcterms:W3CDTF">2026-09-10T02:06:26Z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A4C16EC9F0FC4D349F29BE8F1FA5FFC8_13</vt:lpwstr>
  </property>
  <property fmtid="{D5CDD505-2E9C-101B-9397-08002B2CF9AE}" pid="4" name="ContentTypeId">
    <vt:lpwstr>0x010100722FD985ADBB5D44A7F1B20B96D39EE6</vt:lpwstr>
  </property>
  <property fmtid="{D5CDD505-2E9C-101B-9397-08002B2CF9AE}" pid="5" name="KSOTemplateDocerSaveRecord">
    <vt:lpwstr>eyJoZGlkIjoiYzE2OGRmY2IwYjQwNGZhODU0YWViZDQxNjY5MzYwMjQiLCJ1c2VySWQiOiI0NDI3MzgxNTkifQ==</vt:lpwstr>
  </property>
</Properties>
</file>