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789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44"/>
          <w:szCs w:val="30"/>
          <w:lang w:val="en-US" w:eastAsia="zh-CN"/>
        </w:rPr>
      </w:pPr>
    </w:p>
    <w:p w14:paraId="691842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44"/>
          <w:szCs w:val="30"/>
          <w:lang w:val="en-US" w:eastAsia="zh-CN"/>
        </w:rPr>
      </w:pPr>
      <w:r>
        <w:rPr>
          <w:rFonts w:hint="eastAsia" w:ascii="宋体" w:hAnsi="宋体"/>
          <w:b/>
          <w:sz w:val="44"/>
          <w:szCs w:val="30"/>
          <w:lang w:val="en-US" w:eastAsia="zh-CN"/>
        </w:rPr>
        <w:t>2026年度广东省非基层医师加注精神科执业</w:t>
      </w:r>
    </w:p>
    <w:p w14:paraId="647475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44"/>
          <w:szCs w:val="30"/>
        </w:rPr>
      </w:pPr>
      <w:r>
        <w:rPr>
          <w:rFonts w:hint="eastAsia" w:ascii="宋体" w:hAnsi="宋体"/>
          <w:b/>
          <w:sz w:val="44"/>
          <w:szCs w:val="30"/>
          <w:lang w:val="en-US" w:eastAsia="zh-CN"/>
        </w:rPr>
        <w:t>范围结业考核网络考试技术服务</w:t>
      </w:r>
      <w:r>
        <w:rPr>
          <w:rFonts w:hint="eastAsia" w:ascii="宋体" w:hAnsi="宋体"/>
          <w:b/>
          <w:sz w:val="44"/>
          <w:szCs w:val="30"/>
        </w:rPr>
        <w:t>项目需求</w:t>
      </w:r>
    </w:p>
    <w:p w14:paraId="4CFAB3E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b/>
          <w:sz w:val="44"/>
          <w:szCs w:val="30"/>
        </w:rPr>
      </w:pPr>
    </w:p>
    <w:p w14:paraId="2AC08D8E">
      <w:pPr>
        <w:pStyle w:val="2"/>
        <w:numPr>
          <w:ilvl w:val="0"/>
          <w:numId w:val="0"/>
        </w:numPr>
        <w:spacing w:before="0" w:after="0"/>
        <w:ind w:leftChars="0"/>
        <w:rPr>
          <w:rFonts w:ascii="宋体" w:hAnsi="宋体"/>
          <w:sz w:val="32"/>
          <w:szCs w:val="32"/>
        </w:rPr>
      </w:pPr>
      <w:r>
        <w:rPr>
          <w:rFonts w:hint="eastAsia" w:ascii="宋体" w:hAnsi="宋体"/>
          <w:sz w:val="32"/>
          <w:szCs w:val="32"/>
          <w:lang w:val="en-US" w:eastAsia="zh-CN"/>
        </w:rPr>
        <w:t>一．</w:t>
      </w:r>
      <w:r>
        <w:rPr>
          <w:rFonts w:hint="eastAsia" w:ascii="宋体" w:hAnsi="宋体"/>
          <w:sz w:val="32"/>
          <w:szCs w:val="32"/>
        </w:rPr>
        <w:t>项目名称</w:t>
      </w:r>
    </w:p>
    <w:p w14:paraId="0E97C48C">
      <w:pPr>
        <w:spacing w:line="360" w:lineRule="auto"/>
        <w:ind w:left="432"/>
        <w:rPr>
          <w:rFonts w:hint="eastAsia" w:ascii="宋体" w:hAnsi="宋体"/>
          <w:sz w:val="22"/>
        </w:rPr>
      </w:pPr>
      <w:r>
        <w:rPr>
          <w:rFonts w:hint="eastAsia" w:ascii="宋体" w:hAnsi="宋体"/>
          <w:sz w:val="22"/>
        </w:rPr>
        <w:t>项目名称：</w:t>
      </w:r>
    </w:p>
    <w:p w14:paraId="14B8D2B8">
      <w:pPr>
        <w:spacing w:line="360" w:lineRule="auto"/>
        <w:ind w:left="432"/>
        <w:rPr>
          <w:rFonts w:ascii="宋体" w:hAnsi="宋体"/>
          <w:sz w:val="22"/>
        </w:rPr>
      </w:pPr>
      <w:r>
        <w:rPr>
          <w:rFonts w:ascii="宋体" w:hAnsi="宋体" w:eastAsia="宋体" w:cs="宋体"/>
          <w:sz w:val="24"/>
          <w:szCs w:val="24"/>
        </w:rPr>
        <w:t>2026年度广东省非基层医师加注精神科执业范围结业考核网络考试技术服务</w:t>
      </w:r>
    </w:p>
    <w:p w14:paraId="46DB0519">
      <w:pPr>
        <w:pStyle w:val="2"/>
        <w:numPr>
          <w:ilvl w:val="0"/>
          <w:numId w:val="0"/>
        </w:numPr>
        <w:spacing w:before="0" w:after="0"/>
        <w:ind w:leftChars="0"/>
        <w:rPr>
          <w:rFonts w:hint="eastAsia" w:ascii="宋体" w:hAnsi="宋体"/>
          <w:sz w:val="32"/>
          <w:szCs w:val="32"/>
        </w:rPr>
      </w:pPr>
      <w:r>
        <w:rPr>
          <w:rFonts w:hint="eastAsia" w:ascii="宋体" w:hAnsi="宋体"/>
          <w:sz w:val="32"/>
          <w:szCs w:val="32"/>
          <w:lang w:val="en-US" w:eastAsia="zh-CN"/>
        </w:rPr>
        <w:t>二．</w:t>
      </w:r>
      <w:r>
        <w:rPr>
          <w:rFonts w:hint="eastAsia" w:ascii="宋体" w:hAnsi="宋体"/>
          <w:sz w:val="32"/>
          <w:szCs w:val="32"/>
          <w:lang w:eastAsia="zh-CN"/>
        </w:rPr>
        <w:t>项目内容</w:t>
      </w:r>
    </w:p>
    <w:p w14:paraId="1077D78E">
      <w:pPr>
        <w:rPr>
          <w:rFonts w:hint="eastAsia"/>
        </w:rPr>
      </w:pPr>
      <w:r>
        <w:rPr>
          <w:rFonts w:hint="eastAsia"/>
        </w:rPr>
        <w:t>项目</w:t>
      </w:r>
      <w:r>
        <w:t>功能</w:t>
      </w:r>
      <w:r>
        <w:rPr>
          <w:rFonts w:hint="eastAsia"/>
        </w:rPr>
        <w:t>如下：</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3828"/>
        <w:gridCol w:w="4536"/>
      </w:tblGrid>
      <w:tr w14:paraId="4C540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759A3C3F">
            <w:pPr>
              <w:jc w:val="center"/>
              <w:rPr>
                <w:b/>
                <w:bCs/>
              </w:rPr>
            </w:pPr>
            <w:r>
              <w:rPr>
                <w:rFonts w:hint="eastAsia"/>
                <w:b/>
                <w:bCs/>
              </w:rPr>
              <w:t>序号</w:t>
            </w:r>
          </w:p>
        </w:tc>
        <w:tc>
          <w:tcPr>
            <w:tcW w:w="3828" w:type="dxa"/>
          </w:tcPr>
          <w:p w14:paraId="31C37484">
            <w:pPr>
              <w:jc w:val="center"/>
              <w:rPr>
                <w:rFonts w:hint="eastAsia"/>
                <w:b/>
                <w:bCs/>
              </w:rPr>
            </w:pPr>
            <w:r>
              <w:rPr>
                <w:rFonts w:hint="eastAsia"/>
                <w:b/>
                <w:bCs/>
              </w:rPr>
              <w:t>系统名称</w:t>
            </w:r>
          </w:p>
        </w:tc>
        <w:tc>
          <w:tcPr>
            <w:tcW w:w="4536" w:type="dxa"/>
          </w:tcPr>
          <w:p w14:paraId="5DDD8E5F">
            <w:pPr>
              <w:jc w:val="center"/>
              <w:rPr>
                <w:b/>
                <w:bCs/>
              </w:rPr>
            </w:pPr>
            <w:r>
              <w:rPr>
                <w:rFonts w:hint="eastAsia"/>
                <w:b/>
                <w:bCs/>
              </w:rPr>
              <w:t>功能模块</w:t>
            </w:r>
          </w:p>
        </w:tc>
      </w:tr>
      <w:tr w14:paraId="3026B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B108CDF">
            <w:pPr>
              <w:jc w:val="center"/>
            </w:pPr>
            <w:r>
              <w:t>1</w:t>
            </w:r>
          </w:p>
        </w:tc>
        <w:tc>
          <w:tcPr>
            <w:tcW w:w="3828" w:type="dxa"/>
            <w:vAlign w:val="center"/>
          </w:tcPr>
          <w:p w14:paraId="0BC3EA59">
            <w:pPr>
              <w:jc w:val="both"/>
              <w:rPr>
                <w:rFonts w:hint="eastAsia"/>
              </w:rPr>
            </w:pPr>
            <w:r>
              <w:rPr>
                <w:rFonts w:ascii="宋体" w:hAnsi="宋体" w:eastAsia="宋体" w:cs="宋体"/>
                <w:sz w:val="24"/>
                <w:szCs w:val="24"/>
              </w:rPr>
              <w:t>网络考试服务系统</w:t>
            </w:r>
          </w:p>
        </w:tc>
        <w:tc>
          <w:tcPr>
            <w:tcW w:w="4536" w:type="dxa"/>
            <w:vAlign w:val="center"/>
          </w:tcPr>
          <w:p w14:paraId="1455BD19">
            <w:pPr>
              <w:keepNext w:val="0"/>
              <w:keepLines w:val="0"/>
              <w:widowControl/>
              <w:suppressLineNumbers w:val="0"/>
              <w:jc w:val="both"/>
            </w:pPr>
            <w:r>
              <w:rPr>
                <w:rFonts w:ascii="宋体" w:hAnsi="宋体" w:eastAsia="宋体" w:cs="宋体"/>
                <w:kern w:val="0"/>
                <w:sz w:val="24"/>
                <w:szCs w:val="24"/>
                <w:lang w:val="en-US" w:eastAsia="zh-CN" w:bidi="ar"/>
              </w:rPr>
              <w:t>考生报名管理、考生信息审核导入、试题录入管理、排考管理、准考证生成、在线网考、线上评分阅卷、成绩管理、考试运维保障，详见</w:t>
            </w:r>
            <w:r>
              <w:rPr>
                <w:rFonts w:hint="eastAsia" w:ascii="宋体" w:hAnsi="宋体" w:cs="宋体"/>
                <w:kern w:val="0"/>
                <w:sz w:val="24"/>
                <w:szCs w:val="24"/>
                <w:lang w:val="en-US" w:eastAsia="zh-CN" w:bidi="ar"/>
              </w:rPr>
              <w:t>下表详细功能描述中的</w:t>
            </w:r>
            <w:r>
              <w:rPr>
                <w:rFonts w:ascii="宋体" w:hAnsi="宋体" w:eastAsia="宋体" w:cs="宋体"/>
                <w:kern w:val="0"/>
                <w:sz w:val="24"/>
                <w:szCs w:val="24"/>
                <w:lang w:val="en-US" w:eastAsia="zh-CN" w:bidi="ar"/>
              </w:rPr>
              <w:t>3.1.1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3.1.8对应功能描述</w:t>
            </w:r>
            <w:r>
              <w:rPr>
                <w:rFonts w:hint="eastAsia" w:ascii="宋体" w:hAnsi="宋体" w:cs="宋体"/>
                <w:kern w:val="0"/>
                <w:sz w:val="24"/>
                <w:szCs w:val="24"/>
                <w:lang w:val="en-US" w:eastAsia="zh-CN" w:bidi="ar"/>
              </w:rPr>
              <w:t>。</w:t>
            </w:r>
          </w:p>
        </w:tc>
      </w:tr>
    </w:tbl>
    <w:p w14:paraId="4F860E33">
      <w:pPr>
        <w:pStyle w:val="2"/>
        <w:numPr>
          <w:ilvl w:val="0"/>
          <w:numId w:val="0"/>
        </w:numPr>
        <w:spacing w:before="0" w:after="0"/>
        <w:ind w:leftChars="0"/>
        <w:rPr>
          <w:rFonts w:ascii="宋体" w:hAnsi="宋体" w:eastAsia="宋体"/>
          <w:sz w:val="24"/>
          <w:szCs w:val="24"/>
          <w:lang w:eastAsia="zh-CN"/>
        </w:rPr>
      </w:pPr>
      <w:r>
        <w:rPr>
          <w:rFonts w:hint="eastAsia" w:ascii="宋体" w:hAnsi="宋体"/>
          <w:sz w:val="32"/>
          <w:szCs w:val="32"/>
          <w:lang w:val="en-US" w:eastAsia="zh-CN"/>
        </w:rPr>
        <w:t>三.</w:t>
      </w:r>
      <w:r>
        <w:rPr>
          <w:rFonts w:hint="eastAsia" w:ascii="宋体" w:hAnsi="宋体"/>
          <w:sz w:val="32"/>
          <w:szCs w:val="32"/>
        </w:rPr>
        <w:t>详细</w:t>
      </w:r>
      <w:r>
        <w:rPr>
          <w:rFonts w:hint="eastAsia" w:ascii="宋体" w:hAnsi="宋体"/>
          <w:sz w:val="32"/>
          <w:szCs w:val="32"/>
          <w:lang w:eastAsia="zh-CN"/>
        </w:rPr>
        <w:t>功能描述</w:t>
      </w:r>
      <w:bookmarkStart w:id="0" w:name="_6.1.1、大数据服务器"/>
      <w:bookmarkEnd w:id="0"/>
    </w:p>
    <w:p w14:paraId="483DA9D0">
      <w:pPr>
        <w:pStyle w:val="2"/>
        <w:numPr>
          <w:ilvl w:val="0"/>
          <w:numId w:val="0"/>
        </w:numPr>
        <w:spacing w:before="0" w:after="0"/>
        <w:ind w:leftChars="0"/>
        <w:rPr>
          <w:rFonts w:ascii="宋体" w:hAnsi="宋体" w:eastAsia="宋体"/>
          <w:sz w:val="24"/>
          <w:szCs w:val="24"/>
          <w:lang w:eastAsia="zh-CN"/>
        </w:rPr>
      </w:pPr>
      <w:r>
        <w:rPr>
          <w:rFonts w:ascii="宋体" w:hAnsi="宋体" w:eastAsia="宋体" w:cs="宋体"/>
          <w:sz w:val="24"/>
          <w:szCs w:val="24"/>
        </w:rPr>
        <w:t>网络考试服务系统</w:t>
      </w:r>
      <w:r>
        <w:rPr>
          <w:rFonts w:hint="eastAsia" w:ascii="宋体" w:hAnsi="宋体" w:eastAsia="宋体"/>
          <w:sz w:val="24"/>
          <w:szCs w:val="24"/>
          <w:lang w:eastAsia="zh-CN"/>
        </w:rPr>
        <w:t>功能</w:t>
      </w:r>
    </w:p>
    <w:tbl>
      <w:tblPr>
        <w:tblStyle w:val="19"/>
        <w:tblW w:w="5000" w:type="pct"/>
        <w:tblInd w:w="0" w:type="dxa"/>
        <w:tblLayout w:type="autofit"/>
        <w:tblCellMar>
          <w:top w:w="0" w:type="dxa"/>
          <w:left w:w="108" w:type="dxa"/>
          <w:bottom w:w="0" w:type="dxa"/>
          <w:right w:w="108" w:type="dxa"/>
        </w:tblCellMar>
      </w:tblPr>
      <w:tblGrid>
        <w:gridCol w:w="1044"/>
        <w:gridCol w:w="2041"/>
        <w:gridCol w:w="6201"/>
      </w:tblGrid>
      <w:tr w14:paraId="0C69CD31">
        <w:tblPrEx>
          <w:tblCellMar>
            <w:top w:w="0" w:type="dxa"/>
            <w:left w:w="108" w:type="dxa"/>
            <w:bottom w:w="0" w:type="dxa"/>
            <w:right w:w="108" w:type="dxa"/>
          </w:tblCellMar>
        </w:tblPrEx>
        <w:trPr>
          <w:trHeight w:val="320" w:hRule="atLeast"/>
        </w:trPr>
        <w:tc>
          <w:tcPr>
            <w:tcW w:w="562" w:type="pct"/>
            <w:tcBorders>
              <w:top w:val="single" w:color="auto" w:sz="4" w:space="0"/>
              <w:left w:val="single" w:color="auto" w:sz="4" w:space="0"/>
              <w:bottom w:val="single" w:color="auto" w:sz="4" w:space="0"/>
              <w:right w:val="single" w:color="auto" w:sz="4" w:space="0"/>
            </w:tcBorders>
            <w:vAlign w:val="center"/>
          </w:tcPr>
          <w:p w14:paraId="2104F1AE">
            <w:pPr>
              <w:widowControl/>
              <w:jc w:val="center"/>
              <w:rPr>
                <w:rFonts w:ascii="宋体" w:hAnsi="宋体" w:cs="宋体"/>
                <w:b/>
                <w:bCs/>
                <w:color w:val="000000"/>
                <w:szCs w:val="21"/>
              </w:rPr>
            </w:pPr>
            <w:r>
              <w:rPr>
                <w:rFonts w:hint="eastAsia" w:ascii="宋体" w:hAnsi="宋体" w:cs="宋体"/>
                <w:b/>
                <w:bCs/>
                <w:color w:val="000000"/>
                <w:szCs w:val="21"/>
              </w:rPr>
              <w:t>序号</w:t>
            </w:r>
          </w:p>
        </w:tc>
        <w:tc>
          <w:tcPr>
            <w:tcW w:w="1099" w:type="pct"/>
            <w:tcBorders>
              <w:top w:val="single" w:color="auto" w:sz="4" w:space="0"/>
              <w:left w:val="single" w:color="auto" w:sz="4" w:space="0"/>
              <w:bottom w:val="single" w:color="auto" w:sz="4" w:space="0"/>
              <w:right w:val="single" w:color="auto" w:sz="4" w:space="0"/>
            </w:tcBorders>
            <w:vAlign w:val="center"/>
          </w:tcPr>
          <w:p w14:paraId="031EE788">
            <w:pPr>
              <w:widowControl/>
              <w:jc w:val="center"/>
              <w:rPr>
                <w:rFonts w:ascii="宋体" w:hAnsi="宋体" w:cs="宋体"/>
                <w:b/>
                <w:bCs/>
                <w:color w:val="000000"/>
                <w:szCs w:val="21"/>
              </w:rPr>
            </w:pPr>
            <w:r>
              <w:rPr>
                <w:rFonts w:hint="eastAsia" w:ascii="宋体" w:hAnsi="宋体" w:cs="宋体"/>
                <w:b/>
                <w:bCs/>
                <w:color w:val="000000"/>
                <w:szCs w:val="21"/>
              </w:rPr>
              <w:t>功能模块</w:t>
            </w:r>
          </w:p>
        </w:tc>
        <w:tc>
          <w:tcPr>
            <w:tcW w:w="3339" w:type="pct"/>
            <w:tcBorders>
              <w:top w:val="single" w:color="auto" w:sz="4" w:space="0"/>
              <w:left w:val="single" w:color="auto" w:sz="4" w:space="0"/>
              <w:bottom w:val="single" w:color="auto" w:sz="4" w:space="0"/>
              <w:right w:val="single" w:color="auto" w:sz="4" w:space="0"/>
            </w:tcBorders>
            <w:vAlign w:val="center"/>
          </w:tcPr>
          <w:p w14:paraId="1713F6C5">
            <w:pPr>
              <w:widowControl/>
              <w:jc w:val="center"/>
              <w:rPr>
                <w:rFonts w:ascii="宋体" w:hAnsi="宋体" w:cs="宋体"/>
                <w:b/>
                <w:bCs/>
                <w:color w:val="000000"/>
                <w:szCs w:val="21"/>
              </w:rPr>
            </w:pPr>
            <w:r>
              <w:rPr>
                <w:rFonts w:hint="eastAsia" w:ascii="宋体" w:hAnsi="宋体" w:cs="宋体"/>
                <w:b/>
                <w:bCs/>
                <w:color w:val="000000"/>
                <w:szCs w:val="21"/>
              </w:rPr>
              <w:t>功能描述</w:t>
            </w:r>
          </w:p>
        </w:tc>
      </w:tr>
      <w:tr w14:paraId="372BCD32">
        <w:tblPrEx>
          <w:tblCellMar>
            <w:top w:w="0" w:type="dxa"/>
            <w:left w:w="108" w:type="dxa"/>
            <w:bottom w:w="0" w:type="dxa"/>
            <w:right w:w="108" w:type="dxa"/>
          </w:tblCellMar>
        </w:tblPrEx>
        <w:trPr>
          <w:trHeight w:val="320" w:hRule="atLeast"/>
        </w:trPr>
        <w:tc>
          <w:tcPr>
            <w:tcW w:w="562" w:type="pct"/>
            <w:tcBorders>
              <w:top w:val="single" w:color="auto" w:sz="4" w:space="0"/>
              <w:left w:val="single" w:color="auto" w:sz="4" w:space="0"/>
              <w:bottom w:val="single" w:color="auto" w:sz="4" w:space="0"/>
              <w:right w:val="single" w:color="auto" w:sz="4" w:space="0"/>
            </w:tcBorders>
            <w:vAlign w:val="center"/>
          </w:tcPr>
          <w:p w14:paraId="10D349DF">
            <w:pPr>
              <w:widowControl/>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3.1.1</w:t>
            </w:r>
          </w:p>
        </w:tc>
        <w:tc>
          <w:tcPr>
            <w:tcW w:w="1099" w:type="pct"/>
            <w:tcBorders>
              <w:top w:val="single" w:color="auto" w:sz="4" w:space="0"/>
              <w:left w:val="single" w:color="auto" w:sz="4" w:space="0"/>
              <w:bottom w:val="single" w:color="auto" w:sz="4" w:space="0"/>
              <w:right w:val="single" w:color="auto" w:sz="4" w:space="0"/>
            </w:tcBorders>
            <w:vAlign w:val="center"/>
          </w:tcPr>
          <w:p w14:paraId="44068BD3">
            <w:pPr>
              <w:keepNext w:val="0"/>
              <w:keepLines w:val="0"/>
              <w:widowControl/>
              <w:suppressLineNumbers w:val="0"/>
              <w:jc w:val="left"/>
              <w:rPr>
                <w:rFonts w:ascii="宋体" w:hAnsi="宋体" w:cs="宋体"/>
                <w:color w:val="000000"/>
                <w:szCs w:val="21"/>
              </w:rPr>
            </w:pPr>
            <w:r>
              <w:rPr>
                <w:rFonts w:ascii="宋体" w:hAnsi="宋体" w:eastAsia="宋体" w:cs="宋体"/>
                <w:kern w:val="0"/>
                <w:sz w:val="24"/>
                <w:szCs w:val="24"/>
                <w:lang w:val="en-US" w:eastAsia="zh-CN" w:bidi="ar"/>
              </w:rPr>
              <w:t>考生报名、信息审核和导入</w:t>
            </w:r>
          </w:p>
        </w:tc>
        <w:tc>
          <w:tcPr>
            <w:tcW w:w="3339" w:type="pct"/>
            <w:tcBorders>
              <w:top w:val="single" w:color="auto" w:sz="4" w:space="0"/>
              <w:left w:val="single" w:color="auto" w:sz="4" w:space="0"/>
              <w:bottom w:val="single" w:color="auto" w:sz="4" w:space="0"/>
              <w:right w:val="single" w:color="auto" w:sz="4" w:space="0"/>
            </w:tcBorders>
            <w:vAlign w:val="center"/>
          </w:tcPr>
          <w:p w14:paraId="4C97ACC5">
            <w:pPr>
              <w:widowControl/>
              <w:rPr>
                <w:rFonts w:ascii="宋体" w:hAnsi="宋体" w:cs="宋体"/>
                <w:color w:val="000000"/>
                <w:szCs w:val="21"/>
              </w:rPr>
            </w:pPr>
            <w:r>
              <w:rPr>
                <w:rFonts w:ascii="宋体" w:hAnsi="宋体" w:eastAsia="宋体" w:cs="宋体"/>
                <w:sz w:val="24"/>
                <w:szCs w:val="24"/>
              </w:rPr>
              <w:t>支持考生报名业务办理；支持批量导入考生基础信息（姓名、身份证号、工作单位、职称、照片等）；支持对考生报名信息校验、审核，可完成考生资格筛选，对不合格报名信息进行标记处理。</w:t>
            </w:r>
          </w:p>
        </w:tc>
      </w:tr>
      <w:tr w14:paraId="76291777">
        <w:tblPrEx>
          <w:tblCellMar>
            <w:top w:w="0" w:type="dxa"/>
            <w:left w:w="108" w:type="dxa"/>
            <w:bottom w:w="0" w:type="dxa"/>
            <w:right w:w="108" w:type="dxa"/>
          </w:tblCellMar>
        </w:tblPrEx>
        <w:trPr>
          <w:trHeight w:val="320" w:hRule="atLeast"/>
        </w:trPr>
        <w:tc>
          <w:tcPr>
            <w:tcW w:w="562" w:type="pct"/>
            <w:tcBorders>
              <w:top w:val="single" w:color="auto" w:sz="4" w:space="0"/>
              <w:left w:val="single" w:color="auto" w:sz="4" w:space="0"/>
              <w:bottom w:val="single" w:color="auto" w:sz="4" w:space="0"/>
              <w:right w:val="single" w:color="auto" w:sz="4" w:space="0"/>
            </w:tcBorders>
            <w:vAlign w:val="center"/>
          </w:tcPr>
          <w:p w14:paraId="7152814A">
            <w:pPr>
              <w:widowControl/>
              <w:jc w:val="center"/>
              <w:rPr>
                <w:rFonts w:hint="default" w:ascii="宋体" w:hAnsi="宋体" w:cs="宋体"/>
                <w:color w:val="000000"/>
                <w:szCs w:val="21"/>
                <w:lang w:val="en-US" w:eastAsia="zh-CN"/>
              </w:rPr>
            </w:pPr>
            <w:r>
              <w:rPr>
                <w:rFonts w:hint="eastAsia" w:ascii="宋体" w:hAnsi="宋体" w:cs="宋体"/>
                <w:color w:val="000000"/>
                <w:szCs w:val="21"/>
                <w:lang w:val="en-US" w:eastAsia="zh-CN"/>
              </w:rPr>
              <w:t>3.1.2</w:t>
            </w:r>
          </w:p>
        </w:tc>
        <w:tc>
          <w:tcPr>
            <w:tcW w:w="1099" w:type="pct"/>
            <w:tcBorders>
              <w:top w:val="single" w:color="auto" w:sz="4" w:space="0"/>
              <w:left w:val="single" w:color="auto" w:sz="4" w:space="0"/>
              <w:bottom w:val="single" w:color="auto" w:sz="4" w:space="0"/>
              <w:right w:val="single" w:color="auto" w:sz="4" w:space="0"/>
            </w:tcBorders>
            <w:vAlign w:val="center"/>
          </w:tcPr>
          <w:p w14:paraId="3D2FC72F">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试题录入管理</w:t>
            </w:r>
          </w:p>
        </w:tc>
        <w:tc>
          <w:tcPr>
            <w:tcW w:w="3339" w:type="pct"/>
            <w:tcBorders>
              <w:top w:val="single" w:color="auto" w:sz="4" w:space="0"/>
              <w:left w:val="single" w:color="auto" w:sz="4" w:space="0"/>
              <w:bottom w:val="single" w:color="auto" w:sz="4" w:space="0"/>
              <w:right w:val="single" w:color="auto" w:sz="4" w:space="0"/>
            </w:tcBorders>
            <w:vAlign w:val="center"/>
          </w:tcPr>
          <w:p w14:paraId="2F776B61">
            <w:pPr>
              <w:widowControl/>
              <w:rPr>
                <w:rFonts w:ascii="宋体" w:hAnsi="宋体" w:eastAsia="宋体" w:cs="宋体"/>
                <w:sz w:val="24"/>
                <w:szCs w:val="24"/>
              </w:rPr>
            </w:pPr>
            <w:r>
              <w:rPr>
                <w:rFonts w:ascii="Segoe UI Emoji" w:hAnsi="Segoe UI Emoji" w:eastAsia="Segoe UI Emoji" w:cs="Segoe UI Emoji"/>
                <w:i w:val="0"/>
                <w:iCs w:val="0"/>
                <w:caps w:val="0"/>
                <w:color w:val="000000"/>
                <w:spacing w:val="0"/>
                <w:sz w:val="24"/>
                <w:szCs w:val="24"/>
              </w:rPr>
              <w:t>支持甲方按照模板提供试卷内容，乙方协助完成试题批量导入系统；支持固定统一试卷模式，完成试卷组卷配置。</w:t>
            </w:r>
          </w:p>
        </w:tc>
      </w:tr>
      <w:tr w14:paraId="60AD6AF4">
        <w:tblPrEx>
          <w:tblCellMar>
            <w:top w:w="0" w:type="dxa"/>
            <w:left w:w="108" w:type="dxa"/>
            <w:bottom w:w="0" w:type="dxa"/>
            <w:right w:w="108" w:type="dxa"/>
          </w:tblCellMar>
        </w:tblPrEx>
        <w:trPr>
          <w:trHeight w:val="90" w:hRule="atLeast"/>
        </w:trPr>
        <w:tc>
          <w:tcPr>
            <w:tcW w:w="1044" w:type="dxa"/>
            <w:tcBorders>
              <w:top w:val="single" w:color="auto" w:sz="4" w:space="0"/>
              <w:left w:val="single" w:color="auto" w:sz="4" w:space="0"/>
              <w:bottom w:val="single" w:color="auto" w:sz="4" w:space="0"/>
              <w:right w:val="single" w:color="auto" w:sz="4" w:space="0"/>
            </w:tcBorders>
            <w:vAlign w:val="center"/>
          </w:tcPr>
          <w:p w14:paraId="1AF7EF7A">
            <w:pPr>
              <w:widowControl/>
              <w:jc w:val="center"/>
              <w:rPr>
                <w:rFonts w:hint="default" w:ascii="宋体" w:hAnsi="宋体" w:cs="宋体"/>
                <w:color w:val="000000"/>
                <w:szCs w:val="21"/>
                <w:lang w:val="en-US" w:eastAsia="zh-CN"/>
              </w:rPr>
            </w:pPr>
            <w:r>
              <w:rPr>
                <w:rFonts w:hint="eastAsia" w:ascii="宋体" w:hAnsi="宋体" w:cs="宋体"/>
                <w:color w:val="000000"/>
                <w:szCs w:val="21"/>
                <w:lang w:val="en-US" w:eastAsia="zh-CN"/>
              </w:rPr>
              <w:t>3.1.3</w:t>
            </w:r>
          </w:p>
        </w:tc>
        <w:tc>
          <w:tcPr>
            <w:tcW w:w="2041" w:type="dxa"/>
            <w:tcBorders>
              <w:top w:val="single" w:color="auto" w:sz="4" w:space="0"/>
              <w:left w:val="single" w:color="auto" w:sz="4" w:space="0"/>
              <w:bottom w:val="single" w:color="auto" w:sz="4" w:space="0"/>
              <w:right w:val="single" w:color="auto" w:sz="4" w:space="0"/>
            </w:tcBorders>
            <w:vAlign w:val="center"/>
          </w:tcPr>
          <w:p w14:paraId="47BD5D0E">
            <w:pPr>
              <w:widowControl/>
              <w:jc w:val="both"/>
              <w:rPr>
                <w:rFonts w:ascii="Segoe UI Emoji" w:hAnsi="Segoe UI Emoji" w:eastAsia="Segoe UI Emoji" w:cs="Segoe UI Emoji"/>
                <w:i w:val="0"/>
                <w:iCs w:val="0"/>
                <w:caps w:val="0"/>
                <w:color w:val="000000"/>
                <w:spacing w:val="0"/>
                <w:sz w:val="24"/>
                <w:szCs w:val="24"/>
                <w:lang w:val="en-US" w:eastAsia="zh-CN"/>
              </w:rPr>
            </w:pPr>
            <w:r>
              <w:rPr>
                <w:rFonts w:ascii="Segoe UI Emoji" w:hAnsi="Segoe UI Emoji" w:eastAsia="Segoe UI Emoji" w:cs="Segoe UI Emoji"/>
                <w:i w:val="0"/>
                <w:iCs w:val="0"/>
                <w:caps w:val="0"/>
                <w:color w:val="000000"/>
                <w:spacing w:val="0"/>
                <w:sz w:val="24"/>
                <w:szCs w:val="24"/>
              </w:rPr>
              <w:t>排考管理</w:t>
            </w:r>
          </w:p>
        </w:tc>
        <w:tc>
          <w:tcPr>
            <w:tcW w:w="6201" w:type="dxa"/>
            <w:tcBorders>
              <w:top w:val="single" w:color="auto" w:sz="4" w:space="0"/>
              <w:left w:val="single" w:color="auto" w:sz="4" w:space="0"/>
              <w:bottom w:val="single" w:color="auto" w:sz="4" w:space="0"/>
              <w:right w:val="single" w:color="auto" w:sz="4" w:space="0"/>
            </w:tcBorders>
            <w:vAlign w:val="center"/>
          </w:tcPr>
          <w:p w14:paraId="7968B691">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根据考生信息完成排考、排座，生成考试座位表；支持半日300人规模考生统一考试场景。</w:t>
            </w:r>
          </w:p>
        </w:tc>
      </w:tr>
      <w:tr w14:paraId="0DB75411">
        <w:tblPrEx>
          <w:tblCellMar>
            <w:top w:w="0" w:type="dxa"/>
            <w:left w:w="108" w:type="dxa"/>
            <w:bottom w:w="0" w:type="dxa"/>
            <w:right w:w="108" w:type="dxa"/>
          </w:tblCellMar>
        </w:tblPrEx>
        <w:trPr>
          <w:trHeight w:val="320" w:hRule="atLeast"/>
        </w:trPr>
        <w:tc>
          <w:tcPr>
            <w:tcW w:w="1044" w:type="dxa"/>
            <w:tcBorders>
              <w:top w:val="single" w:color="auto" w:sz="4" w:space="0"/>
              <w:left w:val="single" w:color="auto" w:sz="4" w:space="0"/>
              <w:bottom w:val="single" w:color="auto" w:sz="4" w:space="0"/>
              <w:right w:val="single" w:color="auto" w:sz="4" w:space="0"/>
            </w:tcBorders>
            <w:vAlign w:val="center"/>
          </w:tcPr>
          <w:p w14:paraId="4506CF11">
            <w:pPr>
              <w:widowControl/>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3.1.4</w:t>
            </w:r>
          </w:p>
        </w:tc>
        <w:tc>
          <w:tcPr>
            <w:tcW w:w="2041" w:type="dxa"/>
            <w:tcBorders>
              <w:top w:val="single" w:color="auto" w:sz="4" w:space="0"/>
              <w:left w:val="single" w:color="auto" w:sz="4" w:space="0"/>
              <w:bottom w:val="single" w:color="auto" w:sz="4" w:space="0"/>
              <w:right w:val="single" w:color="auto" w:sz="4" w:space="0"/>
            </w:tcBorders>
            <w:vAlign w:val="center"/>
          </w:tcPr>
          <w:p w14:paraId="4B8A1B17">
            <w:pPr>
              <w:widowControl/>
              <w:jc w:val="both"/>
              <w:rPr>
                <w:rFonts w:ascii="Segoe UI Emoji" w:hAnsi="Segoe UI Emoji" w:eastAsia="Segoe UI Emoji" w:cs="Segoe UI Emoji"/>
                <w:i w:val="0"/>
                <w:iCs w:val="0"/>
                <w:caps w:val="0"/>
                <w:color w:val="000000"/>
                <w:spacing w:val="0"/>
                <w:sz w:val="24"/>
                <w:szCs w:val="24"/>
                <w:lang w:val="en-US" w:eastAsia="zh-CN"/>
              </w:rPr>
            </w:pPr>
            <w:r>
              <w:rPr>
                <w:rFonts w:ascii="Segoe UI Emoji" w:hAnsi="Segoe UI Emoji" w:eastAsia="Segoe UI Emoji" w:cs="Segoe UI Emoji"/>
                <w:i w:val="0"/>
                <w:iCs w:val="0"/>
                <w:caps w:val="0"/>
                <w:color w:val="000000"/>
                <w:spacing w:val="0"/>
                <w:sz w:val="24"/>
                <w:szCs w:val="24"/>
              </w:rPr>
              <w:t>准考证生成</w:t>
            </w:r>
          </w:p>
        </w:tc>
        <w:tc>
          <w:tcPr>
            <w:tcW w:w="6201" w:type="dxa"/>
            <w:tcBorders>
              <w:top w:val="single" w:color="auto" w:sz="4" w:space="0"/>
              <w:left w:val="single" w:color="auto" w:sz="4" w:space="0"/>
              <w:bottom w:val="single" w:color="auto" w:sz="4" w:space="0"/>
              <w:right w:val="single" w:color="auto" w:sz="4" w:space="0"/>
            </w:tcBorders>
            <w:vAlign w:val="center"/>
          </w:tcPr>
          <w:p w14:paraId="105A0748">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根据排考结果自动生成考生准考证，支持准考证导出、打印。</w:t>
            </w:r>
          </w:p>
        </w:tc>
      </w:tr>
      <w:tr w14:paraId="13D92BED">
        <w:tblPrEx>
          <w:tblCellMar>
            <w:top w:w="0" w:type="dxa"/>
            <w:left w:w="108" w:type="dxa"/>
            <w:bottom w:w="0" w:type="dxa"/>
            <w:right w:w="108" w:type="dxa"/>
          </w:tblCellMar>
        </w:tblPrEx>
        <w:trPr>
          <w:trHeight w:val="3006" w:hRule="atLeast"/>
        </w:trPr>
        <w:tc>
          <w:tcPr>
            <w:tcW w:w="1044" w:type="dxa"/>
            <w:tcBorders>
              <w:top w:val="single" w:color="auto" w:sz="4" w:space="0"/>
              <w:left w:val="single" w:color="auto" w:sz="4" w:space="0"/>
              <w:bottom w:val="single" w:color="auto" w:sz="4" w:space="0"/>
              <w:right w:val="single" w:color="auto" w:sz="4" w:space="0"/>
            </w:tcBorders>
            <w:vAlign w:val="center"/>
          </w:tcPr>
          <w:p w14:paraId="2ECF75D3">
            <w:pPr>
              <w:widowControl/>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3.1.5</w:t>
            </w:r>
          </w:p>
        </w:tc>
        <w:tc>
          <w:tcPr>
            <w:tcW w:w="2041" w:type="dxa"/>
            <w:tcBorders>
              <w:top w:val="single" w:color="auto" w:sz="4" w:space="0"/>
              <w:left w:val="single" w:color="auto" w:sz="4" w:space="0"/>
              <w:bottom w:val="single" w:color="auto" w:sz="4" w:space="0"/>
              <w:right w:val="single" w:color="auto" w:sz="4" w:space="0"/>
            </w:tcBorders>
            <w:vAlign w:val="center"/>
          </w:tcPr>
          <w:p w14:paraId="00490090">
            <w:pPr>
              <w:widowControl/>
              <w:jc w:val="both"/>
              <w:rPr>
                <w:rFonts w:ascii="Segoe UI Emoji" w:hAnsi="Segoe UI Emoji" w:eastAsia="Segoe UI Emoji" w:cs="Segoe UI Emoji"/>
                <w:i w:val="0"/>
                <w:iCs w:val="0"/>
                <w:caps w:val="0"/>
                <w:color w:val="000000"/>
                <w:spacing w:val="0"/>
                <w:sz w:val="24"/>
                <w:szCs w:val="24"/>
                <w:lang w:val="en-US" w:eastAsia="zh-CN"/>
              </w:rPr>
            </w:pPr>
            <w:r>
              <w:rPr>
                <w:rFonts w:ascii="Segoe UI Emoji" w:hAnsi="Segoe UI Emoji" w:eastAsia="Segoe UI Emoji" w:cs="Segoe UI Emoji"/>
                <w:i w:val="0"/>
                <w:iCs w:val="0"/>
                <w:caps w:val="0"/>
                <w:color w:val="000000"/>
                <w:spacing w:val="0"/>
                <w:sz w:val="24"/>
                <w:szCs w:val="24"/>
              </w:rPr>
              <w:t>在线网考系统</w:t>
            </w:r>
          </w:p>
        </w:tc>
        <w:tc>
          <w:tcPr>
            <w:tcW w:w="6201" w:type="dxa"/>
            <w:tcBorders>
              <w:top w:val="single" w:color="auto" w:sz="4" w:space="0"/>
              <w:left w:val="single" w:color="auto" w:sz="4" w:space="0"/>
              <w:bottom w:val="single" w:color="auto" w:sz="4" w:space="0"/>
              <w:right w:val="single" w:color="auto" w:sz="4" w:space="0"/>
            </w:tcBorders>
            <w:vAlign w:val="center"/>
          </w:tcPr>
          <w:p w14:paraId="6BEA3644">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1.支持设置考试总时长、小题作答时限，支持配置不可回看、不可回做答题模式；</w:t>
            </w:r>
            <w:r>
              <w:rPr>
                <w:rFonts w:ascii="Segoe UI Emoji" w:hAnsi="Segoe UI Emoji" w:eastAsia="Segoe UI Emoji" w:cs="Segoe UI Emoji"/>
                <w:i w:val="0"/>
                <w:iCs w:val="0"/>
                <w:caps w:val="0"/>
                <w:color w:val="000000"/>
                <w:spacing w:val="0"/>
                <w:sz w:val="24"/>
                <w:szCs w:val="24"/>
              </w:rPr>
              <w:br w:type="textWrapping"/>
            </w:r>
            <w:r>
              <w:rPr>
                <w:rFonts w:ascii="Segoe UI Emoji" w:hAnsi="Segoe UI Emoji" w:eastAsia="Segoe UI Emoji" w:cs="Segoe UI Emoji"/>
                <w:i w:val="0"/>
                <w:iCs w:val="0"/>
                <w:caps w:val="0"/>
                <w:color w:val="000000"/>
                <w:spacing w:val="0"/>
                <w:sz w:val="24"/>
                <w:szCs w:val="24"/>
              </w:rPr>
              <w:t>2.开考前5分钟允许考生登录，统一时间开启考试；开考30分钟内禁止交卷，考试结束系统自动收卷；3.考试过程进入全屏模式，屏蔽任务栏、系统热键，限制其他浏览器、翻译软件运行；4.具备断电续答功能；支持监考人员对单个或批量考生追加考试用时；5.提供可容纳半日300人同时考试的机房考场环境。</w:t>
            </w:r>
          </w:p>
        </w:tc>
      </w:tr>
      <w:tr w14:paraId="10C0EB9C">
        <w:tblPrEx>
          <w:tblCellMar>
            <w:top w:w="0" w:type="dxa"/>
            <w:left w:w="108" w:type="dxa"/>
            <w:bottom w:w="0" w:type="dxa"/>
            <w:right w:w="108" w:type="dxa"/>
          </w:tblCellMar>
        </w:tblPrEx>
        <w:trPr>
          <w:trHeight w:val="320" w:hRule="atLeast"/>
        </w:trPr>
        <w:tc>
          <w:tcPr>
            <w:tcW w:w="1044" w:type="dxa"/>
            <w:tcBorders>
              <w:top w:val="single" w:color="auto" w:sz="4" w:space="0"/>
              <w:left w:val="single" w:color="auto" w:sz="4" w:space="0"/>
              <w:bottom w:val="single" w:color="auto" w:sz="4" w:space="0"/>
              <w:right w:val="single" w:color="auto" w:sz="4" w:space="0"/>
            </w:tcBorders>
            <w:vAlign w:val="center"/>
          </w:tcPr>
          <w:p w14:paraId="277DD6A6">
            <w:pPr>
              <w:widowControl/>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3.1.6</w:t>
            </w:r>
          </w:p>
        </w:tc>
        <w:tc>
          <w:tcPr>
            <w:tcW w:w="2041" w:type="dxa"/>
            <w:tcBorders>
              <w:top w:val="single" w:color="auto" w:sz="4" w:space="0"/>
              <w:left w:val="single" w:color="auto" w:sz="4" w:space="0"/>
              <w:bottom w:val="single" w:color="auto" w:sz="4" w:space="0"/>
              <w:right w:val="single" w:color="auto" w:sz="4" w:space="0"/>
            </w:tcBorders>
            <w:vAlign w:val="center"/>
          </w:tcPr>
          <w:p w14:paraId="58ED1EBE">
            <w:pPr>
              <w:widowControl/>
              <w:jc w:val="both"/>
              <w:rPr>
                <w:rFonts w:ascii="Segoe UI Emoji" w:hAnsi="Segoe UI Emoji" w:eastAsia="Segoe UI Emoji" w:cs="Segoe UI Emoji"/>
                <w:i w:val="0"/>
                <w:iCs w:val="0"/>
                <w:caps w:val="0"/>
                <w:color w:val="000000"/>
                <w:spacing w:val="0"/>
                <w:sz w:val="24"/>
                <w:szCs w:val="24"/>
                <w:lang w:val="en-US" w:eastAsia="zh-CN"/>
              </w:rPr>
            </w:pPr>
            <w:r>
              <w:rPr>
                <w:rFonts w:ascii="Segoe UI Emoji" w:hAnsi="Segoe UI Emoji" w:eastAsia="Segoe UI Emoji" w:cs="Segoe UI Emoji"/>
                <w:i w:val="0"/>
                <w:iCs w:val="0"/>
                <w:caps w:val="0"/>
                <w:color w:val="000000"/>
                <w:spacing w:val="0"/>
                <w:sz w:val="24"/>
                <w:szCs w:val="24"/>
              </w:rPr>
              <w:t>线上评分阅卷</w:t>
            </w:r>
          </w:p>
        </w:tc>
        <w:tc>
          <w:tcPr>
            <w:tcW w:w="6201" w:type="dxa"/>
            <w:tcBorders>
              <w:top w:val="single" w:color="auto" w:sz="4" w:space="0"/>
              <w:left w:val="single" w:color="auto" w:sz="4" w:space="0"/>
              <w:bottom w:val="single" w:color="auto" w:sz="4" w:space="0"/>
              <w:right w:val="single" w:color="auto" w:sz="4" w:space="0"/>
            </w:tcBorders>
            <w:vAlign w:val="center"/>
          </w:tcPr>
          <w:p w14:paraId="1332AC2B">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支持考试结束后线上阅卷评分，完成客观题自动判分、主观题线上评卷</w:t>
            </w:r>
            <w:r>
              <w:rPr>
                <w:rFonts w:hint="eastAsia" w:ascii="Segoe UI Emoji" w:hAnsi="Segoe UI Emoji" w:eastAsia="Segoe UI Emoji" w:cs="Segoe UI Emoji"/>
                <w:i w:val="0"/>
                <w:iCs w:val="0"/>
                <w:caps w:val="0"/>
                <w:color w:val="000000"/>
                <w:spacing w:val="0"/>
                <w:sz w:val="24"/>
                <w:szCs w:val="24"/>
                <w:lang w:eastAsia="zh-CN"/>
              </w:rPr>
              <w:t>，</w:t>
            </w:r>
            <w:r>
              <w:rPr>
                <w:rFonts w:ascii="Segoe UI Emoji" w:hAnsi="Segoe UI Emoji" w:eastAsia="Segoe UI Emoji" w:cs="Segoe UI Emoji"/>
                <w:i w:val="0"/>
                <w:iCs w:val="0"/>
                <w:caps w:val="0"/>
                <w:color w:val="000000"/>
                <w:spacing w:val="0"/>
                <w:sz w:val="24"/>
                <w:szCs w:val="24"/>
              </w:rPr>
              <w:t>汇总考生答题结果。</w:t>
            </w:r>
          </w:p>
        </w:tc>
      </w:tr>
      <w:tr w14:paraId="25EA130D">
        <w:tblPrEx>
          <w:tblCellMar>
            <w:top w:w="0" w:type="dxa"/>
            <w:left w:w="108" w:type="dxa"/>
            <w:bottom w:w="0" w:type="dxa"/>
            <w:right w:w="108" w:type="dxa"/>
          </w:tblCellMar>
        </w:tblPrEx>
        <w:trPr>
          <w:trHeight w:val="320" w:hRule="atLeast"/>
        </w:trPr>
        <w:tc>
          <w:tcPr>
            <w:tcW w:w="1044" w:type="dxa"/>
            <w:tcBorders>
              <w:top w:val="single" w:color="auto" w:sz="4" w:space="0"/>
              <w:left w:val="single" w:color="auto" w:sz="4" w:space="0"/>
              <w:bottom w:val="single" w:color="auto" w:sz="4" w:space="0"/>
              <w:right w:val="single" w:color="auto" w:sz="4" w:space="0"/>
            </w:tcBorders>
            <w:vAlign w:val="center"/>
          </w:tcPr>
          <w:p w14:paraId="40D7A5F8">
            <w:pPr>
              <w:widowControl/>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3.1.7</w:t>
            </w:r>
          </w:p>
        </w:tc>
        <w:tc>
          <w:tcPr>
            <w:tcW w:w="2041" w:type="dxa"/>
            <w:tcBorders>
              <w:top w:val="single" w:color="auto" w:sz="4" w:space="0"/>
              <w:left w:val="single" w:color="auto" w:sz="4" w:space="0"/>
              <w:bottom w:val="single" w:color="auto" w:sz="4" w:space="0"/>
              <w:right w:val="single" w:color="auto" w:sz="4" w:space="0"/>
            </w:tcBorders>
            <w:vAlign w:val="center"/>
          </w:tcPr>
          <w:p w14:paraId="7FD0F1DB">
            <w:pPr>
              <w:widowControl/>
              <w:jc w:val="both"/>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成绩生成与输出</w:t>
            </w:r>
          </w:p>
        </w:tc>
        <w:tc>
          <w:tcPr>
            <w:tcW w:w="6201" w:type="dxa"/>
            <w:tcBorders>
              <w:top w:val="single" w:color="auto" w:sz="4" w:space="0"/>
              <w:left w:val="single" w:color="auto" w:sz="4" w:space="0"/>
              <w:bottom w:val="single" w:color="auto" w:sz="4" w:space="0"/>
              <w:right w:val="single" w:color="auto" w:sz="4" w:space="0"/>
            </w:tcBorders>
            <w:vAlign w:val="center"/>
          </w:tcPr>
          <w:p w14:paraId="20F2A2D9">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自动汇总考试成绩，向甲方输出完整考生成绩数据包，支持成绩导出。</w:t>
            </w:r>
          </w:p>
        </w:tc>
      </w:tr>
      <w:tr w14:paraId="1CA9DDB4">
        <w:tblPrEx>
          <w:tblCellMar>
            <w:top w:w="0" w:type="dxa"/>
            <w:left w:w="108" w:type="dxa"/>
            <w:bottom w:w="0" w:type="dxa"/>
            <w:right w:w="108" w:type="dxa"/>
          </w:tblCellMar>
        </w:tblPrEx>
        <w:trPr>
          <w:trHeight w:val="320" w:hRule="atLeast"/>
        </w:trPr>
        <w:tc>
          <w:tcPr>
            <w:tcW w:w="1044" w:type="dxa"/>
            <w:tcBorders>
              <w:top w:val="single" w:color="auto" w:sz="4" w:space="0"/>
              <w:left w:val="single" w:color="auto" w:sz="4" w:space="0"/>
              <w:bottom w:val="single" w:color="auto" w:sz="4" w:space="0"/>
              <w:right w:val="single" w:color="auto" w:sz="4" w:space="0"/>
            </w:tcBorders>
            <w:vAlign w:val="center"/>
          </w:tcPr>
          <w:p w14:paraId="0B46817E">
            <w:pPr>
              <w:widowControl/>
              <w:jc w:val="center"/>
              <w:rPr>
                <w:rFonts w:hint="eastAsia" w:ascii="宋体" w:hAnsi="宋体" w:cs="宋体"/>
                <w:color w:val="000000"/>
                <w:szCs w:val="21"/>
                <w:lang w:val="en-US" w:eastAsia="zh-CN"/>
              </w:rPr>
            </w:pPr>
            <w:r>
              <w:rPr>
                <w:rFonts w:hint="eastAsia" w:ascii="宋体" w:hAnsi="宋体" w:cs="宋体"/>
                <w:color w:val="000000"/>
                <w:szCs w:val="21"/>
                <w:lang w:val="en-US" w:eastAsia="zh-CN"/>
              </w:rPr>
              <w:t>3.1.8</w:t>
            </w:r>
          </w:p>
        </w:tc>
        <w:tc>
          <w:tcPr>
            <w:tcW w:w="2041" w:type="dxa"/>
            <w:tcBorders>
              <w:top w:val="single" w:color="auto" w:sz="4" w:space="0"/>
              <w:left w:val="single" w:color="auto" w:sz="4" w:space="0"/>
              <w:bottom w:val="single" w:color="auto" w:sz="4" w:space="0"/>
              <w:right w:val="single" w:color="auto" w:sz="4" w:space="0"/>
            </w:tcBorders>
            <w:vAlign w:val="center"/>
          </w:tcPr>
          <w:p w14:paraId="34136B2A">
            <w:pPr>
              <w:widowControl/>
              <w:jc w:val="both"/>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考试运维保障</w:t>
            </w:r>
          </w:p>
        </w:tc>
        <w:tc>
          <w:tcPr>
            <w:tcW w:w="6201" w:type="dxa"/>
            <w:tcBorders>
              <w:top w:val="single" w:color="auto" w:sz="4" w:space="0"/>
              <w:left w:val="single" w:color="auto" w:sz="4" w:space="0"/>
              <w:bottom w:val="single" w:color="auto" w:sz="4" w:space="0"/>
              <w:right w:val="single" w:color="auto" w:sz="4" w:space="0"/>
            </w:tcBorders>
            <w:vAlign w:val="center"/>
          </w:tcPr>
          <w:p w14:paraId="2DE9153C">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考前不少于2次全流程模拟测试；考试期间提供热线、线上、远程协助技术支持；考场配置现场技术人员，考前45分钟到位开展环境检查；考试服务器配置、网络维护，配置定时自动备份，考试期间异地数据备份。</w:t>
            </w:r>
          </w:p>
        </w:tc>
      </w:tr>
    </w:tbl>
    <w:p w14:paraId="5796AFC1">
      <w:pPr>
        <w:pStyle w:val="2"/>
        <w:numPr>
          <w:ilvl w:val="0"/>
          <w:numId w:val="0"/>
        </w:numPr>
        <w:spacing w:before="0" w:after="0"/>
        <w:ind w:leftChars="0"/>
        <w:rPr>
          <w:rFonts w:ascii="宋体" w:hAnsi="宋体"/>
          <w:sz w:val="21"/>
          <w:szCs w:val="21"/>
        </w:rPr>
      </w:pPr>
      <w:bookmarkStart w:id="1" w:name="_6.1.2、容器服务器"/>
      <w:bookmarkEnd w:id="1"/>
      <w:r>
        <w:rPr>
          <w:rFonts w:hint="eastAsia" w:ascii="宋体" w:hAnsi="宋体"/>
          <w:sz w:val="32"/>
          <w:szCs w:val="32"/>
          <w:lang w:val="en-US" w:eastAsia="zh-CN"/>
        </w:rPr>
        <w:t>四．</w:t>
      </w:r>
      <w:r>
        <w:rPr>
          <w:rFonts w:hint="eastAsia" w:ascii="宋体" w:hAnsi="宋体"/>
          <w:sz w:val="32"/>
          <w:szCs w:val="32"/>
        </w:rPr>
        <w:t>项目工期</w:t>
      </w:r>
    </w:p>
    <w:p w14:paraId="2F1B0285">
      <w:pPr>
        <w:numPr>
          <w:ilvl w:val="0"/>
          <w:numId w:val="0"/>
        </w:numPr>
        <w:tabs>
          <w:tab w:val="left" w:pos="420"/>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自合同签订日起，须在_</w:t>
      </w:r>
      <w:r>
        <w:rPr>
          <w:rFonts w:hint="eastAsia" w:ascii="宋体" w:hAnsi="宋体" w:cs="宋体"/>
          <w:szCs w:val="21"/>
          <w:lang w:val="en-US" w:eastAsia="zh-CN"/>
        </w:rPr>
        <w:t>7</w:t>
      </w:r>
      <w:r>
        <w:rPr>
          <w:rFonts w:hint="eastAsia" w:ascii="宋体" w:hAnsi="宋体" w:cs="宋体"/>
          <w:szCs w:val="21"/>
        </w:rPr>
        <w:t>_个工作日内对《用户需求说明书》进行补充、确认或提出意见。</w:t>
      </w:r>
    </w:p>
    <w:p w14:paraId="58A2ED9E">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对《用户需求说明书》提出意见后，院方组织进行用户需求调研，根据调研情况提供业务调研记录、现况分析、功能设计及说明，双方共同整理并在</w:t>
      </w:r>
      <w:r>
        <w:rPr>
          <w:rFonts w:hint="eastAsia" w:ascii="宋体" w:hAnsi="宋体" w:cs="宋体"/>
          <w:szCs w:val="21"/>
          <w:u w:val="single"/>
          <w:lang w:val="en-US" w:eastAsia="zh-CN"/>
        </w:rPr>
        <w:t>10</w:t>
      </w:r>
      <w:r>
        <w:rPr>
          <w:rFonts w:hint="eastAsia" w:ascii="宋体" w:hAnsi="宋体" w:cs="宋体"/>
          <w:szCs w:val="21"/>
        </w:rPr>
        <w:t>个工作日内确认《需求规格说明书》。</w:t>
      </w:r>
    </w:p>
    <w:p w14:paraId="17C1957B">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须在《需求规格说明书》确认后的_</w:t>
      </w:r>
      <w:r>
        <w:rPr>
          <w:rFonts w:hint="eastAsia" w:ascii="宋体" w:hAnsi="宋体" w:cs="宋体"/>
          <w:szCs w:val="21"/>
          <w:lang w:val="en-US" w:eastAsia="zh-CN"/>
        </w:rPr>
        <w:t>15</w:t>
      </w:r>
      <w:r>
        <w:rPr>
          <w:rFonts w:hint="eastAsia" w:ascii="宋体" w:hAnsi="宋体" w:cs="宋体"/>
          <w:szCs w:val="21"/>
        </w:rPr>
        <w:t>_个工作日内完成实施导入和保证系统正常工作。</w:t>
      </w:r>
    </w:p>
    <w:p w14:paraId="06AFCD3E">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完成软件实施，并根据院方提出的新需求完成修改后，系统运行_</w:t>
      </w:r>
      <w:r>
        <w:rPr>
          <w:rFonts w:hint="eastAsia" w:ascii="宋体" w:hAnsi="宋体" w:cs="宋体"/>
          <w:szCs w:val="21"/>
          <w:lang w:val="en-US" w:eastAsia="zh-CN"/>
        </w:rPr>
        <w:t>3</w:t>
      </w:r>
      <w:r>
        <w:rPr>
          <w:rFonts w:hint="eastAsia" w:ascii="宋体" w:hAnsi="宋体" w:cs="宋体"/>
          <w:szCs w:val="21"/>
        </w:rPr>
        <w:t>_个月以上无软件故障出现，则向院方申请验收。</w:t>
      </w:r>
    </w:p>
    <w:p w14:paraId="713B8390">
      <w:pPr>
        <w:rPr>
          <w:lang w:val="zh-CN" w:eastAsia="zh-CN"/>
        </w:rPr>
      </w:pPr>
    </w:p>
    <w:p w14:paraId="5F994EA7">
      <w:pPr>
        <w:pStyle w:val="2"/>
        <w:numPr>
          <w:ilvl w:val="0"/>
          <w:numId w:val="0"/>
        </w:numPr>
        <w:spacing w:before="0" w:after="0"/>
        <w:ind w:leftChars="0"/>
        <w:rPr>
          <w:rFonts w:ascii="宋体" w:hAnsi="宋体"/>
          <w:color w:val="FF0000"/>
          <w:sz w:val="32"/>
          <w:szCs w:val="32"/>
        </w:rPr>
      </w:pPr>
      <w:r>
        <w:rPr>
          <w:rFonts w:hint="eastAsia" w:ascii="宋体" w:hAnsi="宋体"/>
          <w:sz w:val="32"/>
          <w:szCs w:val="32"/>
          <w:lang w:val="en-US" w:eastAsia="zh-CN"/>
        </w:rPr>
        <w:t>五．</w:t>
      </w:r>
      <w:r>
        <w:rPr>
          <w:rFonts w:hint="eastAsia" w:ascii="宋体" w:hAnsi="宋体"/>
          <w:sz w:val="32"/>
          <w:szCs w:val="32"/>
        </w:rPr>
        <w:t>集成技术及实施</w:t>
      </w:r>
      <w:r>
        <w:rPr>
          <w:rFonts w:ascii="宋体" w:hAnsi="宋体"/>
          <w:sz w:val="32"/>
          <w:szCs w:val="32"/>
        </w:rPr>
        <w:t>服务要求</w:t>
      </w:r>
    </w:p>
    <w:p w14:paraId="12F9840F">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1.</w:t>
      </w:r>
      <w:r>
        <w:rPr>
          <w:rFonts w:hint="eastAsia" w:ascii="宋体" w:hAnsi="宋体" w:cs="宋体"/>
          <w:szCs w:val="21"/>
        </w:rPr>
        <w:t>考试实施期间配置不少于1名专职技术人员，考试日工作时间与院方考务工作时间一致；项目整体提供7*24小时应急响应服务。</w:t>
      </w:r>
    </w:p>
    <w:p w14:paraId="6A728BDC">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在项目实施前，承建商结合本项目需求，根据《网络安全等级保护制度》完成系统安全自评，向医院提交项目设计方案开展安全评审，做到安全技术措施同步规划。系统建设严格按照信息系统安全等级保护相关要求落实。</w:t>
      </w:r>
    </w:p>
    <w:p w14:paraId="6EE56082">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3.</w:t>
      </w:r>
      <w:r>
        <w:rPr>
          <w:rFonts w:hint="eastAsia" w:ascii="宋体" w:hAnsi="宋体" w:cs="宋体"/>
          <w:szCs w:val="21"/>
        </w:rPr>
        <w:t>系统须通过院方信息部门组织的信息系统安全定级相关要求；上线前承建商配合完成院方组织的安全测评、漏洞扫描、渗透测试等安全检查，对检测发现安全漏洞及时完成整改。</w:t>
      </w:r>
    </w:p>
    <w:p w14:paraId="3BC9BEBA">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4.</w:t>
      </w:r>
      <w:r>
        <w:rPr>
          <w:rFonts w:hint="eastAsia" w:ascii="宋体" w:hAnsi="宋体" w:cs="宋体"/>
          <w:szCs w:val="21"/>
        </w:rPr>
        <w:t>承建商提交完整的系统安装、调试及培训实施方案，经院方确认后实施，保障考试系统按时稳定投入使用。</w:t>
      </w:r>
    </w:p>
    <w:p w14:paraId="4E953AD9">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5.</w:t>
      </w:r>
      <w:r>
        <w:rPr>
          <w:rFonts w:hint="eastAsia" w:ascii="宋体" w:hAnsi="宋体" w:cs="宋体"/>
          <w:szCs w:val="21"/>
        </w:rPr>
        <w:t>承建商须提供完整培训，包含系统使用培训、考务管理人员维护培训，输出培训教材。培训覆盖报名操作、考生信息管理、试题导入、排考、准考证管理、考试监控、成绩导出、基础故障排查等内容，保障考务管理人员可独立开展日常操作。</w:t>
      </w:r>
    </w:p>
    <w:p w14:paraId="1FD3EC18">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6.</w:t>
      </w:r>
      <w:r>
        <w:rPr>
          <w:rFonts w:hint="eastAsia" w:ascii="宋体" w:hAnsi="宋体" w:cs="宋体"/>
          <w:szCs w:val="21"/>
        </w:rPr>
        <w:t>验收由承建商编制验收计划、测试内容及测试方法，经院方审核通过后，方可开展验收测试。</w:t>
      </w:r>
    </w:p>
    <w:p w14:paraId="052C29B4">
      <w:pPr>
        <w:numPr>
          <w:ilvl w:val="0"/>
          <w:numId w:val="0"/>
        </w:numPr>
        <w:tabs>
          <w:tab w:val="left" w:pos="780"/>
        </w:tabs>
        <w:spacing w:before="156" w:beforeLines="50" w:line="360" w:lineRule="auto"/>
        <w:ind w:leftChars="0"/>
        <w:outlineLvl w:val="0"/>
        <w:rPr>
          <w:rFonts w:hint="eastAsia" w:ascii="宋体" w:hAnsi="宋体" w:cs="宋体"/>
          <w:szCs w:val="21"/>
        </w:rPr>
      </w:pPr>
      <w:r>
        <w:rPr>
          <w:rFonts w:hint="eastAsia" w:ascii="宋体" w:hAnsi="宋体" w:cs="宋体"/>
          <w:szCs w:val="21"/>
          <w:lang w:val="en-US" w:eastAsia="zh-CN"/>
        </w:rPr>
        <w:t>7.</w:t>
      </w:r>
      <w:r>
        <w:rPr>
          <w:rFonts w:hint="eastAsia" w:ascii="宋体" w:hAnsi="宋体" w:cs="宋体"/>
          <w:szCs w:val="21"/>
        </w:rPr>
        <w:t>严格落实保密要求：对试题、考生个人信息、考试成绩等敏感数据做好保密管控；考试服务器配置定时自动备份，考试期间执行异地数据备份，保障考试数据安全完整。</w:t>
      </w:r>
    </w:p>
    <w:p w14:paraId="54637A54">
      <w:pPr>
        <w:numPr>
          <w:ilvl w:val="0"/>
          <w:numId w:val="0"/>
        </w:numPr>
        <w:tabs>
          <w:tab w:val="left" w:pos="780"/>
        </w:tabs>
        <w:spacing w:before="156" w:beforeLines="50" w:line="360" w:lineRule="auto"/>
        <w:ind w:leftChars="0"/>
        <w:outlineLvl w:val="0"/>
        <w:rPr>
          <w:rFonts w:hint="eastAsia"/>
          <w:lang w:eastAsia="zh-CN"/>
        </w:rPr>
      </w:pPr>
      <w:r>
        <w:rPr>
          <w:rFonts w:hint="eastAsia" w:ascii="宋体" w:hAnsi="宋体" w:cs="宋体"/>
          <w:szCs w:val="21"/>
          <w:lang w:val="en-US" w:eastAsia="zh-CN"/>
        </w:rPr>
        <w:t>8.</w:t>
      </w:r>
      <w:r>
        <w:rPr>
          <w:rFonts w:hint="eastAsia" w:ascii="宋体" w:hAnsi="宋体" w:cs="宋体"/>
          <w:szCs w:val="21"/>
        </w:rPr>
        <w:t>考试期间提供不间断技术支持，包含服务热线、网络咨询、远程协助；考前开展不少于2次完整全流程模拟考试测试。</w:t>
      </w:r>
    </w:p>
    <w:p w14:paraId="336495B9">
      <w:pPr>
        <w:pStyle w:val="2"/>
        <w:numPr>
          <w:ilvl w:val="0"/>
          <w:numId w:val="0"/>
        </w:numPr>
        <w:spacing w:before="0" w:after="0"/>
        <w:ind w:leftChars="0"/>
        <w:rPr>
          <w:rFonts w:ascii="宋体" w:hAnsi="宋体"/>
          <w:color w:val="FF0000"/>
          <w:sz w:val="32"/>
          <w:szCs w:val="32"/>
        </w:rPr>
      </w:pPr>
      <w:r>
        <w:rPr>
          <w:rFonts w:hint="eastAsia" w:ascii="宋体" w:hAnsi="宋体"/>
          <w:sz w:val="32"/>
          <w:szCs w:val="32"/>
          <w:lang w:val="en-US" w:eastAsia="zh-CN"/>
        </w:rPr>
        <w:t>六．</w:t>
      </w:r>
      <w:r>
        <w:rPr>
          <w:rFonts w:hint="eastAsia" w:ascii="宋体" w:hAnsi="宋体"/>
          <w:sz w:val="32"/>
          <w:szCs w:val="32"/>
        </w:rPr>
        <w:t>后续维护服务</w:t>
      </w:r>
    </w:p>
    <w:p w14:paraId="044261F0">
      <w:pPr>
        <w:tabs>
          <w:tab w:val="left" w:pos="780"/>
        </w:tabs>
        <w:spacing w:before="156" w:beforeLines="50" w:line="360" w:lineRule="auto"/>
        <w:outlineLvl w:val="0"/>
        <w:rPr>
          <w:rFonts w:ascii="宋体" w:hAnsi="宋体" w:cs="宋体"/>
          <w:szCs w:val="21"/>
        </w:rPr>
      </w:pPr>
      <w:r>
        <w:rPr>
          <w:rFonts w:hint="eastAsia" w:ascii="宋体" w:hAnsi="宋体" w:cs="宋体"/>
          <w:szCs w:val="21"/>
          <w:lang w:val="en-US" w:eastAsia="zh-CN"/>
        </w:rPr>
        <w:t>1.</w:t>
      </w:r>
      <w:r>
        <w:rPr>
          <w:rFonts w:hint="eastAsia" w:ascii="宋体" w:hAnsi="宋体" w:cs="宋体"/>
          <w:szCs w:val="21"/>
        </w:rPr>
        <w:t>软件免费维护期从合同标的验收合格之日算起，期限为</w:t>
      </w:r>
      <w:r>
        <w:rPr>
          <w:rFonts w:hint="eastAsia" w:ascii="宋体" w:hAnsi="宋体" w:cs="宋体"/>
          <w:szCs w:val="21"/>
          <w:u w:val="single"/>
          <w:lang w:val="en-US" w:eastAsia="zh-CN"/>
        </w:rPr>
        <w:t>12</w:t>
      </w:r>
      <w:r>
        <w:rPr>
          <w:rFonts w:hint="eastAsia" w:ascii="宋体" w:hAnsi="宋体" w:cs="宋体"/>
          <w:szCs w:val="21"/>
        </w:rPr>
        <w:t>个月。在免费维护期内，承建商提供技术支持和指导，以及软件的局部改进完善以及故障情况下的现场问题解决。</w:t>
      </w:r>
    </w:p>
    <w:p w14:paraId="56FA5E19">
      <w:pPr>
        <w:tabs>
          <w:tab w:val="left" w:pos="780"/>
        </w:tabs>
        <w:spacing w:before="156" w:beforeLines="50" w:line="360" w:lineRule="auto"/>
        <w:outlineLvl w:val="0"/>
        <w:rPr>
          <w:rFonts w:hint="eastAsia" w:ascii="宋体" w:hAnsi="宋体" w:cs="宋体"/>
          <w:szCs w:val="21"/>
        </w:rPr>
      </w:pPr>
      <w:r>
        <w:rPr>
          <w:rFonts w:hint="eastAsia" w:ascii="宋体" w:hAnsi="宋体" w:cs="宋体"/>
          <w:szCs w:val="21"/>
          <w:lang w:val="en-US" w:eastAsia="zh-CN"/>
        </w:rPr>
        <w:t>2.</w:t>
      </w:r>
      <w:r>
        <w:rPr>
          <w:rFonts w:hint="eastAsia" w:ascii="宋体" w:hAnsi="宋体" w:cs="宋体"/>
          <w:szCs w:val="21"/>
        </w:rPr>
        <w:t>免费维保期内承建商为院方提供维护及服务的部门及固定的专职技术人员。项目提供 7*24 小时响应服务，考试关键节点安排专职技术人员现场保障。</w:t>
      </w:r>
    </w:p>
    <w:p w14:paraId="6F6A45B5">
      <w:pPr>
        <w:tabs>
          <w:tab w:val="left" w:pos="780"/>
        </w:tabs>
        <w:spacing w:before="156" w:beforeLines="50" w:line="360" w:lineRule="auto"/>
        <w:outlineLvl w:val="0"/>
        <w:rPr>
          <w:rFonts w:ascii="宋体" w:hAnsi="宋体" w:cs="宋体"/>
          <w:szCs w:val="21"/>
        </w:rPr>
      </w:pPr>
      <w:r>
        <w:rPr>
          <w:rFonts w:hint="eastAsia" w:ascii="宋体" w:hAnsi="宋体" w:cs="宋体"/>
          <w:szCs w:val="21"/>
          <w:lang w:val="en-US" w:eastAsia="zh-CN"/>
        </w:rPr>
        <w:t>3.</w:t>
      </w:r>
      <w:r>
        <w:rPr>
          <w:rFonts w:hint="eastAsia" w:ascii="宋体" w:hAnsi="宋体" w:cs="宋体"/>
          <w:szCs w:val="21"/>
        </w:rPr>
        <w:t>在免费维护期结束前，须由承建商和院方进行一次全面检查，任何缺陷必须由承建商负责修复，在修复之后，承建商应将缺陷原因、修复内容、完成修理及恢复正常的时间和日期等报告给院方，形成项目总结报告。</w:t>
      </w:r>
    </w:p>
    <w:p w14:paraId="29900E47">
      <w:pPr>
        <w:tabs>
          <w:tab w:val="left" w:pos="780"/>
        </w:tabs>
        <w:spacing w:before="156" w:beforeLines="50" w:line="360" w:lineRule="auto"/>
        <w:ind w:firstLine="420" w:firstLineChars="200"/>
        <w:outlineLvl w:val="0"/>
        <w:rPr>
          <w:rFonts w:ascii="宋体" w:hAnsi="宋体" w:cs="宋体"/>
          <w:szCs w:val="21"/>
        </w:rPr>
      </w:pPr>
      <w:r>
        <w:rPr>
          <w:rFonts w:hint="eastAsia" w:ascii="宋体" w:hAnsi="宋体" w:cs="宋体"/>
          <w:szCs w:val="21"/>
        </w:rPr>
        <w:t>超过免费维护期的，双方另行协商签订维护合同，服务方报价不超过合同软件部分金额的8%。</w:t>
      </w:r>
    </w:p>
    <w:p w14:paraId="69A28E2A">
      <w:pPr>
        <w:pStyle w:val="2"/>
        <w:numPr>
          <w:ilvl w:val="0"/>
          <w:numId w:val="0"/>
        </w:numPr>
        <w:spacing w:before="0" w:after="0"/>
        <w:ind w:leftChars="0"/>
        <w:rPr>
          <w:rFonts w:ascii="宋体" w:hAnsi="宋体"/>
          <w:color w:val="FF0000"/>
          <w:sz w:val="32"/>
          <w:szCs w:val="32"/>
        </w:rPr>
      </w:pPr>
      <w:r>
        <w:rPr>
          <w:rFonts w:hint="eastAsia" w:ascii="宋体" w:hAnsi="宋体"/>
          <w:sz w:val="32"/>
          <w:szCs w:val="32"/>
          <w:lang w:val="en-US" w:eastAsia="zh-CN"/>
        </w:rPr>
        <w:t>七．</w:t>
      </w:r>
      <w:r>
        <w:rPr>
          <w:rFonts w:hint="eastAsia" w:ascii="宋体" w:hAnsi="宋体"/>
          <w:sz w:val="32"/>
          <w:szCs w:val="32"/>
        </w:rPr>
        <w:t>合同款支付方式</w:t>
      </w:r>
    </w:p>
    <w:p w14:paraId="38FE31E7">
      <w:pPr>
        <w:tabs>
          <w:tab w:val="left" w:pos="780"/>
        </w:tabs>
        <w:spacing w:before="156" w:beforeLines="50" w:line="360" w:lineRule="auto"/>
        <w:outlineLvl w:val="0"/>
        <w:rPr>
          <w:rFonts w:hint="eastAsia" w:ascii="宋体" w:hAnsi="宋体" w:cs="宋体"/>
          <w:szCs w:val="21"/>
        </w:rPr>
      </w:pPr>
      <w:r>
        <w:rPr>
          <w:rFonts w:hint="eastAsia" w:ascii="宋体" w:hAnsi="宋体" w:cs="宋体"/>
          <w:szCs w:val="21"/>
        </w:rPr>
        <w:t>服务期开始后，甲方在收到乙方开具相应金额正式发票后，向乙</w:t>
      </w:r>
      <w:bookmarkStart w:id="2" w:name="_GoBack"/>
      <w:bookmarkEnd w:id="2"/>
      <w:r>
        <w:rPr>
          <w:rFonts w:hint="eastAsia" w:ascii="宋体" w:hAnsi="宋体" w:cs="宋体"/>
          <w:szCs w:val="21"/>
        </w:rPr>
        <w:t>方支付合同总金额的</w:t>
      </w:r>
      <w:r>
        <w:rPr>
          <w:rFonts w:hint="eastAsia" w:ascii="宋体" w:hAnsi="宋体" w:cs="宋体"/>
          <w:szCs w:val="21"/>
          <w:lang w:val="en-US" w:eastAsia="zh-CN"/>
        </w:rPr>
        <w:t>10</w:t>
      </w:r>
      <w:r>
        <w:rPr>
          <w:rFonts w:hint="eastAsia" w:ascii="宋体" w:hAnsi="宋体" w:cs="宋体"/>
          <w:szCs w:val="21"/>
        </w:rPr>
        <w:t>0%</w:t>
      </w:r>
    </w:p>
    <w:sectPr>
      <w:footerReference r:id="rId3" w:type="default"/>
      <w:pgSz w:w="11906" w:h="16838"/>
      <w:pgMar w:top="1021" w:right="1418" w:bottom="102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egoe UI Emoji">
    <w:panose1 w:val="020B0502040204020203"/>
    <w:charset w:val="00"/>
    <w:family w:val="auto"/>
    <w:pitch w:val="default"/>
    <w:sig w:usb0="00000001" w:usb1="02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1856A">
    <w:pPr>
      <w:pStyle w:val="15"/>
      <w:ind w:left="1441"/>
      <w:jc w:val="center"/>
      <w:rPr>
        <w:caps/>
        <w:color w:val="5B9BD5"/>
      </w:rPr>
    </w:pPr>
    <w:r>
      <w:rPr>
        <w:caps/>
        <w:color w:val="5B9BD5"/>
      </w:rPr>
      <w:fldChar w:fldCharType="begin"/>
    </w:r>
    <w:r>
      <w:rPr>
        <w:caps/>
        <w:color w:val="5B9BD5"/>
      </w:rPr>
      <w:instrText xml:space="preserve">PAGE   \* MERGEFORMAT</w:instrText>
    </w:r>
    <w:r>
      <w:rPr>
        <w:caps/>
        <w:color w:val="5B9BD5"/>
      </w:rPr>
      <w:fldChar w:fldCharType="separate"/>
    </w:r>
    <w:r>
      <w:rPr>
        <w:caps/>
        <w:color w:val="5B9BD5"/>
        <w:lang w:val="zh-CN" w:eastAsia="zh-CN"/>
      </w:rPr>
      <w:t>1</w:t>
    </w:r>
    <w:r>
      <w:rPr>
        <w:caps/>
        <w:color w:val="5B9BD5"/>
      </w:rPr>
      <w:fldChar w:fldCharType="end"/>
    </w:r>
  </w:p>
  <w:p w14:paraId="364D704B">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015205"/>
    <w:multiLevelType w:val="multilevel"/>
    <w:tmpl w:val="29015205"/>
    <w:lvl w:ilvl="0" w:tentative="0">
      <w:start w:val="1"/>
      <w:numFmt w:val="decimal"/>
      <w:pStyle w:val="2"/>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pStyle w:val="5"/>
      <w:lvlText w:val="5.1.1.%4"/>
      <w:lvlJc w:val="left"/>
      <w:pPr>
        <w:ind w:left="864" w:hanging="864"/>
      </w:pPr>
      <w:rPr>
        <w:rFonts w:hint="eastAsia"/>
      </w:rPr>
    </w:lvl>
    <w:lvl w:ilvl="4" w:tentative="0">
      <w:start w:val="1"/>
      <w:numFmt w:val="decimal"/>
      <w:pStyle w:val="6"/>
      <w:lvlText w:val="5.1.1.1.%5"/>
      <w:lvlJc w:val="left"/>
      <w:pPr>
        <w:ind w:left="2142"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1">
    <w:nsid w:val="3EBB3C91"/>
    <w:multiLevelType w:val="multilevel"/>
    <w:tmpl w:val="3EBB3C91"/>
    <w:lvl w:ilvl="0" w:tentative="0">
      <w:start w:val="1"/>
      <w:numFmt w:val="decimal"/>
      <w:pStyle w:val="57"/>
      <w:lvlText w:val="%1. "/>
      <w:lvlJc w:val="left"/>
      <w:pPr>
        <w:ind w:left="420" w:hanging="420"/>
      </w:pPr>
      <w:rPr>
        <w:rFonts w:hint="default" w:ascii="Times New Roman" w:hAnsi="Times New Roman" w:eastAsia="宋体"/>
        <w:b/>
        <w:i w:val="0"/>
      </w:rPr>
    </w:lvl>
    <w:lvl w:ilvl="1" w:tentative="0">
      <w:start w:val="1"/>
      <w:numFmt w:val="decimal"/>
      <w:pStyle w:val="50"/>
      <w:isLgl/>
      <w:suff w:val="space"/>
      <w:lvlText w:val="%1.%2 "/>
      <w:lvlJc w:val="left"/>
      <w:pPr>
        <w:ind w:left="3913" w:hanging="794"/>
      </w:pPr>
      <w:rPr>
        <w:rFonts w:hint="eastAsia"/>
      </w:rPr>
    </w:lvl>
    <w:lvl w:ilvl="2" w:tentative="0">
      <w:start w:val="1"/>
      <w:numFmt w:val="decimal"/>
      <w:pStyle w:val="56"/>
      <w:isLgl/>
      <w:suff w:val="space"/>
      <w:lvlText w:val="%1.%2.%3 "/>
      <w:lvlJc w:val="left"/>
      <w:pPr>
        <w:ind w:left="907" w:hanging="907"/>
      </w:pPr>
      <w:rPr>
        <w:rFonts w:hint="eastAsia"/>
      </w:rPr>
    </w:lvl>
    <w:lvl w:ilvl="3" w:tentative="0">
      <w:start w:val="1"/>
      <w:numFmt w:val="decimal"/>
      <w:pStyle w:val="55"/>
      <w:isLgl/>
      <w:suff w:val="space"/>
      <w:lvlText w:val="%1.%2.%3.%4 "/>
      <w:lvlJc w:val="left"/>
      <w:pPr>
        <w:ind w:left="1021" w:hanging="1021"/>
      </w:pPr>
      <w:rPr>
        <w:rFonts w:hint="eastAsia"/>
      </w:rPr>
    </w:lvl>
    <w:lvl w:ilvl="4" w:tentative="0">
      <w:start w:val="1"/>
      <w:numFmt w:val="decimal"/>
      <w:pStyle w:val="60"/>
      <w:isLgl/>
      <w:suff w:val="space"/>
      <w:lvlText w:val="%1.%2.%3.%4.%5 "/>
      <w:lvlJc w:val="left"/>
      <w:pPr>
        <w:ind w:left="1134" w:hanging="1134"/>
      </w:pPr>
      <w:rPr>
        <w:rFonts w:hint="eastAsia"/>
      </w:rPr>
    </w:lvl>
    <w:lvl w:ilvl="5" w:tentative="0">
      <w:start w:val="1"/>
      <w:numFmt w:val="decimal"/>
      <w:pStyle w:val="54"/>
      <w:isLgl/>
      <w:suff w:val="space"/>
      <w:lvlText w:val="%1.%2.%3.%4.%5.%6 "/>
      <w:lvlJc w:val="left"/>
      <w:pPr>
        <w:ind w:left="1247" w:hanging="1247"/>
      </w:pPr>
      <w:rPr>
        <w:rFonts w:hint="eastAsia"/>
      </w:rPr>
    </w:lvl>
    <w:lvl w:ilvl="6" w:tentative="0">
      <w:start w:val="1"/>
      <w:numFmt w:val="decimal"/>
      <w:lvlRestart w:val="1"/>
      <w:pStyle w:val="49"/>
      <w:isLgl/>
      <w:suff w:val="space"/>
      <w:lvlText w:val="图 %1.%7 "/>
      <w:lvlJc w:val="left"/>
      <w:pPr>
        <w:ind w:left="0" w:firstLine="0"/>
      </w:pPr>
      <w:rPr>
        <w:rFonts w:hint="eastAsia"/>
      </w:rPr>
    </w:lvl>
    <w:lvl w:ilvl="7" w:tentative="0">
      <w:start w:val="1"/>
      <w:numFmt w:val="decimal"/>
      <w:lvlRestart w:val="1"/>
      <w:pStyle w:val="59"/>
      <w:isLgl/>
      <w:suff w:val="space"/>
      <w:lvlText w:val="表 %1.%8 "/>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43"/>
    <w:rsid w:val="000051D2"/>
    <w:rsid w:val="000079DD"/>
    <w:rsid w:val="00012DCC"/>
    <w:rsid w:val="00016B63"/>
    <w:rsid w:val="00042DAC"/>
    <w:rsid w:val="0004334E"/>
    <w:rsid w:val="00046B39"/>
    <w:rsid w:val="00054706"/>
    <w:rsid w:val="00066DE7"/>
    <w:rsid w:val="00074EDD"/>
    <w:rsid w:val="000757C1"/>
    <w:rsid w:val="00086AE0"/>
    <w:rsid w:val="0009064D"/>
    <w:rsid w:val="00090A18"/>
    <w:rsid w:val="000B41B7"/>
    <w:rsid w:val="000D5317"/>
    <w:rsid w:val="000E276C"/>
    <w:rsid w:val="00106D68"/>
    <w:rsid w:val="001106CE"/>
    <w:rsid w:val="001107F8"/>
    <w:rsid w:val="001116F6"/>
    <w:rsid w:val="001161EB"/>
    <w:rsid w:val="00121E40"/>
    <w:rsid w:val="0012322D"/>
    <w:rsid w:val="00123CDF"/>
    <w:rsid w:val="00123FCC"/>
    <w:rsid w:val="00135BF9"/>
    <w:rsid w:val="001365DD"/>
    <w:rsid w:val="00136606"/>
    <w:rsid w:val="00140E0C"/>
    <w:rsid w:val="0014437A"/>
    <w:rsid w:val="00153AB3"/>
    <w:rsid w:val="00156B1F"/>
    <w:rsid w:val="00162D29"/>
    <w:rsid w:val="00164878"/>
    <w:rsid w:val="00165091"/>
    <w:rsid w:val="00171903"/>
    <w:rsid w:val="0018200C"/>
    <w:rsid w:val="001833B6"/>
    <w:rsid w:val="00190CD2"/>
    <w:rsid w:val="00194BFE"/>
    <w:rsid w:val="001A22A1"/>
    <w:rsid w:val="001B4850"/>
    <w:rsid w:val="001B7966"/>
    <w:rsid w:val="001B7D79"/>
    <w:rsid w:val="001C23B3"/>
    <w:rsid w:val="001C7BC6"/>
    <w:rsid w:val="001D4A68"/>
    <w:rsid w:val="001D7749"/>
    <w:rsid w:val="001E3B38"/>
    <w:rsid w:val="00200054"/>
    <w:rsid w:val="002000DE"/>
    <w:rsid w:val="00202EFF"/>
    <w:rsid w:val="0020509F"/>
    <w:rsid w:val="00207A96"/>
    <w:rsid w:val="00214A6F"/>
    <w:rsid w:val="00221F1F"/>
    <w:rsid w:val="00223E47"/>
    <w:rsid w:val="00241D77"/>
    <w:rsid w:val="002509F5"/>
    <w:rsid w:val="002535AA"/>
    <w:rsid w:val="00261CBC"/>
    <w:rsid w:val="00265DE7"/>
    <w:rsid w:val="00270260"/>
    <w:rsid w:val="002722CA"/>
    <w:rsid w:val="002834D3"/>
    <w:rsid w:val="002853BF"/>
    <w:rsid w:val="00292528"/>
    <w:rsid w:val="002A01D6"/>
    <w:rsid w:val="002A4778"/>
    <w:rsid w:val="002C53D1"/>
    <w:rsid w:val="002D6BE1"/>
    <w:rsid w:val="002F31F1"/>
    <w:rsid w:val="003024F8"/>
    <w:rsid w:val="00303343"/>
    <w:rsid w:val="00303CAB"/>
    <w:rsid w:val="003042A2"/>
    <w:rsid w:val="00304636"/>
    <w:rsid w:val="00311322"/>
    <w:rsid w:val="00314487"/>
    <w:rsid w:val="00314A5A"/>
    <w:rsid w:val="00322973"/>
    <w:rsid w:val="003325F0"/>
    <w:rsid w:val="00341038"/>
    <w:rsid w:val="00352E7C"/>
    <w:rsid w:val="00353276"/>
    <w:rsid w:val="00360458"/>
    <w:rsid w:val="00366980"/>
    <w:rsid w:val="00370A5D"/>
    <w:rsid w:val="003802E2"/>
    <w:rsid w:val="00385E95"/>
    <w:rsid w:val="00385FED"/>
    <w:rsid w:val="00397B7E"/>
    <w:rsid w:val="003A7269"/>
    <w:rsid w:val="003C0FB7"/>
    <w:rsid w:val="003C6D81"/>
    <w:rsid w:val="003D0F80"/>
    <w:rsid w:val="003D2595"/>
    <w:rsid w:val="003E7083"/>
    <w:rsid w:val="003F3286"/>
    <w:rsid w:val="003F629F"/>
    <w:rsid w:val="00403938"/>
    <w:rsid w:val="00413DA3"/>
    <w:rsid w:val="00414171"/>
    <w:rsid w:val="0041787F"/>
    <w:rsid w:val="00423450"/>
    <w:rsid w:val="0042702D"/>
    <w:rsid w:val="00435C81"/>
    <w:rsid w:val="0044060A"/>
    <w:rsid w:val="00440F72"/>
    <w:rsid w:val="004565AA"/>
    <w:rsid w:val="00456A2C"/>
    <w:rsid w:val="004630DC"/>
    <w:rsid w:val="00474AE0"/>
    <w:rsid w:val="0047796F"/>
    <w:rsid w:val="00482931"/>
    <w:rsid w:val="00495574"/>
    <w:rsid w:val="004A44FF"/>
    <w:rsid w:val="004C2C5B"/>
    <w:rsid w:val="004E2D8F"/>
    <w:rsid w:val="004E5E61"/>
    <w:rsid w:val="004F1410"/>
    <w:rsid w:val="00500264"/>
    <w:rsid w:val="00510B1E"/>
    <w:rsid w:val="005120A9"/>
    <w:rsid w:val="00517D7C"/>
    <w:rsid w:val="00520646"/>
    <w:rsid w:val="0052176F"/>
    <w:rsid w:val="0052604B"/>
    <w:rsid w:val="0053088D"/>
    <w:rsid w:val="00534BF6"/>
    <w:rsid w:val="00537CDE"/>
    <w:rsid w:val="005409FC"/>
    <w:rsid w:val="005563D3"/>
    <w:rsid w:val="00575F76"/>
    <w:rsid w:val="005766CE"/>
    <w:rsid w:val="00580F0E"/>
    <w:rsid w:val="00591388"/>
    <w:rsid w:val="0059358B"/>
    <w:rsid w:val="005944F9"/>
    <w:rsid w:val="00596428"/>
    <w:rsid w:val="00596CC5"/>
    <w:rsid w:val="005A4D1C"/>
    <w:rsid w:val="005B046D"/>
    <w:rsid w:val="005B33AE"/>
    <w:rsid w:val="005C49D7"/>
    <w:rsid w:val="005C60FB"/>
    <w:rsid w:val="005C7EF5"/>
    <w:rsid w:val="005D1C7F"/>
    <w:rsid w:val="005D2402"/>
    <w:rsid w:val="005D2BF6"/>
    <w:rsid w:val="005D3A60"/>
    <w:rsid w:val="005E7C53"/>
    <w:rsid w:val="005F0356"/>
    <w:rsid w:val="005F73BC"/>
    <w:rsid w:val="00600923"/>
    <w:rsid w:val="006053FC"/>
    <w:rsid w:val="00612F3F"/>
    <w:rsid w:val="00620E68"/>
    <w:rsid w:val="00623637"/>
    <w:rsid w:val="006279C6"/>
    <w:rsid w:val="00644F1D"/>
    <w:rsid w:val="00646B59"/>
    <w:rsid w:val="006604C2"/>
    <w:rsid w:val="006861F5"/>
    <w:rsid w:val="00697FBB"/>
    <w:rsid w:val="006B2085"/>
    <w:rsid w:val="006B21B8"/>
    <w:rsid w:val="006B7B58"/>
    <w:rsid w:val="006C36EB"/>
    <w:rsid w:val="006D4B15"/>
    <w:rsid w:val="006D59F7"/>
    <w:rsid w:val="006E5E07"/>
    <w:rsid w:val="006F0434"/>
    <w:rsid w:val="00701D12"/>
    <w:rsid w:val="0070239F"/>
    <w:rsid w:val="0072309C"/>
    <w:rsid w:val="0072695B"/>
    <w:rsid w:val="0074224C"/>
    <w:rsid w:val="00750A70"/>
    <w:rsid w:val="00752912"/>
    <w:rsid w:val="007556BE"/>
    <w:rsid w:val="007621CC"/>
    <w:rsid w:val="0076668A"/>
    <w:rsid w:val="00784C08"/>
    <w:rsid w:val="00785EDF"/>
    <w:rsid w:val="00786A29"/>
    <w:rsid w:val="00795F59"/>
    <w:rsid w:val="007C0A5B"/>
    <w:rsid w:val="007D22AB"/>
    <w:rsid w:val="007E71E6"/>
    <w:rsid w:val="007F5726"/>
    <w:rsid w:val="008168FB"/>
    <w:rsid w:val="00822BA6"/>
    <w:rsid w:val="008419E9"/>
    <w:rsid w:val="008548FB"/>
    <w:rsid w:val="008623FD"/>
    <w:rsid w:val="00866774"/>
    <w:rsid w:val="00873B97"/>
    <w:rsid w:val="008A62AC"/>
    <w:rsid w:val="008B2206"/>
    <w:rsid w:val="008C255D"/>
    <w:rsid w:val="008D3291"/>
    <w:rsid w:val="008D59AA"/>
    <w:rsid w:val="008E145D"/>
    <w:rsid w:val="008E2B56"/>
    <w:rsid w:val="008E69C8"/>
    <w:rsid w:val="00900232"/>
    <w:rsid w:val="00900BAA"/>
    <w:rsid w:val="00903734"/>
    <w:rsid w:val="00903878"/>
    <w:rsid w:val="00903CF6"/>
    <w:rsid w:val="009052C7"/>
    <w:rsid w:val="00905FFA"/>
    <w:rsid w:val="0092017A"/>
    <w:rsid w:val="00922032"/>
    <w:rsid w:val="00925C23"/>
    <w:rsid w:val="00927E08"/>
    <w:rsid w:val="009303FA"/>
    <w:rsid w:val="00941F0C"/>
    <w:rsid w:val="00943004"/>
    <w:rsid w:val="00966A88"/>
    <w:rsid w:val="00973A47"/>
    <w:rsid w:val="00981ED8"/>
    <w:rsid w:val="009822C7"/>
    <w:rsid w:val="00982AA3"/>
    <w:rsid w:val="009863EF"/>
    <w:rsid w:val="00986A41"/>
    <w:rsid w:val="0098719A"/>
    <w:rsid w:val="00991FF2"/>
    <w:rsid w:val="0099315B"/>
    <w:rsid w:val="00995DD9"/>
    <w:rsid w:val="009B4476"/>
    <w:rsid w:val="009C1F02"/>
    <w:rsid w:val="009C3783"/>
    <w:rsid w:val="009C4E7E"/>
    <w:rsid w:val="009D6951"/>
    <w:rsid w:val="009D7DD1"/>
    <w:rsid w:val="009E0351"/>
    <w:rsid w:val="009E214B"/>
    <w:rsid w:val="009E53AF"/>
    <w:rsid w:val="009F0270"/>
    <w:rsid w:val="009F61FA"/>
    <w:rsid w:val="00A05796"/>
    <w:rsid w:val="00A13CB0"/>
    <w:rsid w:val="00A14FD8"/>
    <w:rsid w:val="00A22CA1"/>
    <w:rsid w:val="00A4595D"/>
    <w:rsid w:val="00A51146"/>
    <w:rsid w:val="00A61D3A"/>
    <w:rsid w:val="00A66833"/>
    <w:rsid w:val="00A70DCF"/>
    <w:rsid w:val="00A72437"/>
    <w:rsid w:val="00A73FDF"/>
    <w:rsid w:val="00A824B9"/>
    <w:rsid w:val="00A870DD"/>
    <w:rsid w:val="00A96157"/>
    <w:rsid w:val="00A969AF"/>
    <w:rsid w:val="00A9729E"/>
    <w:rsid w:val="00AA1F69"/>
    <w:rsid w:val="00AB348F"/>
    <w:rsid w:val="00AB7D36"/>
    <w:rsid w:val="00AC1390"/>
    <w:rsid w:val="00AC4663"/>
    <w:rsid w:val="00AE1DD2"/>
    <w:rsid w:val="00AE4106"/>
    <w:rsid w:val="00B12138"/>
    <w:rsid w:val="00B17749"/>
    <w:rsid w:val="00B17AE9"/>
    <w:rsid w:val="00B17C05"/>
    <w:rsid w:val="00B20334"/>
    <w:rsid w:val="00B20819"/>
    <w:rsid w:val="00B225B9"/>
    <w:rsid w:val="00B24AB1"/>
    <w:rsid w:val="00B36BD9"/>
    <w:rsid w:val="00B41A4C"/>
    <w:rsid w:val="00B43095"/>
    <w:rsid w:val="00B446CA"/>
    <w:rsid w:val="00B5093C"/>
    <w:rsid w:val="00B54356"/>
    <w:rsid w:val="00B55FE5"/>
    <w:rsid w:val="00B62917"/>
    <w:rsid w:val="00B74609"/>
    <w:rsid w:val="00B752B2"/>
    <w:rsid w:val="00B80E39"/>
    <w:rsid w:val="00B824A5"/>
    <w:rsid w:val="00B8588F"/>
    <w:rsid w:val="00B858F1"/>
    <w:rsid w:val="00B8684C"/>
    <w:rsid w:val="00BA5A2D"/>
    <w:rsid w:val="00BA5B8F"/>
    <w:rsid w:val="00BB2B54"/>
    <w:rsid w:val="00BC3CA1"/>
    <w:rsid w:val="00BC49E5"/>
    <w:rsid w:val="00BC6DB1"/>
    <w:rsid w:val="00BD3194"/>
    <w:rsid w:val="00BD5FA8"/>
    <w:rsid w:val="00BE23E5"/>
    <w:rsid w:val="00BE31E6"/>
    <w:rsid w:val="00BF757E"/>
    <w:rsid w:val="00BF7C0E"/>
    <w:rsid w:val="00BF7F5A"/>
    <w:rsid w:val="00C17719"/>
    <w:rsid w:val="00C20730"/>
    <w:rsid w:val="00C2470A"/>
    <w:rsid w:val="00C335D8"/>
    <w:rsid w:val="00C50E12"/>
    <w:rsid w:val="00C54491"/>
    <w:rsid w:val="00C71B43"/>
    <w:rsid w:val="00C74D8F"/>
    <w:rsid w:val="00C751A9"/>
    <w:rsid w:val="00C766DD"/>
    <w:rsid w:val="00C76BDF"/>
    <w:rsid w:val="00C775CE"/>
    <w:rsid w:val="00C8030E"/>
    <w:rsid w:val="00C91697"/>
    <w:rsid w:val="00C92EAA"/>
    <w:rsid w:val="00CA148F"/>
    <w:rsid w:val="00CA29F9"/>
    <w:rsid w:val="00CB6B73"/>
    <w:rsid w:val="00CC218D"/>
    <w:rsid w:val="00CC6334"/>
    <w:rsid w:val="00CC677A"/>
    <w:rsid w:val="00CD008E"/>
    <w:rsid w:val="00CD49B4"/>
    <w:rsid w:val="00CD6EDC"/>
    <w:rsid w:val="00CE2D1F"/>
    <w:rsid w:val="00CF1561"/>
    <w:rsid w:val="00CF1A40"/>
    <w:rsid w:val="00CF36EF"/>
    <w:rsid w:val="00CF4AE2"/>
    <w:rsid w:val="00D1110F"/>
    <w:rsid w:val="00D15B10"/>
    <w:rsid w:val="00D23E20"/>
    <w:rsid w:val="00D30FA6"/>
    <w:rsid w:val="00D32842"/>
    <w:rsid w:val="00D407EB"/>
    <w:rsid w:val="00D454AB"/>
    <w:rsid w:val="00D536AB"/>
    <w:rsid w:val="00D54E0C"/>
    <w:rsid w:val="00D5537A"/>
    <w:rsid w:val="00D71136"/>
    <w:rsid w:val="00D77F36"/>
    <w:rsid w:val="00D9057D"/>
    <w:rsid w:val="00DA026E"/>
    <w:rsid w:val="00DA576E"/>
    <w:rsid w:val="00DB0A86"/>
    <w:rsid w:val="00DB57B7"/>
    <w:rsid w:val="00DC33CF"/>
    <w:rsid w:val="00DC3415"/>
    <w:rsid w:val="00DD3DE6"/>
    <w:rsid w:val="00DE4534"/>
    <w:rsid w:val="00DF3D3A"/>
    <w:rsid w:val="00DF4228"/>
    <w:rsid w:val="00E06670"/>
    <w:rsid w:val="00E17266"/>
    <w:rsid w:val="00E47752"/>
    <w:rsid w:val="00E53030"/>
    <w:rsid w:val="00E56652"/>
    <w:rsid w:val="00E62C9E"/>
    <w:rsid w:val="00E63369"/>
    <w:rsid w:val="00E63569"/>
    <w:rsid w:val="00E80756"/>
    <w:rsid w:val="00E81F96"/>
    <w:rsid w:val="00E8302B"/>
    <w:rsid w:val="00E83E34"/>
    <w:rsid w:val="00E847A3"/>
    <w:rsid w:val="00E84F8C"/>
    <w:rsid w:val="00E85360"/>
    <w:rsid w:val="00E85641"/>
    <w:rsid w:val="00E85DA4"/>
    <w:rsid w:val="00E86B42"/>
    <w:rsid w:val="00E95892"/>
    <w:rsid w:val="00E97354"/>
    <w:rsid w:val="00EA6408"/>
    <w:rsid w:val="00EC0483"/>
    <w:rsid w:val="00EC33A4"/>
    <w:rsid w:val="00ED0897"/>
    <w:rsid w:val="00ED73FF"/>
    <w:rsid w:val="00ED7F01"/>
    <w:rsid w:val="00EE4612"/>
    <w:rsid w:val="00EE51DE"/>
    <w:rsid w:val="00EE609F"/>
    <w:rsid w:val="00EF5E01"/>
    <w:rsid w:val="00EF6EC0"/>
    <w:rsid w:val="00F02058"/>
    <w:rsid w:val="00F0343C"/>
    <w:rsid w:val="00F04CE5"/>
    <w:rsid w:val="00F13514"/>
    <w:rsid w:val="00F1360F"/>
    <w:rsid w:val="00F16AA8"/>
    <w:rsid w:val="00F21791"/>
    <w:rsid w:val="00F3226A"/>
    <w:rsid w:val="00F33DB0"/>
    <w:rsid w:val="00F45DB8"/>
    <w:rsid w:val="00F54D29"/>
    <w:rsid w:val="00F62BCD"/>
    <w:rsid w:val="00F74B77"/>
    <w:rsid w:val="00F764FE"/>
    <w:rsid w:val="00F80625"/>
    <w:rsid w:val="00F827B6"/>
    <w:rsid w:val="00F92BE5"/>
    <w:rsid w:val="00FA0574"/>
    <w:rsid w:val="00FB68D3"/>
    <w:rsid w:val="00FC4B75"/>
    <w:rsid w:val="00FE7554"/>
    <w:rsid w:val="00FF17FE"/>
    <w:rsid w:val="32FC6F34"/>
    <w:rsid w:val="41303C0B"/>
    <w:rsid w:val="42200080"/>
    <w:rsid w:val="488C513A"/>
    <w:rsid w:val="62B3747D"/>
    <w:rsid w:val="753C3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numPr>
        <w:ilvl w:val="0"/>
        <w:numId w:val="1"/>
      </w:numPr>
      <w:spacing w:before="340" w:after="330" w:line="578" w:lineRule="auto"/>
      <w:outlineLvl w:val="0"/>
    </w:pPr>
    <w:rPr>
      <w:b/>
      <w:bCs/>
      <w:kern w:val="44"/>
      <w:sz w:val="44"/>
      <w:szCs w:val="44"/>
      <w:lang w:val="zh-CN" w:eastAsia="zh-CN"/>
    </w:rPr>
  </w:style>
  <w:style w:type="paragraph" w:styleId="3">
    <w:name w:val="heading 2"/>
    <w:basedOn w:val="1"/>
    <w:next w:val="1"/>
    <w:link w:val="25"/>
    <w:qFormat/>
    <w:uiPriority w:val="0"/>
    <w:pPr>
      <w:keepNext/>
      <w:keepLines/>
      <w:spacing w:before="260" w:after="260" w:line="416" w:lineRule="auto"/>
      <w:outlineLvl w:val="1"/>
    </w:pPr>
    <w:rPr>
      <w:rFonts w:ascii="等线 Light" w:hAnsi="等线 Light" w:eastAsia="等线 Light"/>
      <w:b/>
      <w:bCs/>
      <w:sz w:val="32"/>
      <w:szCs w:val="32"/>
      <w:lang w:val="zh-CN" w:eastAsia="zh-CN"/>
    </w:rPr>
  </w:style>
  <w:style w:type="paragraph" w:styleId="4">
    <w:name w:val="heading 3"/>
    <w:basedOn w:val="1"/>
    <w:next w:val="1"/>
    <w:link w:val="26"/>
    <w:qFormat/>
    <w:uiPriority w:val="0"/>
    <w:pPr>
      <w:keepNext/>
      <w:keepLines/>
      <w:spacing w:before="260" w:after="260" w:line="416" w:lineRule="auto"/>
      <w:outlineLvl w:val="2"/>
    </w:pPr>
    <w:rPr>
      <w:b/>
      <w:bCs/>
      <w:sz w:val="30"/>
      <w:szCs w:val="30"/>
      <w:lang w:val="zh-CN" w:eastAsia="zh-CN"/>
    </w:rPr>
  </w:style>
  <w:style w:type="paragraph" w:styleId="5">
    <w:name w:val="heading 4"/>
    <w:basedOn w:val="1"/>
    <w:next w:val="1"/>
    <w:link w:val="27"/>
    <w:qFormat/>
    <w:uiPriority w:val="0"/>
    <w:pPr>
      <w:keepNext/>
      <w:keepLines/>
      <w:numPr>
        <w:ilvl w:val="3"/>
        <w:numId w:val="1"/>
      </w:numPr>
      <w:spacing w:before="280" w:after="290" w:line="376" w:lineRule="auto"/>
      <w:outlineLvl w:val="3"/>
    </w:pPr>
    <w:rPr>
      <w:rFonts w:ascii="宋体" w:hAnsi="宋体"/>
      <w:b/>
      <w:bCs/>
      <w:sz w:val="28"/>
      <w:szCs w:val="28"/>
      <w:lang w:val="zh-CN" w:eastAsia="zh-CN"/>
    </w:rPr>
  </w:style>
  <w:style w:type="paragraph" w:styleId="6">
    <w:name w:val="heading 5"/>
    <w:basedOn w:val="1"/>
    <w:next w:val="1"/>
    <w:link w:val="28"/>
    <w:qFormat/>
    <w:uiPriority w:val="0"/>
    <w:pPr>
      <w:keepNext/>
      <w:keepLines/>
      <w:numPr>
        <w:ilvl w:val="4"/>
        <w:numId w:val="1"/>
      </w:numPr>
      <w:spacing w:before="280" w:after="290" w:line="376" w:lineRule="auto"/>
      <w:outlineLvl w:val="4"/>
    </w:pPr>
    <w:rPr>
      <w:b/>
      <w:bCs/>
      <w:sz w:val="28"/>
      <w:szCs w:val="28"/>
      <w:lang w:val="zh-CN" w:eastAsia="zh-CN"/>
    </w:rPr>
  </w:style>
  <w:style w:type="paragraph" w:styleId="7">
    <w:name w:val="heading 6"/>
    <w:basedOn w:val="1"/>
    <w:next w:val="1"/>
    <w:link w:val="29"/>
    <w:qFormat/>
    <w:uiPriority w:val="0"/>
    <w:pPr>
      <w:keepNext/>
      <w:keepLines/>
      <w:numPr>
        <w:ilvl w:val="5"/>
        <w:numId w:val="1"/>
      </w:numPr>
      <w:spacing w:before="240" w:after="64" w:line="320" w:lineRule="auto"/>
      <w:outlineLvl w:val="5"/>
    </w:pPr>
    <w:rPr>
      <w:rFonts w:ascii="等线 Light" w:hAnsi="等线 Light" w:eastAsia="等线 Light"/>
      <w:b/>
      <w:bCs/>
      <w:sz w:val="24"/>
      <w:lang w:val="zh-CN" w:eastAsia="zh-CN"/>
    </w:rPr>
  </w:style>
  <w:style w:type="paragraph" w:styleId="8">
    <w:name w:val="heading 7"/>
    <w:basedOn w:val="1"/>
    <w:next w:val="1"/>
    <w:link w:val="30"/>
    <w:qFormat/>
    <w:uiPriority w:val="0"/>
    <w:pPr>
      <w:keepNext/>
      <w:keepLines/>
      <w:numPr>
        <w:ilvl w:val="6"/>
        <w:numId w:val="1"/>
      </w:numPr>
      <w:spacing w:before="240" w:after="64" w:line="320" w:lineRule="auto"/>
      <w:outlineLvl w:val="6"/>
    </w:pPr>
    <w:rPr>
      <w:b/>
      <w:bCs/>
      <w:sz w:val="24"/>
      <w:lang w:val="zh-CN" w:eastAsia="zh-CN"/>
    </w:rPr>
  </w:style>
  <w:style w:type="paragraph" w:styleId="9">
    <w:name w:val="heading 8"/>
    <w:basedOn w:val="1"/>
    <w:next w:val="1"/>
    <w:link w:val="31"/>
    <w:qFormat/>
    <w:uiPriority w:val="0"/>
    <w:pPr>
      <w:keepNext/>
      <w:keepLines/>
      <w:numPr>
        <w:ilvl w:val="7"/>
        <w:numId w:val="1"/>
      </w:numPr>
      <w:spacing w:before="240" w:after="64" w:line="320" w:lineRule="auto"/>
      <w:outlineLvl w:val="7"/>
    </w:pPr>
    <w:rPr>
      <w:rFonts w:ascii="等线 Light" w:hAnsi="等线 Light" w:eastAsia="等线 Light"/>
      <w:sz w:val="24"/>
      <w:lang w:val="zh-CN" w:eastAsia="zh-CN"/>
    </w:rPr>
  </w:style>
  <w:style w:type="paragraph" w:styleId="10">
    <w:name w:val="heading 9"/>
    <w:basedOn w:val="1"/>
    <w:next w:val="1"/>
    <w:link w:val="32"/>
    <w:qFormat/>
    <w:uiPriority w:val="0"/>
    <w:pPr>
      <w:keepNext/>
      <w:keepLines/>
      <w:numPr>
        <w:ilvl w:val="8"/>
        <w:numId w:val="1"/>
      </w:numPr>
      <w:spacing w:before="240" w:after="64" w:line="320" w:lineRule="auto"/>
      <w:outlineLvl w:val="8"/>
    </w:pPr>
    <w:rPr>
      <w:rFonts w:ascii="等线 Light" w:hAnsi="等线 Light" w:eastAsia="等线 Light"/>
      <w:szCs w:val="21"/>
      <w:lang w:val="zh-CN" w:eastAsia="zh-CN"/>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Normal Indent"/>
    <w:basedOn w:val="1"/>
    <w:link w:val="33"/>
    <w:qFormat/>
    <w:uiPriority w:val="99"/>
    <w:pPr>
      <w:spacing w:before="120" w:beforeLines="50" w:line="360" w:lineRule="auto"/>
      <w:ind w:firstLine="512" w:firstLineChars="200"/>
    </w:pPr>
    <w:rPr>
      <w:spacing w:val="8"/>
      <w:sz w:val="24"/>
      <w:szCs w:val="20"/>
      <w:lang w:val="en-US" w:eastAsia="zh-CN"/>
    </w:rPr>
  </w:style>
  <w:style w:type="paragraph" w:styleId="12">
    <w:name w:val="annotation text"/>
    <w:basedOn w:val="1"/>
    <w:link w:val="34"/>
    <w:unhideWhenUsed/>
    <w:qFormat/>
    <w:uiPriority w:val="0"/>
    <w:pPr>
      <w:jc w:val="left"/>
    </w:pPr>
    <w:rPr>
      <w:kern w:val="0"/>
      <w:sz w:val="20"/>
      <w:lang w:val="zh-CN" w:eastAsia="zh-CN"/>
    </w:rPr>
  </w:style>
  <w:style w:type="paragraph" w:styleId="13">
    <w:name w:val="Plain Text"/>
    <w:basedOn w:val="1"/>
    <w:link w:val="35"/>
    <w:qFormat/>
    <w:uiPriority w:val="0"/>
    <w:rPr>
      <w:rFonts w:ascii="Calibri" w:hAnsi="Courier New"/>
      <w:szCs w:val="20"/>
      <w:lang w:val="zh-CN" w:eastAsia="zh-CN"/>
    </w:rPr>
  </w:style>
  <w:style w:type="paragraph" w:styleId="14">
    <w:name w:val="Balloon Text"/>
    <w:basedOn w:val="1"/>
    <w:link w:val="36"/>
    <w:qFormat/>
    <w:uiPriority w:val="0"/>
    <w:rPr>
      <w:sz w:val="18"/>
      <w:szCs w:val="18"/>
      <w:lang w:val="zh-CN" w:eastAsia="zh-CN"/>
    </w:rPr>
  </w:style>
  <w:style w:type="paragraph" w:styleId="15">
    <w:name w:val="footer"/>
    <w:basedOn w:val="1"/>
    <w:link w:val="37"/>
    <w:qFormat/>
    <w:uiPriority w:val="0"/>
    <w:pPr>
      <w:tabs>
        <w:tab w:val="center" w:pos="4153"/>
        <w:tab w:val="right" w:pos="8306"/>
      </w:tabs>
      <w:snapToGrid w:val="0"/>
      <w:jc w:val="left"/>
    </w:pPr>
    <w:rPr>
      <w:sz w:val="18"/>
      <w:szCs w:val="18"/>
      <w:lang w:val="zh-CN" w:eastAsia="zh-CN"/>
    </w:rPr>
  </w:style>
  <w:style w:type="paragraph" w:styleId="16">
    <w:name w:val="header"/>
    <w:basedOn w:val="1"/>
    <w:link w:val="38"/>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7">
    <w:name w:val="Subtitle"/>
    <w:basedOn w:val="1"/>
    <w:next w:val="1"/>
    <w:link w:val="63"/>
    <w:qFormat/>
    <w:uiPriority w:val="0"/>
    <w:pPr>
      <w:spacing w:before="240" w:beforeLines="50" w:after="60" w:line="312" w:lineRule="auto"/>
      <w:ind w:firstLine="200" w:firstLineChars="200"/>
      <w:jc w:val="center"/>
      <w:outlineLvl w:val="1"/>
    </w:pPr>
    <w:rPr>
      <w:rFonts w:ascii="Cambria" w:hAnsi="Cambria"/>
      <w:b/>
      <w:bCs/>
      <w:kern w:val="28"/>
      <w:sz w:val="32"/>
      <w:szCs w:val="32"/>
      <w:lang w:eastAsia="en-US"/>
    </w:rPr>
  </w:style>
  <w:style w:type="paragraph" w:styleId="1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20">
    <w:name w:val="Table Grid"/>
    <w:basedOn w:val="1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Hyperlink"/>
    <w:qFormat/>
    <w:uiPriority w:val="0"/>
    <w:rPr>
      <w:color w:val="0563C1"/>
      <w:u w:val="single"/>
    </w:rPr>
  </w:style>
  <w:style w:type="character" w:styleId="23">
    <w:name w:val="annotation reference"/>
    <w:unhideWhenUsed/>
    <w:qFormat/>
    <w:uiPriority w:val="99"/>
    <w:rPr>
      <w:sz w:val="21"/>
      <w:szCs w:val="21"/>
    </w:rPr>
  </w:style>
  <w:style w:type="character" w:customStyle="1" w:styleId="24">
    <w:name w:val="标题 1 Char"/>
    <w:link w:val="2"/>
    <w:qFormat/>
    <w:uiPriority w:val="0"/>
    <w:rPr>
      <w:b/>
      <w:bCs/>
      <w:kern w:val="44"/>
      <w:sz w:val="44"/>
      <w:szCs w:val="44"/>
      <w:lang w:val="zh-CN" w:eastAsia="zh-CN"/>
    </w:rPr>
  </w:style>
  <w:style w:type="character" w:customStyle="1" w:styleId="25">
    <w:name w:val="标题 2 Char"/>
    <w:link w:val="3"/>
    <w:qFormat/>
    <w:uiPriority w:val="0"/>
    <w:rPr>
      <w:rFonts w:ascii="等线 Light" w:hAnsi="等线 Light" w:eastAsia="等线 Light" w:cs="Times New Roman"/>
      <w:b/>
      <w:bCs/>
      <w:kern w:val="2"/>
      <w:sz w:val="32"/>
      <w:szCs w:val="32"/>
    </w:rPr>
  </w:style>
  <w:style w:type="character" w:customStyle="1" w:styleId="26">
    <w:name w:val="标题 3 Char"/>
    <w:link w:val="4"/>
    <w:qFormat/>
    <w:uiPriority w:val="0"/>
    <w:rPr>
      <w:b/>
      <w:bCs/>
      <w:kern w:val="2"/>
      <w:sz w:val="30"/>
      <w:szCs w:val="30"/>
    </w:rPr>
  </w:style>
  <w:style w:type="character" w:customStyle="1" w:styleId="27">
    <w:name w:val="标题 4 Char"/>
    <w:link w:val="5"/>
    <w:qFormat/>
    <w:uiPriority w:val="0"/>
    <w:rPr>
      <w:rFonts w:ascii="宋体" w:hAnsi="宋体"/>
      <w:b/>
      <w:bCs/>
      <w:kern w:val="2"/>
      <w:sz w:val="28"/>
      <w:szCs w:val="28"/>
    </w:rPr>
  </w:style>
  <w:style w:type="character" w:customStyle="1" w:styleId="28">
    <w:name w:val="标题 5 Char"/>
    <w:link w:val="6"/>
    <w:qFormat/>
    <w:uiPriority w:val="0"/>
    <w:rPr>
      <w:b/>
      <w:bCs/>
      <w:kern w:val="2"/>
      <w:sz w:val="28"/>
      <w:szCs w:val="28"/>
    </w:rPr>
  </w:style>
  <w:style w:type="character" w:customStyle="1" w:styleId="29">
    <w:name w:val="标题 6 Char"/>
    <w:link w:val="7"/>
    <w:semiHidden/>
    <w:qFormat/>
    <w:uiPriority w:val="0"/>
    <w:rPr>
      <w:rFonts w:ascii="等线 Light" w:hAnsi="等线 Light" w:eastAsia="等线 Light"/>
      <w:b/>
      <w:bCs/>
      <w:kern w:val="2"/>
      <w:sz w:val="24"/>
      <w:szCs w:val="24"/>
    </w:rPr>
  </w:style>
  <w:style w:type="character" w:customStyle="1" w:styleId="30">
    <w:name w:val="标题 7 Char"/>
    <w:link w:val="8"/>
    <w:semiHidden/>
    <w:qFormat/>
    <w:uiPriority w:val="0"/>
    <w:rPr>
      <w:b/>
      <w:bCs/>
      <w:kern w:val="2"/>
      <w:sz w:val="24"/>
      <w:szCs w:val="24"/>
    </w:rPr>
  </w:style>
  <w:style w:type="character" w:customStyle="1" w:styleId="31">
    <w:name w:val="标题 8 Char"/>
    <w:link w:val="9"/>
    <w:semiHidden/>
    <w:qFormat/>
    <w:uiPriority w:val="0"/>
    <w:rPr>
      <w:rFonts w:ascii="等线 Light" w:hAnsi="等线 Light" w:eastAsia="等线 Light"/>
      <w:kern w:val="2"/>
      <w:sz w:val="24"/>
      <w:szCs w:val="24"/>
    </w:rPr>
  </w:style>
  <w:style w:type="character" w:customStyle="1" w:styleId="32">
    <w:name w:val="标题 9 Char"/>
    <w:link w:val="10"/>
    <w:semiHidden/>
    <w:qFormat/>
    <w:uiPriority w:val="0"/>
    <w:rPr>
      <w:rFonts w:ascii="等线 Light" w:hAnsi="等线 Light" w:eastAsia="等线 Light"/>
      <w:kern w:val="2"/>
      <w:sz w:val="21"/>
      <w:szCs w:val="21"/>
    </w:rPr>
  </w:style>
  <w:style w:type="character" w:customStyle="1" w:styleId="33">
    <w:name w:val="正文缩进 Char"/>
    <w:link w:val="11"/>
    <w:qFormat/>
    <w:uiPriority w:val="99"/>
    <w:rPr>
      <w:spacing w:val="8"/>
      <w:kern w:val="2"/>
      <w:sz w:val="24"/>
      <w:lang w:val="en-US" w:eastAsia="zh-CN"/>
    </w:rPr>
  </w:style>
  <w:style w:type="character" w:customStyle="1" w:styleId="34">
    <w:name w:val="批注文字 Char"/>
    <w:link w:val="12"/>
    <w:qFormat/>
    <w:uiPriority w:val="0"/>
    <w:rPr>
      <w:szCs w:val="24"/>
    </w:rPr>
  </w:style>
  <w:style w:type="character" w:customStyle="1" w:styleId="35">
    <w:name w:val="纯文本 Char"/>
    <w:link w:val="13"/>
    <w:qFormat/>
    <w:uiPriority w:val="0"/>
    <w:rPr>
      <w:rFonts w:ascii="Calibri" w:hAnsi="Courier New"/>
      <w:kern w:val="2"/>
      <w:sz w:val="21"/>
    </w:rPr>
  </w:style>
  <w:style w:type="character" w:customStyle="1" w:styleId="36">
    <w:name w:val="批注框文本 Char"/>
    <w:link w:val="14"/>
    <w:qFormat/>
    <w:uiPriority w:val="0"/>
    <w:rPr>
      <w:kern w:val="2"/>
      <w:sz w:val="18"/>
      <w:szCs w:val="18"/>
    </w:rPr>
  </w:style>
  <w:style w:type="character" w:customStyle="1" w:styleId="37">
    <w:name w:val="页脚 Char"/>
    <w:link w:val="15"/>
    <w:qFormat/>
    <w:uiPriority w:val="0"/>
    <w:rPr>
      <w:kern w:val="2"/>
      <w:sz w:val="18"/>
      <w:szCs w:val="18"/>
    </w:rPr>
  </w:style>
  <w:style w:type="character" w:customStyle="1" w:styleId="38">
    <w:name w:val="页眉 Char"/>
    <w:link w:val="16"/>
    <w:qFormat/>
    <w:uiPriority w:val="0"/>
    <w:rPr>
      <w:kern w:val="2"/>
      <w:sz w:val="18"/>
      <w:szCs w:val="18"/>
    </w:rPr>
  </w:style>
  <w:style w:type="character" w:customStyle="1" w:styleId="39">
    <w:name w:val="已访问的超链接1"/>
    <w:qFormat/>
    <w:uiPriority w:val="0"/>
    <w:rPr>
      <w:color w:val="800080"/>
      <w:u w:val="single"/>
    </w:rPr>
  </w:style>
  <w:style w:type="character" w:customStyle="1" w:styleId="40">
    <w:name w:val="正文（首行缩进2字符） Char"/>
    <w:link w:val="41"/>
    <w:qFormat/>
    <w:uiPriority w:val="0"/>
    <w:rPr>
      <w:kern w:val="2"/>
      <w:sz w:val="24"/>
      <w:szCs w:val="24"/>
    </w:rPr>
  </w:style>
  <w:style w:type="paragraph" w:customStyle="1" w:styleId="41">
    <w:name w:val="正文（首行缩进2字符）"/>
    <w:basedOn w:val="1"/>
    <w:link w:val="40"/>
    <w:qFormat/>
    <w:uiPriority w:val="0"/>
    <w:pPr>
      <w:spacing w:line="360" w:lineRule="auto"/>
      <w:ind w:firstLine="480" w:firstLineChars="200"/>
    </w:pPr>
    <w:rPr>
      <w:sz w:val="24"/>
      <w:lang w:val="zh-CN" w:eastAsia="zh-CN"/>
    </w:rPr>
  </w:style>
  <w:style w:type="character" w:customStyle="1" w:styleId="42">
    <w:name w:val="段落 Char1"/>
    <w:link w:val="43"/>
    <w:qFormat/>
    <w:uiPriority w:val="0"/>
    <w:rPr>
      <w:rFonts w:eastAsia="仿宋_GB2312"/>
      <w:sz w:val="24"/>
      <w:szCs w:val="24"/>
      <w:lang w:val="en-US" w:eastAsia="zh-CN" w:bidi="ar-SA"/>
    </w:rPr>
  </w:style>
  <w:style w:type="paragraph" w:customStyle="1" w:styleId="43">
    <w:name w:val="段落"/>
    <w:link w:val="42"/>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sz w:val="24"/>
      <w:szCs w:val="24"/>
      <w:lang w:val="en-US" w:eastAsia="zh-CN" w:bidi="ar-SA"/>
    </w:rPr>
  </w:style>
  <w:style w:type="character" w:customStyle="1" w:styleId="44">
    <w:name w:val="正文（安华金和） Char"/>
    <w:link w:val="45"/>
    <w:qFormat/>
    <w:uiPriority w:val="0"/>
    <w:rPr>
      <w:rFonts w:ascii="Arial" w:hAnsi="Arial"/>
      <w:sz w:val="21"/>
      <w:szCs w:val="21"/>
      <w:lang w:val="en-US" w:eastAsia="zh-CN" w:bidi="ar-SA"/>
    </w:rPr>
  </w:style>
  <w:style w:type="paragraph" w:customStyle="1" w:styleId="45">
    <w:name w:val="正文（安华金和）"/>
    <w:link w:val="44"/>
    <w:qFormat/>
    <w:uiPriority w:val="0"/>
    <w:pPr>
      <w:widowControl w:val="0"/>
      <w:spacing w:line="360" w:lineRule="auto"/>
      <w:ind w:firstLine="200"/>
    </w:pPr>
    <w:rPr>
      <w:rFonts w:ascii="Arial" w:hAnsi="Arial" w:eastAsia="宋体" w:cs="Times New Roman"/>
      <w:sz w:val="21"/>
      <w:szCs w:val="21"/>
      <w:lang w:val="en-US" w:eastAsia="zh-CN" w:bidi="ar-SA"/>
    </w:rPr>
  </w:style>
  <w:style w:type="character" w:customStyle="1" w:styleId="46">
    <w:name w:val="页脚 字符"/>
    <w:qFormat/>
    <w:uiPriority w:val="99"/>
  </w:style>
  <w:style w:type="character" w:customStyle="1" w:styleId="47">
    <w:name w:val="列出段落 Char"/>
    <w:link w:val="48"/>
    <w:qFormat/>
    <w:uiPriority w:val="34"/>
    <w:rPr>
      <w:rFonts w:ascii="等线" w:hAnsi="等线" w:eastAsia="等线"/>
      <w:kern w:val="2"/>
      <w:sz w:val="21"/>
      <w:szCs w:val="22"/>
    </w:rPr>
  </w:style>
  <w:style w:type="paragraph" w:styleId="48">
    <w:name w:val="List Paragraph"/>
    <w:basedOn w:val="1"/>
    <w:link w:val="47"/>
    <w:qFormat/>
    <w:uiPriority w:val="34"/>
    <w:pPr>
      <w:ind w:firstLine="420" w:firstLineChars="200"/>
    </w:pPr>
    <w:rPr>
      <w:rFonts w:ascii="等线" w:hAnsi="等线" w:eastAsia="等线"/>
      <w:szCs w:val="22"/>
      <w:lang w:val="zh-CN" w:eastAsia="zh-CN"/>
    </w:rPr>
  </w:style>
  <w:style w:type="paragraph" w:customStyle="1" w:styleId="49">
    <w:name w:val="插图标注（安华金和）"/>
    <w:next w:val="1"/>
    <w:qFormat/>
    <w:uiPriority w:val="0"/>
    <w:pPr>
      <w:numPr>
        <w:ilvl w:val="6"/>
        <w:numId w:val="2"/>
      </w:numPr>
      <w:spacing w:after="156"/>
      <w:jc w:val="center"/>
    </w:pPr>
    <w:rPr>
      <w:rFonts w:ascii="Arial" w:hAnsi="Arial" w:eastAsia="宋体" w:cs="Arial"/>
      <w:sz w:val="21"/>
      <w:szCs w:val="21"/>
      <w:lang w:val="en-US" w:eastAsia="zh-CN" w:bidi="ar-SA"/>
    </w:rPr>
  </w:style>
  <w:style w:type="paragraph" w:customStyle="1" w:styleId="50">
    <w:name w:val="标题 2（DBSec）"/>
    <w:basedOn w:val="3"/>
    <w:next w:val="1"/>
    <w:qFormat/>
    <w:uiPriority w:val="0"/>
    <w:pPr>
      <w:numPr>
        <w:ilvl w:val="1"/>
        <w:numId w:val="2"/>
      </w:numPr>
      <w:spacing w:line="415" w:lineRule="auto"/>
      <w:ind w:left="794" w:leftChars="200"/>
      <w:jc w:val="left"/>
    </w:pPr>
    <w:rPr>
      <w:rFonts w:ascii="Arial" w:hAnsi="Arial" w:eastAsia="黑体"/>
      <w:bCs w:val="0"/>
    </w:rPr>
  </w:style>
  <w:style w:type="paragraph" w:customStyle="1" w:styleId="51">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52">
    <w:name w:val="_Style 27"/>
    <w:basedOn w:val="1"/>
    <w:next w:val="48"/>
    <w:qFormat/>
    <w:uiPriority w:val="34"/>
    <w:pPr>
      <w:widowControl/>
      <w:spacing w:line="240" w:lineRule="atLeast"/>
      <w:ind w:firstLine="420" w:firstLineChars="200"/>
    </w:pPr>
    <w:rPr>
      <w:rFonts w:ascii="Arial" w:hAnsi="Arial"/>
      <w:kern w:val="0"/>
      <w:szCs w:val="21"/>
    </w:rPr>
  </w:style>
  <w:style w:type="paragraph" w:customStyle="1" w:styleId="53">
    <w:name w:val="列出段落2"/>
    <w:basedOn w:val="1"/>
    <w:qFormat/>
    <w:uiPriority w:val="99"/>
    <w:pPr>
      <w:widowControl/>
      <w:spacing w:line="240" w:lineRule="atLeast"/>
      <w:ind w:firstLine="420" w:firstLineChars="200"/>
    </w:pPr>
    <w:rPr>
      <w:rFonts w:ascii="Arial" w:hAnsi="Arial"/>
      <w:kern w:val="0"/>
      <w:szCs w:val="21"/>
    </w:rPr>
  </w:style>
  <w:style w:type="paragraph" w:customStyle="1" w:styleId="54">
    <w:name w:val="标题 6（有编号）（安华金和）"/>
    <w:basedOn w:val="1"/>
    <w:next w:val="1"/>
    <w:qFormat/>
    <w:uiPriority w:val="0"/>
    <w:pPr>
      <w:keepNext/>
      <w:keepLines/>
      <w:numPr>
        <w:ilvl w:val="5"/>
        <w:numId w:val="2"/>
      </w:numPr>
      <w:spacing w:before="240" w:after="64" w:line="319" w:lineRule="auto"/>
      <w:ind w:left="0"/>
      <w:jc w:val="left"/>
      <w:outlineLvl w:val="5"/>
    </w:pPr>
    <w:rPr>
      <w:rFonts w:ascii="Arial" w:hAnsi="Arial" w:eastAsia="黑体"/>
      <w:b/>
      <w:kern w:val="0"/>
    </w:rPr>
  </w:style>
  <w:style w:type="paragraph" w:customStyle="1" w:styleId="55">
    <w:name w:val="标题 4（DBSec）"/>
    <w:basedOn w:val="5"/>
    <w:next w:val="1"/>
    <w:qFormat/>
    <w:uiPriority w:val="0"/>
    <w:pPr>
      <w:widowControl/>
      <w:numPr>
        <w:numId w:val="2"/>
      </w:numPr>
      <w:spacing w:after="156"/>
      <w:ind w:leftChars="200"/>
      <w:jc w:val="left"/>
    </w:pPr>
    <w:rPr>
      <w:rFonts w:ascii="Arial" w:hAnsi="Arial" w:eastAsia="黑体"/>
      <w:bCs w:val="0"/>
      <w:kern w:val="0"/>
    </w:rPr>
  </w:style>
  <w:style w:type="paragraph" w:customStyle="1" w:styleId="56">
    <w:name w:val="标题 3（DBSec）"/>
    <w:basedOn w:val="4"/>
    <w:next w:val="1"/>
    <w:qFormat/>
    <w:uiPriority w:val="0"/>
    <w:pPr>
      <w:numPr>
        <w:ilvl w:val="2"/>
        <w:numId w:val="2"/>
      </w:numPr>
      <w:tabs>
        <w:tab w:val="left" w:pos="960"/>
      </w:tabs>
      <w:spacing w:line="415" w:lineRule="auto"/>
      <w:ind w:leftChars="200"/>
      <w:jc w:val="left"/>
    </w:pPr>
    <w:rPr>
      <w:rFonts w:ascii="Arial" w:hAnsi="Arial" w:eastAsia="黑体"/>
      <w:bCs w:val="0"/>
      <w:kern w:val="0"/>
    </w:rPr>
  </w:style>
  <w:style w:type="paragraph" w:customStyle="1" w:styleId="57">
    <w:name w:val="标题 1（DBSec）"/>
    <w:basedOn w:val="2"/>
    <w:next w:val="1"/>
    <w:qFormat/>
    <w:uiPriority w:val="0"/>
    <w:pPr>
      <w:pageBreakBefore/>
      <w:numPr>
        <w:numId w:val="2"/>
      </w:numPr>
      <w:pBdr>
        <w:bottom w:val="single" w:color="auto" w:sz="48" w:space="1"/>
      </w:pBdr>
      <w:spacing w:before="600" w:line="576" w:lineRule="auto"/>
      <w:ind w:leftChars="200"/>
      <w:jc w:val="left"/>
    </w:pPr>
    <w:rPr>
      <w:rFonts w:ascii="Arial" w:hAnsi="Arial" w:eastAsia="黑体"/>
      <w:lang w:val="en-US" w:eastAsia="zh-CN"/>
    </w:rPr>
  </w:style>
  <w:style w:type="paragraph" w:customStyle="1" w:styleId="58">
    <w:name w:val="彩色列表 - 着色 11"/>
    <w:basedOn w:val="1"/>
    <w:qFormat/>
    <w:uiPriority w:val="34"/>
    <w:pPr>
      <w:spacing w:line="360" w:lineRule="auto"/>
      <w:ind w:firstLine="420" w:firstLineChars="200"/>
    </w:pPr>
    <w:rPr>
      <w:rFonts w:ascii="Arial" w:hAnsi="Arial"/>
      <w:szCs w:val="21"/>
    </w:rPr>
  </w:style>
  <w:style w:type="paragraph" w:customStyle="1" w:styleId="59">
    <w:name w:val="表格标注（安华金和）"/>
    <w:basedOn w:val="49"/>
    <w:next w:val="1"/>
    <w:qFormat/>
    <w:uiPriority w:val="0"/>
    <w:pPr>
      <w:numPr>
        <w:ilvl w:val="7"/>
      </w:numPr>
    </w:pPr>
  </w:style>
  <w:style w:type="paragraph" w:customStyle="1" w:styleId="60">
    <w:name w:val="标题 5（有编号）（安华金和）"/>
    <w:basedOn w:val="1"/>
    <w:next w:val="1"/>
    <w:qFormat/>
    <w:uiPriority w:val="0"/>
    <w:pPr>
      <w:keepNext/>
      <w:keepLines/>
      <w:numPr>
        <w:ilvl w:val="4"/>
        <w:numId w:val="2"/>
      </w:numPr>
      <w:spacing w:before="280" w:after="156" w:line="377" w:lineRule="auto"/>
      <w:ind w:left="0"/>
      <w:jc w:val="left"/>
      <w:outlineLvl w:val="4"/>
    </w:pPr>
    <w:rPr>
      <w:rFonts w:ascii="Arial" w:hAnsi="Arial" w:eastAsia="黑体"/>
      <w:b/>
      <w:kern w:val="0"/>
      <w:sz w:val="24"/>
      <w:szCs w:val="28"/>
    </w:rPr>
  </w:style>
  <w:style w:type="paragraph" w:customStyle="1" w:styleId="61">
    <w:name w:val="List Paragraph11"/>
    <w:basedOn w:val="1"/>
    <w:next w:val="1"/>
    <w:qFormat/>
    <w:uiPriority w:val="34"/>
    <w:pPr>
      <w:spacing w:line="360" w:lineRule="auto"/>
      <w:ind w:firstLine="420" w:firstLineChars="200"/>
    </w:pPr>
    <w:rPr>
      <w:rFonts w:ascii="Verdana" w:hAnsi="Verdana"/>
      <w:color w:val="000000"/>
      <w:sz w:val="20"/>
      <w:szCs w:val="20"/>
    </w:rPr>
  </w:style>
  <w:style w:type="character" w:customStyle="1" w:styleId="62">
    <w:name w:val="批注文字 字符"/>
    <w:qFormat/>
    <w:uiPriority w:val="99"/>
    <w:rPr>
      <w:kern w:val="2"/>
      <w:sz w:val="21"/>
      <w:szCs w:val="24"/>
    </w:rPr>
  </w:style>
  <w:style w:type="character" w:customStyle="1" w:styleId="63">
    <w:name w:val="副标题 字符"/>
    <w:link w:val="17"/>
    <w:qFormat/>
    <w:uiPriority w:val="0"/>
    <w:rPr>
      <w:rFonts w:ascii="Cambria" w:hAnsi="Cambria"/>
      <w:b/>
      <w:bCs/>
      <w:kern w:val="28"/>
      <w:sz w:val="32"/>
      <w:szCs w:val="3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2064</Words>
  <Characters>2168</Characters>
  <Lines>10</Lines>
  <Paragraphs>2</Paragraphs>
  <TotalTime>3</TotalTime>
  <ScaleCrop>false</ScaleCrop>
  <LinksUpToDate>false</LinksUpToDate>
  <CharactersWithSpaces>2170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2022-01-06T02:42:00Z</dcterms:created>
  <dc:creator>陈永辉</dc:creator>
  <cp:lastModifiedBy>刘亮</cp:lastModifiedBy>
  <dcterms:modified xsi:type="dcterms:W3CDTF">2026-09-11T01:32:13Z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9A06D756334440559148CDF983ECCBEA_13</vt:lpwstr>
  </property>
  <property fmtid="{D5CDD505-2E9C-101B-9397-08002B2CF9AE}" pid="4" name="KSOTemplateDocerSaveRecord">
    <vt:lpwstr>eyJoZGlkIjoiN2QyMWRkYjJiOWE2ZjEwYTBjM2IzY2M0MmUzMDY1YjUiLCJ1c2VySWQiOiIzNDM3MTE1NjEifQ==</vt:lpwstr>
  </property>
</Properties>
</file>