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163EC">
      <w:pPr>
        <w:spacing w:beforeLines="200" w:afterLines="100" w:line="360" w:lineRule="auto"/>
        <w:jc w:val="center"/>
        <w:rPr>
          <w:rFonts w:ascii="宋体" w:hAnsi="宋体"/>
          <w:b/>
          <w:sz w:val="44"/>
          <w:szCs w:val="30"/>
        </w:rPr>
      </w:pPr>
      <w:r>
        <w:rPr>
          <w:rFonts w:hint="eastAsia" w:ascii="宋体" w:hAnsi="宋体"/>
          <w:b/>
          <w:sz w:val="44"/>
          <w:szCs w:val="30"/>
          <w:lang w:val="en-US" w:eastAsia="zh-CN"/>
        </w:rPr>
        <w:t>万方医学网数据库（包括万方知识服务平台）</w:t>
      </w:r>
      <w:r>
        <w:rPr>
          <w:rFonts w:hint="eastAsia" w:ascii="宋体" w:hAnsi="宋体"/>
          <w:b/>
          <w:sz w:val="44"/>
          <w:szCs w:val="30"/>
        </w:rPr>
        <w:t>采购项目（202</w:t>
      </w:r>
      <w:r>
        <w:rPr>
          <w:rFonts w:hint="eastAsia" w:ascii="宋体" w:hAnsi="宋体"/>
          <w:b/>
          <w:sz w:val="44"/>
          <w:szCs w:val="30"/>
          <w:lang w:val="en-US" w:eastAsia="zh-CN"/>
        </w:rPr>
        <w:t>6</w:t>
      </w:r>
      <w:r>
        <w:rPr>
          <w:rFonts w:hint="eastAsia" w:ascii="宋体" w:hAnsi="宋体"/>
          <w:b/>
          <w:sz w:val="44"/>
          <w:szCs w:val="30"/>
        </w:rPr>
        <w:t>年）项目需求</w:t>
      </w:r>
    </w:p>
    <w:p w14:paraId="4DD438C0">
      <w:pPr>
        <w:pStyle w:val="2"/>
        <w:numPr>
          <w:ilvl w:val="0"/>
          <w:numId w:val="0"/>
        </w:numPr>
        <w:spacing w:before="0" w:after="0"/>
        <w:ind w:leftChars="0"/>
        <w:rPr>
          <w:rFonts w:hint="eastAsia" w:ascii="宋体" w:hAnsi="宋体"/>
          <w:sz w:val="32"/>
          <w:szCs w:val="32"/>
        </w:rPr>
      </w:pPr>
    </w:p>
    <w:p w14:paraId="6B75610A">
      <w:pPr>
        <w:pStyle w:val="2"/>
        <w:numPr>
          <w:ilvl w:val="0"/>
          <w:numId w:val="0"/>
        </w:numPr>
        <w:spacing w:before="0" w:after="0"/>
        <w:ind w:leftChars="0"/>
        <w:rPr>
          <w:rFonts w:ascii="宋体" w:hAnsi="宋体"/>
          <w:sz w:val="32"/>
          <w:szCs w:val="32"/>
        </w:rPr>
      </w:pPr>
      <w:r>
        <w:rPr>
          <w:rFonts w:hint="eastAsia" w:ascii="宋体" w:hAnsi="宋体"/>
          <w:sz w:val="32"/>
          <w:szCs w:val="32"/>
          <w:lang w:val="en-US" w:eastAsia="zh-CN"/>
        </w:rPr>
        <w:t>一、</w:t>
      </w:r>
      <w:r>
        <w:rPr>
          <w:rFonts w:hint="eastAsia" w:ascii="宋体" w:hAnsi="宋体"/>
          <w:sz w:val="32"/>
          <w:szCs w:val="32"/>
        </w:rPr>
        <w:t>项目名称</w:t>
      </w:r>
    </w:p>
    <w:p w14:paraId="191C4DBE">
      <w:pPr>
        <w:spacing w:line="360" w:lineRule="auto"/>
        <w:ind w:left="432"/>
        <w:rPr>
          <w:rFonts w:ascii="宋体" w:hAnsi="宋体"/>
          <w:sz w:val="24"/>
        </w:rPr>
      </w:pPr>
      <w:r>
        <w:rPr>
          <w:rFonts w:hint="eastAsia" w:ascii="宋体" w:hAnsi="宋体"/>
          <w:sz w:val="24"/>
        </w:rPr>
        <w:t>项目名称：万方医学网数据库（包括万方知识服务平台）采购项目（202</w:t>
      </w:r>
      <w:r>
        <w:rPr>
          <w:rFonts w:hint="eastAsia" w:ascii="宋体" w:hAnsi="宋体"/>
          <w:sz w:val="24"/>
          <w:lang w:val="en-US" w:eastAsia="zh-CN"/>
        </w:rPr>
        <w:t>6</w:t>
      </w:r>
      <w:bookmarkStart w:id="3" w:name="_GoBack"/>
      <w:bookmarkEnd w:id="3"/>
      <w:r>
        <w:rPr>
          <w:rFonts w:hint="eastAsia" w:ascii="宋体" w:hAnsi="宋体"/>
          <w:sz w:val="24"/>
        </w:rPr>
        <w:t>年）</w:t>
      </w:r>
    </w:p>
    <w:p w14:paraId="34D17223">
      <w:pPr>
        <w:pStyle w:val="2"/>
        <w:numPr>
          <w:ilvl w:val="0"/>
          <w:numId w:val="0"/>
        </w:numPr>
        <w:spacing w:before="0" w:after="0"/>
        <w:ind w:leftChars="0"/>
        <w:rPr>
          <w:rFonts w:ascii="宋体" w:hAnsi="宋体"/>
          <w:sz w:val="32"/>
          <w:szCs w:val="32"/>
        </w:rPr>
      </w:pPr>
      <w:r>
        <w:rPr>
          <w:rFonts w:hint="eastAsia" w:ascii="宋体" w:hAnsi="宋体"/>
          <w:sz w:val="32"/>
          <w:szCs w:val="32"/>
          <w:lang w:val="en-US" w:eastAsia="zh-CN"/>
        </w:rPr>
        <w:t>二、</w:t>
      </w:r>
      <w:r>
        <w:rPr>
          <w:rFonts w:hint="eastAsia" w:ascii="宋体" w:hAnsi="宋体"/>
          <w:sz w:val="32"/>
          <w:szCs w:val="32"/>
        </w:rPr>
        <w:t>项目内容</w:t>
      </w:r>
    </w:p>
    <w:p w14:paraId="3563C2D0"/>
    <w:tbl>
      <w:tblPr>
        <w:tblStyle w:val="19"/>
        <w:tblW w:w="9750" w:type="dxa"/>
        <w:tblInd w:w="-2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5"/>
        <w:gridCol w:w="4055"/>
        <w:gridCol w:w="1413"/>
        <w:gridCol w:w="3357"/>
      </w:tblGrid>
      <w:tr w14:paraId="32DF9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trPr>
        <w:tc>
          <w:tcPr>
            <w:tcW w:w="925" w:type="dxa"/>
            <w:vAlign w:val="center"/>
          </w:tcPr>
          <w:p w14:paraId="1BCF9A83">
            <w:pPr>
              <w:jc w:val="center"/>
              <w:rPr>
                <w:rFonts w:ascii="宋体" w:hAnsi="宋体" w:cs="宋体"/>
                <w:b/>
                <w:sz w:val="24"/>
              </w:rPr>
            </w:pPr>
            <w:r>
              <w:rPr>
                <w:rFonts w:hint="eastAsia" w:ascii="宋体" w:hAnsi="宋体" w:cs="宋体"/>
                <w:b/>
                <w:sz w:val="24"/>
              </w:rPr>
              <w:t>序号</w:t>
            </w:r>
          </w:p>
        </w:tc>
        <w:tc>
          <w:tcPr>
            <w:tcW w:w="4055" w:type="dxa"/>
          </w:tcPr>
          <w:p w14:paraId="70037DEB">
            <w:pPr>
              <w:widowControl/>
              <w:jc w:val="center"/>
              <w:rPr>
                <w:rFonts w:ascii="宋体" w:hAnsi="宋体" w:cs="宋体"/>
                <w:b/>
                <w:bCs/>
                <w:color w:val="000000"/>
                <w:sz w:val="24"/>
              </w:rPr>
            </w:pPr>
            <w:r>
              <w:rPr>
                <w:rFonts w:hint="eastAsia" w:ascii="宋体" w:hAnsi="宋体" w:cs="宋体"/>
                <w:b/>
                <w:bCs/>
                <w:color w:val="000000"/>
                <w:sz w:val="24"/>
              </w:rPr>
              <w:t>内容</w:t>
            </w:r>
          </w:p>
        </w:tc>
        <w:tc>
          <w:tcPr>
            <w:tcW w:w="1413" w:type="dxa"/>
          </w:tcPr>
          <w:p w14:paraId="7AC7644E">
            <w:pPr>
              <w:widowControl/>
              <w:jc w:val="center"/>
              <w:rPr>
                <w:rFonts w:ascii="宋体" w:hAnsi="宋体" w:cs="宋体"/>
                <w:b/>
                <w:bCs/>
                <w:color w:val="000000"/>
                <w:sz w:val="24"/>
              </w:rPr>
            </w:pPr>
            <w:r>
              <w:rPr>
                <w:rFonts w:hint="eastAsia" w:ascii="宋体" w:hAnsi="宋体" w:cs="宋体"/>
                <w:b/>
                <w:bCs/>
                <w:color w:val="000000"/>
                <w:sz w:val="24"/>
              </w:rPr>
              <w:t>服务期限</w:t>
            </w:r>
          </w:p>
        </w:tc>
        <w:tc>
          <w:tcPr>
            <w:tcW w:w="3357" w:type="dxa"/>
          </w:tcPr>
          <w:p w14:paraId="5E2DFC17">
            <w:pPr>
              <w:widowControl/>
              <w:jc w:val="center"/>
              <w:rPr>
                <w:rFonts w:ascii="宋体" w:hAnsi="宋体" w:cs="宋体"/>
                <w:b/>
                <w:bCs/>
                <w:color w:val="000000"/>
                <w:sz w:val="24"/>
              </w:rPr>
            </w:pPr>
            <w:r>
              <w:rPr>
                <w:rFonts w:hint="eastAsia" w:ascii="宋体" w:hAnsi="宋体" w:cs="宋体"/>
                <w:b/>
                <w:bCs/>
                <w:color w:val="000000"/>
                <w:sz w:val="24"/>
              </w:rPr>
              <w:t>备注</w:t>
            </w:r>
          </w:p>
        </w:tc>
      </w:tr>
      <w:tr w14:paraId="49498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trPr>
        <w:tc>
          <w:tcPr>
            <w:tcW w:w="925" w:type="dxa"/>
            <w:vAlign w:val="center"/>
          </w:tcPr>
          <w:p w14:paraId="1BF3ED40">
            <w:pPr>
              <w:jc w:val="center"/>
              <w:rPr>
                <w:rFonts w:ascii="宋体" w:hAnsi="宋体" w:cs="宋体"/>
                <w:sz w:val="24"/>
              </w:rPr>
            </w:pPr>
            <w:r>
              <w:rPr>
                <w:rFonts w:ascii="宋体" w:hAnsi="宋体" w:cs="宋体"/>
                <w:sz w:val="24"/>
              </w:rPr>
              <w:t>1</w:t>
            </w:r>
          </w:p>
        </w:tc>
        <w:tc>
          <w:tcPr>
            <w:tcW w:w="4055" w:type="dxa"/>
            <w:vAlign w:val="center"/>
          </w:tcPr>
          <w:p w14:paraId="55186654">
            <w:pPr>
              <w:jc w:val="left"/>
              <w:rPr>
                <w:rFonts w:ascii="宋体" w:hAnsi="宋体" w:cs="宋体"/>
                <w:sz w:val="24"/>
              </w:rPr>
            </w:pPr>
            <w:r>
              <w:rPr>
                <w:rFonts w:hint="eastAsia" w:ascii="宋体" w:hAnsi="宋体"/>
                <w:sz w:val="21"/>
                <w:lang w:eastAsia="zh-CN"/>
              </w:rPr>
              <w:t>《</w:t>
            </w:r>
            <w:r>
              <w:rPr>
                <w:rFonts w:ascii="宋体" w:hAnsi="宋体" w:eastAsia="宋体"/>
                <w:sz w:val="21"/>
                <w:lang w:eastAsia="zh-CN"/>
              </w:rPr>
              <w:t>万方医学网中文医学期刊</w:t>
            </w:r>
            <w:r>
              <w:rPr>
                <w:rFonts w:hint="eastAsia" w:ascii="宋体" w:hAnsi="宋体"/>
                <w:sz w:val="21"/>
                <w:lang w:eastAsia="zh-CN"/>
              </w:rPr>
              <w:t>》</w:t>
            </w:r>
          </w:p>
        </w:tc>
        <w:tc>
          <w:tcPr>
            <w:tcW w:w="1413" w:type="dxa"/>
            <w:vAlign w:val="center"/>
          </w:tcPr>
          <w:p w14:paraId="4CC7B80A">
            <w:pPr>
              <w:jc w:val="center"/>
              <w:rPr>
                <w:rFonts w:ascii="宋体" w:hAnsi="宋体" w:cs="宋体"/>
                <w:sz w:val="24"/>
              </w:rPr>
            </w:pPr>
            <w:r>
              <w:rPr>
                <w:rFonts w:hint="eastAsia" w:ascii="宋体" w:hAnsi="宋体" w:cs="宋体"/>
                <w:sz w:val="24"/>
              </w:rPr>
              <w:t>1年</w:t>
            </w:r>
          </w:p>
        </w:tc>
        <w:tc>
          <w:tcPr>
            <w:tcW w:w="3357" w:type="dxa"/>
          </w:tcPr>
          <w:p w14:paraId="7586970D">
            <w:pPr>
              <w:rPr>
                <w:rFonts w:ascii="宋体" w:hAnsi="宋体" w:cs="宋体"/>
                <w:sz w:val="24"/>
              </w:rPr>
            </w:pPr>
            <w:r>
              <w:rPr>
                <w:rFonts w:hint="eastAsia" w:ascii="宋体" w:hAnsi="宋体" w:cs="宋体"/>
                <w:sz w:val="24"/>
              </w:rPr>
              <w:t>服务期</w:t>
            </w:r>
            <w:r>
              <w:rPr>
                <w:rFonts w:hint="eastAsia" w:ascii="宋体" w:hAnsi="宋体" w:cs="宋体"/>
                <w:sz w:val="24"/>
                <w:lang w:eastAsia="zh-CN"/>
              </w:rPr>
              <w:t>限</w:t>
            </w:r>
            <w:r>
              <w:rPr>
                <w:rFonts w:hint="eastAsia" w:ascii="宋体" w:hAnsi="宋体" w:cs="宋体"/>
                <w:sz w:val="24"/>
                <w:lang w:val="en-US" w:eastAsia="zh-CN"/>
              </w:rPr>
              <w:t>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r w14:paraId="080B1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trPr>
        <w:tc>
          <w:tcPr>
            <w:tcW w:w="925" w:type="dxa"/>
            <w:vAlign w:val="center"/>
          </w:tcPr>
          <w:p w14:paraId="3461E4A8">
            <w:pPr>
              <w:jc w:val="center"/>
              <w:rPr>
                <w:rFonts w:ascii="宋体" w:hAnsi="宋体" w:cs="宋体"/>
                <w:sz w:val="24"/>
              </w:rPr>
            </w:pPr>
            <w:r>
              <w:rPr>
                <w:rFonts w:hint="eastAsia" w:ascii="宋体" w:hAnsi="宋体" w:cs="宋体"/>
                <w:sz w:val="24"/>
              </w:rPr>
              <w:t>2</w:t>
            </w:r>
          </w:p>
        </w:tc>
        <w:tc>
          <w:tcPr>
            <w:tcW w:w="4055" w:type="dxa"/>
            <w:vAlign w:val="center"/>
          </w:tcPr>
          <w:p w14:paraId="5AA730E6">
            <w:pPr>
              <w:jc w:val="left"/>
              <w:rPr>
                <w:rFonts w:ascii="宋体" w:hAnsi="宋体" w:cs="宋体"/>
                <w:sz w:val="24"/>
              </w:rPr>
            </w:pPr>
            <w:r>
              <w:rPr>
                <w:rFonts w:hint="eastAsia" w:ascii="宋体" w:hAnsi="宋体"/>
                <w:sz w:val="21"/>
                <w:lang w:eastAsia="zh-CN"/>
              </w:rPr>
              <w:t>《</w:t>
            </w:r>
            <w:r>
              <w:rPr>
                <w:rFonts w:ascii="宋体" w:hAnsi="宋体" w:eastAsia="宋体"/>
                <w:sz w:val="21"/>
                <w:lang w:eastAsia="zh-CN"/>
              </w:rPr>
              <w:t>万方医学网期刊评价/作者/机构空间</w:t>
            </w:r>
            <w:r>
              <w:rPr>
                <w:rFonts w:hint="eastAsia" w:ascii="宋体" w:hAnsi="宋体"/>
                <w:sz w:val="21"/>
                <w:lang w:eastAsia="zh-CN"/>
              </w:rPr>
              <w:t>》</w:t>
            </w:r>
          </w:p>
        </w:tc>
        <w:tc>
          <w:tcPr>
            <w:tcW w:w="1413" w:type="dxa"/>
            <w:vAlign w:val="center"/>
          </w:tcPr>
          <w:p w14:paraId="3D499E6E">
            <w:pPr>
              <w:jc w:val="center"/>
              <w:rPr>
                <w:rFonts w:ascii="宋体" w:hAnsi="宋体" w:cs="宋体"/>
                <w:sz w:val="24"/>
              </w:rPr>
            </w:pPr>
            <w:r>
              <w:rPr>
                <w:rFonts w:hint="eastAsia" w:ascii="宋体" w:hAnsi="宋体" w:cs="宋体"/>
                <w:sz w:val="24"/>
              </w:rPr>
              <w:t>1年</w:t>
            </w:r>
          </w:p>
        </w:tc>
        <w:tc>
          <w:tcPr>
            <w:tcW w:w="3357" w:type="dxa"/>
          </w:tcPr>
          <w:p w14:paraId="7F82D30D">
            <w:pPr>
              <w:rPr>
                <w:rFonts w:ascii="宋体" w:hAnsi="宋体" w:cs="宋体"/>
                <w:sz w:val="24"/>
              </w:rPr>
            </w:pPr>
            <w:r>
              <w:rPr>
                <w:rFonts w:hint="eastAsia" w:ascii="宋体" w:hAnsi="宋体" w:cs="宋体"/>
                <w:sz w:val="24"/>
              </w:rPr>
              <w:t>服务期</w:t>
            </w:r>
            <w:r>
              <w:rPr>
                <w:rFonts w:hint="eastAsia" w:ascii="宋体" w:hAnsi="宋体" w:cs="宋体"/>
                <w:sz w:val="24"/>
                <w:lang w:eastAsia="zh-CN"/>
              </w:rPr>
              <w:t>限</w:t>
            </w:r>
            <w:r>
              <w:rPr>
                <w:rFonts w:hint="eastAsia" w:ascii="宋体" w:hAnsi="宋体" w:cs="宋体"/>
                <w:sz w:val="24"/>
                <w:lang w:val="en-US" w:eastAsia="zh-CN"/>
              </w:rPr>
              <w:t>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ascii="宋体" w:hAnsi="宋体" w:cs="宋体"/>
                <w:sz w:val="24"/>
              </w:rPr>
              <w:t>1</w:t>
            </w:r>
            <w:r>
              <w:rPr>
                <w:rFonts w:hint="eastAsia" w:ascii="宋体" w:hAnsi="宋体" w:cs="宋体"/>
                <w:sz w:val="24"/>
                <w:lang w:val="en-US" w:eastAsia="zh-CN"/>
              </w:rPr>
              <w:t>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r w14:paraId="07416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vAlign w:val="center"/>
          </w:tcPr>
          <w:p w14:paraId="1955820B">
            <w:pPr>
              <w:jc w:val="center"/>
              <w:rPr>
                <w:rFonts w:ascii="宋体" w:hAnsi="宋体" w:cs="宋体"/>
                <w:sz w:val="24"/>
              </w:rPr>
            </w:pPr>
            <w:r>
              <w:rPr>
                <w:rFonts w:hint="eastAsia" w:ascii="宋体" w:hAnsi="宋体" w:cs="宋体"/>
                <w:sz w:val="24"/>
              </w:rPr>
              <w:t>3</w:t>
            </w:r>
          </w:p>
        </w:tc>
        <w:tc>
          <w:tcPr>
            <w:tcW w:w="4055" w:type="dxa"/>
            <w:vAlign w:val="center"/>
          </w:tcPr>
          <w:p w14:paraId="19C7B547">
            <w:pPr>
              <w:jc w:val="left"/>
              <w:rPr>
                <w:rFonts w:hint="eastAsia" w:ascii="宋体" w:hAnsi="宋体" w:eastAsia="宋体" w:cs="宋体"/>
                <w:sz w:val="24"/>
                <w:lang w:eastAsia="zh-CN"/>
              </w:rPr>
            </w:pPr>
            <w:r>
              <w:rPr>
                <w:rFonts w:hint="eastAsia" w:ascii="宋体" w:hAnsi="宋体"/>
                <w:sz w:val="21"/>
                <w:lang w:eastAsia="zh-CN"/>
              </w:rPr>
              <w:t>《</w:t>
            </w:r>
            <w:r>
              <w:rPr>
                <w:rFonts w:ascii="宋体" w:hAnsi="宋体" w:eastAsia="宋体"/>
                <w:sz w:val="21"/>
              </w:rPr>
              <w:t>万方医学网临床指南</w:t>
            </w:r>
            <w:r>
              <w:rPr>
                <w:rFonts w:hint="eastAsia" w:ascii="宋体" w:hAnsi="宋体"/>
                <w:sz w:val="21"/>
                <w:lang w:eastAsia="zh-CN"/>
              </w:rPr>
              <w:t>》</w:t>
            </w:r>
          </w:p>
        </w:tc>
        <w:tc>
          <w:tcPr>
            <w:tcW w:w="1413" w:type="dxa"/>
          </w:tcPr>
          <w:p w14:paraId="1B15A977">
            <w:pPr>
              <w:jc w:val="center"/>
              <w:rPr>
                <w:rFonts w:ascii="宋体" w:hAnsi="宋体" w:cs="宋体"/>
                <w:sz w:val="24"/>
              </w:rPr>
            </w:pPr>
            <w:r>
              <w:rPr>
                <w:rFonts w:hint="eastAsia" w:ascii="宋体" w:hAnsi="宋体" w:cs="宋体"/>
                <w:sz w:val="24"/>
              </w:rPr>
              <w:t>1年</w:t>
            </w:r>
          </w:p>
        </w:tc>
        <w:tc>
          <w:tcPr>
            <w:tcW w:w="3357" w:type="dxa"/>
          </w:tcPr>
          <w:p w14:paraId="0B362236">
            <w:pPr>
              <w:rPr>
                <w:rFonts w:ascii="宋体" w:hAnsi="宋体" w:cs="宋体"/>
                <w:sz w:val="24"/>
              </w:rPr>
            </w:pPr>
            <w:r>
              <w:rPr>
                <w:rFonts w:hint="eastAsia" w:ascii="宋体" w:hAnsi="宋体" w:cs="宋体"/>
                <w:sz w:val="24"/>
              </w:rPr>
              <w:t>服务期</w:t>
            </w:r>
            <w:r>
              <w:rPr>
                <w:rFonts w:hint="eastAsia" w:ascii="宋体" w:hAnsi="宋体" w:cs="宋体"/>
                <w:sz w:val="24"/>
                <w:lang w:eastAsia="zh-CN"/>
              </w:rPr>
              <w:t>限</w:t>
            </w:r>
            <w:r>
              <w:rPr>
                <w:rFonts w:hint="eastAsia" w:ascii="宋体" w:hAnsi="宋体" w:cs="宋体"/>
                <w:sz w:val="24"/>
                <w:lang w:val="en-US" w:eastAsia="zh-CN"/>
              </w:rPr>
              <w:t>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rPr>
              <w:t>7年</w:t>
            </w:r>
            <w:r>
              <w:rPr>
                <w:rFonts w:ascii="宋体" w:hAnsi="宋体" w:cs="宋体"/>
                <w:sz w:val="24"/>
              </w:rPr>
              <w:t>1</w:t>
            </w:r>
            <w:r>
              <w:rPr>
                <w:rFonts w:hint="eastAsia" w:ascii="宋体" w:hAnsi="宋体" w:cs="宋体"/>
                <w:sz w:val="24"/>
                <w:lang w:val="en-US" w:eastAsia="zh-CN"/>
              </w:rPr>
              <w:t>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r w14:paraId="241B8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vAlign w:val="center"/>
          </w:tcPr>
          <w:p w14:paraId="1616A54B">
            <w:pPr>
              <w:jc w:val="center"/>
              <w:rPr>
                <w:rFonts w:ascii="宋体" w:hAnsi="宋体" w:cs="宋体"/>
                <w:sz w:val="24"/>
              </w:rPr>
            </w:pPr>
            <w:r>
              <w:rPr>
                <w:rFonts w:hint="eastAsia" w:ascii="宋体" w:hAnsi="宋体" w:cs="宋体"/>
                <w:sz w:val="24"/>
              </w:rPr>
              <w:t>4</w:t>
            </w:r>
          </w:p>
        </w:tc>
        <w:tc>
          <w:tcPr>
            <w:tcW w:w="4055" w:type="dxa"/>
            <w:vAlign w:val="center"/>
          </w:tcPr>
          <w:p w14:paraId="5E30CC38">
            <w:pPr>
              <w:jc w:val="left"/>
              <w:rPr>
                <w:rFonts w:ascii="宋体" w:hAnsi="宋体" w:cs="宋体"/>
                <w:sz w:val="24"/>
              </w:rPr>
            </w:pPr>
            <w:r>
              <w:rPr>
                <w:rFonts w:hint="eastAsia" w:ascii="宋体" w:hAnsi="宋体"/>
                <w:sz w:val="21"/>
                <w:lang w:eastAsia="zh-CN"/>
              </w:rPr>
              <w:t>《</w:t>
            </w:r>
            <w:r>
              <w:rPr>
                <w:rFonts w:ascii="宋体" w:hAnsi="宋体" w:eastAsia="宋体"/>
                <w:sz w:val="21"/>
                <w:lang w:eastAsia="zh-CN"/>
              </w:rPr>
              <w:t>万方医学网中文医学会议</w:t>
            </w:r>
            <w:r>
              <w:rPr>
                <w:rFonts w:hint="eastAsia" w:ascii="宋体" w:hAnsi="宋体"/>
                <w:sz w:val="21"/>
                <w:lang w:eastAsia="zh-CN"/>
              </w:rPr>
              <w:t>》</w:t>
            </w:r>
          </w:p>
        </w:tc>
        <w:tc>
          <w:tcPr>
            <w:tcW w:w="1413" w:type="dxa"/>
          </w:tcPr>
          <w:p w14:paraId="05F63875">
            <w:pPr>
              <w:jc w:val="center"/>
              <w:rPr>
                <w:rFonts w:ascii="宋体" w:hAnsi="宋体" w:cs="宋体"/>
                <w:sz w:val="24"/>
              </w:rPr>
            </w:pPr>
            <w:r>
              <w:rPr>
                <w:rFonts w:hint="eastAsia" w:ascii="宋体" w:hAnsi="宋体" w:cs="宋体"/>
                <w:sz w:val="24"/>
              </w:rPr>
              <w:t>1年</w:t>
            </w:r>
          </w:p>
        </w:tc>
        <w:tc>
          <w:tcPr>
            <w:tcW w:w="3357" w:type="dxa"/>
          </w:tcPr>
          <w:p w14:paraId="3E7F6112">
            <w:pPr>
              <w:rPr>
                <w:rFonts w:ascii="宋体" w:hAnsi="宋体" w:cs="宋体"/>
                <w:sz w:val="24"/>
              </w:rPr>
            </w:pPr>
            <w:r>
              <w:rPr>
                <w:rFonts w:hint="eastAsia" w:ascii="宋体" w:hAnsi="宋体" w:cs="宋体"/>
                <w:sz w:val="24"/>
              </w:rPr>
              <w:t>服务期</w:t>
            </w:r>
            <w:r>
              <w:rPr>
                <w:rFonts w:hint="eastAsia" w:ascii="宋体" w:hAnsi="宋体" w:cs="宋体"/>
                <w:sz w:val="24"/>
                <w:lang w:val="en-US" w:eastAsia="zh-CN"/>
              </w:rPr>
              <w:t>限自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rPr>
              <w:t>7年</w:t>
            </w:r>
            <w:r>
              <w:rPr>
                <w:rFonts w:ascii="宋体" w:hAnsi="宋体" w:cs="宋体"/>
                <w:sz w:val="24"/>
              </w:rPr>
              <w:t>1</w:t>
            </w:r>
            <w:r>
              <w:rPr>
                <w:rFonts w:hint="eastAsia" w:ascii="宋体" w:hAnsi="宋体" w:cs="宋体"/>
                <w:sz w:val="24"/>
                <w:lang w:val="en-US" w:eastAsia="zh-CN"/>
              </w:rPr>
              <w:t>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r w14:paraId="31252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vAlign w:val="center"/>
          </w:tcPr>
          <w:p w14:paraId="612E8EE8">
            <w:pPr>
              <w:jc w:val="center"/>
              <w:rPr>
                <w:rFonts w:hint="eastAsia" w:ascii="宋体" w:hAnsi="宋体" w:eastAsia="宋体" w:cs="宋体"/>
                <w:sz w:val="24"/>
                <w:lang w:val="en-US" w:eastAsia="zh-CN"/>
              </w:rPr>
            </w:pPr>
            <w:r>
              <w:rPr>
                <w:rFonts w:hint="eastAsia" w:ascii="宋体" w:hAnsi="宋体" w:cs="宋体"/>
                <w:sz w:val="24"/>
                <w:lang w:val="en-US" w:eastAsia="zh-CN"/>
              </w:rPr>
              <w:t>5</w:t>
            </w:r>
          </w:p>
        </w:tc>
        <w:tc>
          <w:tcPr>
            <w:tcW w:w="4055" w:type="dxa"/>
            <w:shd w:val="clear" w:color="auto" w:fill="auto"/>
            <w:vAlign w:val="top"/>
          </w:tcPr>
          <w:p w14:paraId="4BBDC668">
            <w:pPr>
              <w:jc w:val="left"/>
              <w:rPr>
                <w:rFonts w:hint="eastAsia" w:ascii="Times New Roman" w:hAnsi="Times New Roman" w:eastAsia="宋体" w:cs="Times New Roman"/>
                <w:kern w:val="2"/>
                <w:sz w:val="21"/>
                <w:szCs w:val="24"/>
                <w:lang w:val="en-US" w:eastAsia="zh-CN" w:bidi="ar-SA"/>
              </w:rPr>
            </w:pPr>
            <w:r>
              <w:rPr>
                <w:rFonts w:hint="eastAsia" w:ascii="宋体" w:hAnsi="宋体"/>
                <w:sz w:val="21"/>
                <w:lang w:eastAsia="zh-CN"/>
              </w:rPr>
              <w:t>《万方医学网中文医药学位论文》</w:t>
            </w:r>
          </w:p>
        </w:tc>
        <w:tc>
          <w:tcPr>
            <w:tcW w:w="1413" w:type="dxa"/>
          </w:tcPr>
          <w:p w14:paraId="5C9C914C">
            <w:pPr>
              <w:jc w:val="center"/>
              <w:rPr>
                <w:rFonts w:hint="eastAsia" w:ascii="宋体" w:hAnsi="宋体" w:cs="宋体"/>
                <w:sz w:val="24"/>
              </w:rPr>
            </w:pPr>
            <w:r>
              <w:rPr>
                <w:rFonts w:hint="eastAsia" w:ascii="宋体" w:hAnsi="宋体" w:cs="宋体"/>
                <w:sz w:val="24"/>
              </w:rPr>
              <w:t>1年</w:t>
            </w:r>
          </w:p>
        </w:tc>
        <w:tc>
          <w:tcPr>
            <w:tcW w:w="3357" w:type="dxa"/>
          </w:tcPr>
          <w:p w14:paraId="77647062">
            <w:pPr>
              <w:rPr>
                <w:rFonts w:hint="eastAsia" w:ascii="宋体" w:hAnsi="宋体" w:cs="宋体"/>
                <w:sz w:val="24"/>
              </w:rPr>
            </w:pPr>
            <w:r>
              <w:rPr>
                <w:rFonts w:hint="eastAsia" w:ascii="宋体" w:hAnsi="宋体" w:cs="宋体"/>
                <w:sz w:val="24"/>
              </w:rPr>
              <w:t>服务期限</w:t>
            </w:r>
            <w:r>
              <w:rPr>
                <w:rFonts w:hint="eastAsia" w:ascii="宋体" w:hAnsi="宋体" w:cs="宋体"/>
                <w:sz w:val="24"/>
                <w:lang w:val="en-US" w:eastAsia="zh-CN"/>
              </w:rPr>
              <w:t>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rPr>
              <w:t>7年</w:t>
            </w:r>
            <w:r>
              <w:rPr>
                <w:rFonts w:ascii="宋体" w:hAnsi="宋体" w:cs="宋体"/>
                <w:sz w:val="24"/>
              </w:rPr>
              <w:t>1</w:t>
            </w:r>
            <w:r>
              <w:rPr>
                <w:rFonts w:hint="eastAsia" w:ascii="宋体" w:hAnsi="宋体" w:cs="宋体"/>
                <w:sz w:val="24"/>
                <w:lang w:val="en-US" w:eastAsia="zh-CN"/>
              </w:rPr>
              <w:t>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r w14:paraId="5FE8C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vAlign w:val="center"/>
          </w:tcPr>
          <w:p w14:paraId="7EA2C5DC">
            <w:pPr>
              <w:jc w:val="center"/>
              <w:rPr>
                <w:rFonts w:hint="eastAsia" w:ascii="宋体" w:hAnsi="宋体" w:eastAsia="宋体" w:cs="宋体"/>
                <w:sz w:val="24"/>
                <w:lang w:val="en-US" w:eastAsia="zh-CN"/>
              </w:rPr>
            </w:pPr>
            <w:r>
              <w:rPr>
                <w:rFonts w:hint="eastAsia" w:ascii="宋体" w:hAnsi="宋体" w:cs="宋体"/>
                <w:sz w:val="24"/>
                <w:lang w:val="en-US" w:eastAsia="zh-CN"/>
              </w:rPr>
              <w:t>6</w:t>
            </w:r>
          </w:p>
        </w:tc>
        <w:tc>
          <w:tcPr>
            <w:tcW w:w="4055" w:type="dxa"/>
            <w:shd w:val="clear" w:color="auto" w:fill="auto"/>
            <w:vAlign w:val="top"/>
          </w:tcPr>
          <w:p w14:paraId="3B09C9D7">
            <w:pPr>
              <w:jc w:val="left"/>
              <w:rPr>
                <w:rFonts w:hint="eastAsia" w:ascii="Times New Roman" w:hAnsi="Times New Roman" w:eastAsia="宋体" w:cs="Times New Roman"/>
                <w:kern w:val="2"/>
                <w:sz w:val="21"/>
                <w:szCs w:val="24"/>
                <w:lang w:val="en-US" w:eastAsia="zh-CN" w:bidi="ar-SA"/>
              </w:rPr>
            </w:pPr>
            <w:r>
              <w:rPr>
                <w:rFonts w:hint="eastAsia" w:ascii="宋体" w:hAnsi="宋体"/>
                <w:sz w:val="21"/>
                <w:lang w:eastAsia="zh-CN"/>
              </w:rPr>
              <w:t>《</w:t>
            </w:r>
            <w:r>
              <w:rPr>
                <w:rFonts w:ascii="宋体" w:hAnsi="宋体" w:eastAsia="宋体"/>
                <w:sz w:val="21"/>
              </w:rPr>
              <w:t>万方医学网专利</w:t>
            </w:r>
            <w:r>
              <w:rPr>
                <w:rFonts w:hint="eastAsia" w:ascii="宋体" w:hAnsi="宋体"/>
                <w:sz w:val="21"/>
                <w:lang w:eastAsia="zh-CN"/>
              </w:rPr>
              <w:t>》</w:t>
            </w:r>
          </w:p>
        </w:tc>
        <w:tc>
          <w:tcPr>
            <w:tcW w:w="1413" w:type="dxa"/>
          </w:tcPr>
          <w:p w14:paraId="2751CCBF">
            <w:pPr>
              <w:jc w:val="center"/>
              <w:rPr>
                <w:rFonts w:hint="eastAsia" w:ascii="宋体" w:hAnsi="宋体" w:cs="宋体"/>
                <w:sz w:val="24"/>
              </w:rPr>
            </w:pPr>
            <w:r>
              <w:rPr>
                <w:rFonts w:hint="eastAsia" w:ascii="宋体" w:hAnsi="宋体" w:cs="宋体"/>
                <w:sz w:val="24"/>
              </w:rPr>
              <w:t>1年</w:t>
            </w:r>
          </w:p>
        </w:tc>
        <w:tc>
          <w:tcPr>
            <w:tcW w:w="3357" w:type="dxa"/>
          </w:tcPr>
          <w:p w14:paraId="197A332F">
            <w:pPr>
              <w:rPr>
                <w:rFonts w:hint="eastAsia" w:ascii="宋体" w:hAnsi="宋体" w:cs="宋体"/>
                <w:sz w:val="24"/>
              </w:rPr>
            </w:pPr>
            <w:r>
              <w:rPr>
                <w:rFonts w:hint="eastAsia" w:ascii="宋体" w:hAnsi="宋体" w:cs="宋体"/>
                <w:sz w:val="24"/>
              </w:rPr>
              <w:t>服务期限</w:t>
            </w:r>
            <w:r>
              <w:rPr>
                <w:rFonts w:hint="eastAsia" w:ascii="宋体" w:hAnsi="宋体" w:cs="宋体"/>
                <w:sz w:val="24"/>
                <w:lang w:val="en-US" w:eastAsia="zh-CN"/>
              </w:rPr>
              <w:t>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rPr>
              <w:t>7年</w:t>
            </w:r>
            <w:r>
              <w:rPr>
                <w:rFonts w:ascii="宋体" w:hAnsi="宋体" w:cs="宋体"/>
                <w:sz w:val="24"/>
              </w:rPr>
              <w:t>1</w:t>
            </w:r>
            <w:r>
              <w:rPr>
                <w:rFonts w:hint="eastAsia" w:ascii="宋体" w:hAnsi="宋体" w:cs="宋体"/>
                <w:sz w:val="24"/>
                <w:lang w:val="en-US" w:eastAsia="zh-CN"/>
              </w:rPr>
              <w:t>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r w14:paraId="0C1E1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vAlign w:val="center"/>
          </w:tcPr>
          <w:p w14:paraId="5D9DB6E0">
            <w:pPr>
              <w:jc w:val="center"/>
              <w:rPr>
                <w:rFonts w:hint="eastAsia" w:ascii="宋体" w:hAnsi="宋体" w:eastAsia="宋体" w:cs="宋体"/>
                <w:sz w:val="24"/>
                <w:lang w:val="en-US" w:eastAsia="zh-CN"/>
              </w:rPr>
            </w:pPr>
            <w:r>
              <w:rPr>
                <w:rFonts w:hint="eastAsia" w:ascii="宋体" w:hAnsi="宋体" w:cs="宋体"/>
                <w:sz w:val="24"/>
                <w:lang w:val="en-US" w:eastAsia="zh-CN"/>
              </w:rPr>
              <w:t>7</w:t>
            </w:r>
          </w:p>
        </w:tc>
        <w:tc>
          <w:tcPr>
            <w:tcW w:w="4055" w:type="dxa"/>
            <w:shd w:val="clear" w:color="auto" w:fill="auto"/>
            <w:vAlign w:val="top"/>
          </w:tcPr>
          <w:p w14:paraId="0DC6032C">
            <w:pPr>
              <w:jc w:val="left"/>
              <w:rPr>
                <w:rFonts w:hint="eastAsia" w:ascii="Times New Roman" w:hAnsi="Times New Roman" w:eastAsia="宋体" w:cs="Times New Roman"/>
                <w:kern w:val="2"/>
                <w:sz w:val="21"/>
                <w:szCs w:val="24"/>
                <w:lang w:val="en-US" w:eastAsia="zh-CN" w:bidi="ar-SA"/>
              </w:rPr>
            </w:pPr>
            <w:r>
              <w:rPr>
                <w:rFonts w:hint="eastAsia" w:ascii="宋体" w:hAnsi="宋体"/>
                <w:sz w:val="21"/>
                <w:lang w:eastAsia="zh-CN"/>
              </w:rPr>
              <w:t>《</w:t>
            </w:r>
            <w:r>
              <w:rPr>
                <w:rFonts w:hint="eastAsia" w:ascii="宋体" w:hAnsi="宋体" w:eastAsia="宋体"/>
                <w:sz w:val="21"/>
                <w:lang w:eastAsia="zh-CN"/>
              </w:rPr>
              <w:t>万方医学网成果标准</w:t>
            </w:r>
            <w:r>
              <w:rPr>
                <w:rFonts w:hint="eastAsia" w:ascii="宋体" w:hAnsi="宋体"/>
                <w:sz w:val="21"/>
                <w:lang w:eastAsia="zh-CN"/>
              </w:rPr>
              <w:t>》</w:t>
            </w:r>
          </w:p>
        </w:tc>
        <w:tc>
          <w:tcPr>
            <w:tcW w:w="1413" w:type="dxa"/>
          </w:tcPr>
          <w:p w14:paraId="6EDB4D2E">
            <w:pPr>
              <w:jc w:val="center"/>
              <w:rPr>
                <w:rFonts w:hint="eastAsia" w:ascii="宋体" w:hAnsi="宋体" w:cs="宋体"/>
                <w:sz w:val="24"/>
              </w:rPr>
            </w:pPr>
            <w:r>
              <w:rPr>
                <w:rFonts w:hint="eastAsia" w:ascii="宋体" w:hAnsi="宋体" w:cs="宋体"/>
                <w:sz w:val="24"/>
              </w:rPr>
              <w:t>1年</w:t>
            </w:r>
          </w:p>
        </w:tc>
        <w:tc>
          <w:tcPr>
            <w:tcW w:w="3357" w:type="dxa"/>
          </w:tcPr>
          <w:p w14:paraId="14100153">
            <w:pPr>
              <w:rPr>
                <w:rFonts w:hint="eastAsia" w:ascii="宋体" w:hAnsi="宋体" w:cs="宋体"/>
                <w:sz w:val="24"/>
              </w:rPr>
            </w:pPr>
            <w:r>
              <w:rPr>
                <w:rFonts w:hint="eastAsia" w:ascii="宋体" w:hAnsi="宋体" w:cs="宋体"/>
                <w:sz w:val="24"/>
              </w:rPr>
              <w:t>服务期限</w:t>
            </w:r>
            <w:r>
              <w:rPr>
                <w:rFonts w:hint="eastAsia" w:ascii="宋体" w:hAnsi="宋体" w:cs="宋体"/>
                <w:sz w:val="24"/>
                <w:lang w:val="en-US" w:eastAsia="zh-CN"/>
              </w:rPr>
              <w:t>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rPr>
              <w:t>7年</w:t>
            </w:r>
            <w:r>
              <w:rPr>
                <w:rFonts w:ascii="宋体" w:hAnsi="宋体" w:cs="宋体"/>
                <w:sz w:val="24"/>
              </w:rPr>
              <w:t>1</w:t>
            </w:r>
            <w:r>
              <w:rPr>
                <w:rFonts w:hint="eastAsia" w:ascii="宋体" w:hAnsi="宋体" w:cs="宋体"/>
                <w:sz w:val="24"/>
                <w:lang w:val="en-US" w:eastAsia="zh-CN"/>
              </w:rPr>
              <w:t>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r w14:paraId="40F45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vAlign w:val="center"/>
          </w:tcPr>
          <w:p w14:paraId="22E3E2F1">
            <w:pPr>
              <w:jc w:val="center"/>
              <w:rPr>
                <w:rFonts w:hint="eastAsia" w:ascii="宋体" w:hAnsi="宋体" w:eastAsia="宋体" w:cs="宋体"/>
                <w:sz w:val="24"/>
                <w:lang w:val="en-US" w:eastAsia="zh-CN"/>
              </w:rPr>
            </w:pPr>
            <w:r>
              <w:rPr>
                <w:rFonts w:hint="eastAsia" w:ascii="宋体" w:hAnsi="宋体" w:cs="宋体"/>
                <w:sz w:val="24"/>
                <w:lang w:val="en-US" w:eastAsia="zh-CN"/>
              </w:rPr>
              <w:t>8</w:t>
            </w:r>
          </w:p>
        </w:tc>
        <w:tc>
          <w:tcPr>
            <w:tcW w:w="4055" w:type="dxa"/>
            <w:shd w:val="clear" w:color="auto" w:fill="auto"/>
            <w:vAlign w:val="top"/>
          </w:tcPr>
          <w:p w14:paraId="4A6D406A">
            <w:pPr>
              <w:jc w:val="left"/>
              <w:rPr>
                <w:rFonts w:hint="eastAsia" w:ascii="Times New Roman" w:hAnsi="Times New Roman" w:eastAsia="宋体" w:cs="Times New Roman"/>
                <w:kern w:val="2"/>
                <w:sz w:val="21"/>
                <w:szCs w:val="24"/>
                <w:lang w:val="en-US" w:eastAsia="zh-CN" w:bidi="ar-SA"/>
              </w:rPr>
            </w:pPr>
            <w:r>
              <w:rPr>
                <w:rFonts w:hint="eastAsia" w:ascii="宋体" w:hAnsi="宋体"/>
                <w:sz w:val="21"/>
                <w:lang w:eastAsia="zh-CN"/>
              </w:rPr>
              <w:t>《</w:t>
            </w:r>
            <w:r>
              <w:rPr>
                <w:rFonts w:hint="eastAsia" w:ascii="宋体" w:hAnsi="宋体" w:eastAsia="宋体"/>
                <w:sz w:val="21"/>
                <w:lang w:eastAsia="zh-CN"/>
              </w:rPr>
              <w:t>万方医学网法规</w:t>
            </w:r>
            <w:r>
              <w:rPr>
                <w:rFonts w:hint="eastAsia" w:ascii="宋体" w:hAnsi="宋体"/>
                <w:sz w:val="21"/>
                <w:lang w:eastAsia="zh-CN"/>
              </w:rPr>
              <w:t>》</w:t>
            </w:r>
          </w:p>
        </w:tc>
        <w:tc>
          <w:tcPr>
            <w:tcW w:w="1413" w:type="dxa"/>
          </w:tcPr>
          <w:p w14:paraId="59E00CE8">
            <w:pPr>
              <w:jc w:val="center"/>
              <w:rPr>
                <w:rFonts w:hint="eastAsia" w:ascii="宋体" w:hAnsi="宋体" w:cs="宋体"/>
                <w:sz w:val="24"/>
              </w:rPr>
            </w:pPr>
            <w:r>
              <w:rPr>
                <w:rFonts w:hint="eastAsia" w:ascii="宋体" w:hAnsi="宋体" w:cs="宋体"/>
                <w:sz w:val="24"/>
              </w:rPr>
              <w:t>1年</w:t>
            </w:r>
          </w:p>
        </w:tc>
        <w:tc>
          <w:tcPr>
            <w:tcW w:w="3357" w:type="dxa"/>
          </w:tcPr>
          <w:p w14:paraId="52881CF8">
            <w:pPr>
              <w:rPr>
                <w:rFonts w:hint="eastAsia" w:ascii="宋体" w:hAnsi="宋体" w:cs="宋体"/>
                <w:sz w:val="24"/>
              </w:rPr>
            </w:pPr>
            <w:r>
              <w:rPr>
                <w:rFonts w:hint="eastAsia" w:ascii="宋体" w:hAnsi="宋体" w:cs="宋体"/>
                <w:sz w:val="24"/>
              </w:rPr>
              <w:t>服务期限</w:t>
            </w:r>
            <w:r>
              <w:rPr>
                <w:rFonts w:hint="eastAsia" w:ascii="宋体" w:hAnsi="宋体" w:cs="宋体"/>
                <w:sz w:val="24"/>
                <w:lang w:val="en-US" w:eastAsia="zh-CN"/>
              </w:rPr>
              <w:t>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rPr>
              <w:t>7年</w:t>
            </w:r>
            <w:r>
              <w:rPr>
                <w:rFonts w:ascii="宋体" w:hAnsi="宋体" w:cs="宋体"/>
                <w:sz w:val="24"/>
              </w:rPr>
              <w:t>1</w:t>
            </w:r>
            <w:r>
              <w:rPr>
                <w:rFonts w:hint="eastAsia" w:ascii="宋体" w:hAnsi="宋体" w:cs="宋体"/>
                <w:sz w:val="24"/>
                <w:lang w:val="en-US" w:eastAsia="zh-CN"/>
              </w:rPr>
              <w:t>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r w14:paraId="420BD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vAlign w:val="center"/>
          </w:tcPr>
          <w:p w14:paraId="7A766194">
            <w:pPr>
              <w:jc w:val="center"/>
              <w:rPr>
                <w:rFonts w:hint="eastAsia" w:ascii="宋体" w:hAnsi="宋体" w:eastAsia="宋体" w:cs="宋体"/>
                <w:sz w:val="24"/>
                <w:lang w:val="en-US" w:eastAsia="zh-CN"/>
              </w:rPr>
            </w:pPr>
            <w:r>
              <w:rPr>
                <w:rFonts w:hint="eastAsia" w:ascii="宋体" w:hAnsi="宋体" w:cs="宋体"/>
                <w:sz w:val="24"/>
                <w:lang w:val="en-US" w:eastAsia="zh-CN"/>
              </w:rPr>
              <w:t>9</w:t>
            </w:r>
          </w:p>
        </w:tc>
        <w:tc>
          <w:tcPr>
            <w:tcW w:w="4055" w:type="dxa"/>
            <w:shd w:val="clear" w:color="auto" w:fill="auto"/>
            <w:vAlign w:val="top"/>
          </w:tcPr>
          <w:p w14:paraId="609B2246">
            <w:pPr>
              <w:jc w:val="left"/>
              <w:rPr>
                <w:rFonts w:hint="eastAsia" w:ascii="Times New Roman" w:hAnsi="Times New Roman" w:eastAsia="宋体" w:cs="Times New Roman"/>
                <w:kern w:val="2"/>
                <w:sz w:val="21"/>
                <w:szCs w:val="24"/>
                <w:lang w:val="en-US" w:eastAsia="zh-CN" w:bidi="ar-SA"/>
              </w:rPr>
            </w:pPr>
            <w:r>
              <w:rPr>
                <w:rFonts w:hint="eastAsia" w:ascii="宋体" w:hAnsi="宋体"/>
                <w:sz w:val="21"/>
                <w:lang w:eastAsia="zh-CN"/>
              </w:rPr>
              <w:t>《</w:t>
            </w:r>
            <w:r>
              <w:rPr>
                <w:rFonts w:hint="eastAsia" w:ascii="宋体" w:hAnsi="宋体" w:eastAsia="宋体"/>
                <w:sz w:val="21"/>
                <w:lang w:eastAsia="zh-CN"/>
              </w:rPr>
              <w:t>万方医学网临床百家</w:t>
            </w:r>
            <w:r>
              <w:rPr>
                <w:rFonts w:hint="eastAsia" w:ascii="宋体" w:hAnsi="宋体"/>
                <w:sz w:val="21"/>
                <w:lang w:eastAsia="zh-CN"/>
              </w:rPr>
              <w:t>》</w:t>
            </w:r>
          </w:p>
        </w:tc>
        <w:tc>
          <w:tcPr>
            <w:tcW w:w="1413" w:type="dxa"/>
          </w:tcPr>
          <w:p w14:paraId="0FFED4B0">
            <w:pPr>
              <w:jc w:val="center"/>
              <w:rPr>
                <w:rFonts w:hint="eastAsia" w:ascii="宋体" w:hAnsi="宋体" w:cs="宋体"/>
                <w:sz w:val="24"/>
              </w:rPr>
            </w:pPr>
            <w:r>
              <w:rPr>
                <w:rFonts w:hint="eastAsia" w:ascii="宋体" w:hAnsi="宋体" w:cs="宋体"/>
                <w:sz w:val="24"/>
              </w:rPr>
              <w:t>1年</w:t>
            </w:r>
          </w:p>
        </w:tc>
        <w:tc>
          <w:tcPr>
            <w:tcW w:w="3357" w:type="dxa"/>
          </w:tcPr>
          <w:p w14:paraId="08F0F216">
            <w:pPr>
              <w:rPr>
                <w:rFonts w:hint="eastAsia" w:ascii="宋体" w:hAnsi="宋体" w:cs="宋体"/>
                <w:sz w:val="24"/>
              </w:rPr>
            </w:pPr>
            <w:r>
              <w:rPr>
                <w:rFonts w:hint="eastAsia" w:ascii="宋体" w:hAnsi="宋体" w:cs="宋体"/>
                <w:sz w:val="24"/>
              </w:rPr>
              <w:t>服务期限</w:t>
            </w:r>
            <w:r>
              <w:rPr>
                <w:rFonts w:hint="eastAsia" w:ascii="宋体" w:hAnsi="宋体" w:cs="宋体"/>
                <w:sz w:val="24"/>
                <w:lang w:val="en-US" w:eastAsia="zh-CN"/>
              </w:rPr>
              <w:t>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rPr>
              <w:t>7年</w:t>
            </w:r>
            <w:r>
              <w:rPr>
                <w:rFonts w:ascii="宋体" w:hAnsi="宋体" w:cs="宋体"/>
                <w:sz w:val="24"/>
              </w:rPr>
              <w:t>1</w:t>
            </w:r>
            <w:r>
              <w:rPr>
                <w:rFonts w:hint="eastAsia" w:ascii="宋体" w:hAnsi="宋体" w:cs="宋体"/>
                <w:sz w:val="24"/>
                <w:lang w:val="en-US" w:eastAsia="zh-CN"/>
              </w:rPr>
              <w:t>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r w14:paraId="2AE66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vAlign w:val="center"/>
          </w:tcPr>
          <w:p w14:paraId="498A8490">
            <w:pPr>
              <w:jc w:val="center"/>
              <w:rPr>
                <w:rFonts w:hint="default" w:ascii="宋体" w:hAnsi="宋体" w:eastAsia="宋体" w:cs="宋体"/>
                <w:sz w:val="24"/>
                <w:lang w:val="en-US" w:eastAsia="zh-CN"/>
              </w:rPr>
            </w:pPr>
            <w:r>
              <w:rPr>
                <w:rFonts w:hint="eastAsia" w:ascii="宋体" w:hAnsi="宋体" w:cs="宋体"/>
                <w:sz w:val="24"/>
                <w:lang w:val="en-US" w:eastAsia="zh-CN"/>
              </w:rPr>
              <w:t>10</w:t>
            </w:r>
          </w:p>
        </w:tc>
        <w:tc>
          <w:tcPr>
            <w:tcW w:w="4055" w:type="dxa"/>
            <w:shd w:val="clear" w:color="auto" w:fill="auto"/>
            <w:vAlign w:val="top"/>
          </w:tcPr>
          <w:p w14:paraId="77161115">
            <w:pPr>
              <w:jc w:val="left"/>
              <w:rPr>
                <w:rFonts w:hint="eastAsia" w:ascii="Times New Roman" w:hAnsi="Times New Roman" w:eastAsia="宋体" w:cs="Times New Roman"/>
                <w:kern w:val="2"/>
                <w:sz w:val="21"/>
                <w:szCs w:val="24"/>
                <w:lang w:val="en-US" w:eastAsia="zh-CN" w:bidi="ar-SA"/>
              </w:rPr>
            </w:pPr>
            <w:r>
              <w:rPr>
                <w:rFonts w:hint="eastAsia" w:ascii="宋体" w:hAnsi="宋体"/>
                <w:sz w:val="21"/>
                <w:lang w:eastAsia="zh-CN"/>
              </w:rPr>
              <w:t>《</w:t>
            </w:r>
            <w:r>
              <w:rPr>
                <w:rFonts w:ascii="宋体" w:hAnsi="宋体" w:eastAsia="宋体"/>
                <w:sz w:val="21"/>
                <w:lang w:eastAsia="zh-CN"/>
              </w:rPr>
              <w:t>万方医学网中国临床案例成果数据库</w:t>
            </w:r>
            <w:r>
              <w:rPr>
                <w:rFonts w:hint="eastAsia" w:ascii="宋体" w:hAnsi="宋体"/>
                <w:sz w:val="21"/>
                <w:lang w:eastAsia="zh-CN"/>
              </w:rPr>
              <w:t>》</w:t>
            </w:r>
          </w:p>
        </w:tc>
        <w:tc>
          <w:tcPr>
            <w:tcW w:w="1413" w:type="dxa"/>
          </w:tcPr>
          <w:p w14:paraId="2CD20CB5">
            <w:pPr>
              <w:jc w:val="center"/>
              <w:rPr>
                <w:rFonts w:hint="eastAsia" w:ascii="宋体" w:hAnsi="宋体" w:cs="宋体"/>
                <w:sz w:val="24"/>
              </w:rPr>
            </w:pPr>
            <w:r>
              <w:rPr>
                <w:rFonts w:hint="eastAsia" w:ascii="宋体" w:hAnsi="宋体" w:cs="宋体"/>
                <w:sz w:val="24"/>
              </w:rPr>
              <w:t>1年</w:t>
            </w:r>
          </w:p>
        </w:tc>
        <w:tc>
          <w:tcPr>
            <w:tcW w:w="3357" w:type="dxa"/>
          </w:tcPr>
          <w:p w14:paraId="1DAA4F0F">
            <w:pPr>
              <w:rPr>
                <w:rFonts w:hint="eastAsia" w:ascii="宋体" w:hAnsi="宋体" w:cs="宋体"/>
                <w:sz w:val="24"/>
              </w:rPr>
            </w:pPr>
            <w:r>
              <w:rPr>
                <w:rFonts w:hint="eastAsia" w:ascii="宋体" w:hAnsi="宋体" w:cs="宋体"/>
                <w:sz w:val="24"/>
              </w:rPr>
              <w:t>服务期限</w:t>
            </w:r>
            <w:r>
              <w:rPr>
                <w:rFonts w:hint="eastAsia" w:ascii="宋体" w:hAnsi="宋体" w:cs="宋体"/>
                <w:sz w:val="24"/>
                <w:lang w:val="en-US" w:eastAsia="zh-CN"/>
              </w:rPr>
              <w:t>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rPr>
              <w:t>7年</w:t>
            </w:r>
            <w:r>
              <w:rPr>
                <w:rFonts w:ascii="宋体" w:hAnsi="宋体" w:cs="宋体"/>
                <w:sz w:val="24"/>
              </w:rPr>
              <w:t>1</w:t>
            </w:r>
            <w:r>
              <w:rPr>
                <w:rFonts w:hint="eastAsia" w:ascii="宋体" w:hAnsi="宋体" w:cs="宋体"/>
                <w:sz w:val="24"/>
                <w:lang w:val="en-US" w:eastAsia="zh-CN"/>
              </w:rPr>
              <w:t>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r w14:paraId="49C01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vAlign w:val="center"/>
          </w:tcPr>
          <w:p w14:paraId="269DFB96">
            <w:pPr>
              <w:jc w:val="center"/>
              <w:rPr>
                <w:rFonts w:hint="default" w:ascii="宋体" w:hAnsi="宋体" w:eastAsia="宋体" w:cs="宋体"/>
                <w:sz w:val="24"/>
                <w:lang w:val="en-US" w:eastAsia="zh-CN"/>
              </w:rPr>
            </w:pPr>
            <w:r>
              <w:rPr>
                <w:rFonts w:hint="eastAsia" w:ascii="宋体" w:hAnsi="宋体" w:cs="宋体"/>
                <w:sz w:val="24"/>
                <w:lang w:val="en-US" w:eastAsia="zh-CN"/>
              </w:rPr>
              <w:t>11</w:t>
            </w:r>
          </w:p>
        </w:tc>
        <w:tc>
          <w:tcPr>
            <w:tcW w:w="4055" w:type="dxa"/>
            <w:shd w:val="clear" w:color="auto" w:fill="auto"/>
            <w:vAlign w:val="top"/>
          </w:tcPr>
          <w:p w14:paraId="2F1C60C5">
            <w:pPr>
              <w:jc w:val="left"/>
              <w:rPr>
                <w:rFonts w:hint="eastAsia" w:ascii="Times New Roman" w:hAnsi="Times New Roman" w:eastAsia="宋体" w:cs="Times New Roman"/>
                <w:kern w:val="2"/>
                <w:sz w:val="21"/>
                <w:szCs w:val="24"/>
                <w:lang w:val="en-US" w:eastAsia="zh-CN" w:bidi="ar-SA"/>
              </w:rPr>
            </w:pPr>
            <w:r>
              <w:rPr>
                <w:rFonts w:hint="eastAsia" w:ascii="宋体" w:hAnsi="宋体"/>
                <w:sz w:val="21"/>
                <w:lang w:eastAsia="zh-CN"/>
              </w:rPr>
              <w:t>《</w:t>
            </w:r>
            <w:r>
              <w:rPr>
                <w:rFonts w:hint="eastAsia" w:ascii="宋体" w:hAnsi="宋体" w:eastAsia="宋体"/>
                <w:sz w:val="21"/>
                <w:lang w:eastAsia="zh-CN"/>
              </w:rPr>
              <w:t>万方数据万方选题</w:t>
            </w:r>
            <w:r>
              <w:rPr>
                <w:rFonts w:hint="eastAsia" w:ascii="宋体" w:hAnsi="宋体"/>
                <w:sz w:val="21"/>
                <w:lang w:eastAsia="zh-CN"/>
              </w:rPr>
              <w:t>》</w:t>
            </w:r>
          </w:p>
        </w:tc>
        <w:tc>
          <w:tcPr>
            <w:tcW w:w="1413" w:type="dxa"/>
          </w:tcPr>
          <w:p w14:paraId="2D687AE8">
            <w:pPr>
              <w:jc w:val="center"/>
              <w:rPr>
                <w:rFonts w:hint="eastAsia" w:ascii="宋体" w:hAnsi="宋体" w:cs="宋体"/>
                <w:sz w:val="24"/>
              </w:rPr>
            </w:pPr>
            <w:r>
              <w:rPr>
                <w:rFonts w:hint="eastAsia" w:ascii="宋体" w:hAnsi="宋体" w:cs="宋体"/>
                <w:sz w:val="24"/>
              </w:rPr>
              <w:t>1年</w:t>
            </w:r>
          </w:p>
        </w:tc>
        <w:tc>
          <w:tcPr>
            <w:tcW w:w="3357" w:type="dxa"/>
          </w:tcPr>
          <w:p w14:paraId="500276CE">
            <w:pPr>
              <w:rPr>
                <w:rFonts w:hint="eastAsia" w:ascii="宋体" w:hAnsi="宋体" w:cs="宋体"/>
                <w:sz w:val="24"/>
              </w:rPr>
            </w:pPr>
            <w:r>
              <w:rPr>
                <w:rFonts w:hint="eastAsia" w:ascii="宋体" w:hAnsi="宋体" w:cs="宋体"/>
                <w:sz w:val="24"/>
              </w:rPr>
              <w:t>服务期限</w:t>
            </w:r>
            <w:r>
              <w:rPr>
                <w:rFonts w:hint="eastAsia" w:ascii="宋体" w:hAnsi="宋体" w:cs="宋体"/>
                <w:sz w:val="24"/>
                <w:lang w:val="en-US" w:eastAsia="zh-CN"/>
              </w:rPr>
              <w:t>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rPr>
              <w:t>7年</w:t>
            </w:r>
            <w:r>
              <w:rPr>
                <w:rFonts w:ascii="宋体" w:hAnsi="宋体" w:cs="宋体"/>
                <w:sz w:val="24"/>
              </w:rPr>
              <w:t>1</w:t>
            </w:r>
            <w:r>
              <w:rPr>
                <w:rFonts w:hint="eastAsia" w:ascii="宋体" w:hAnsi="宋体" w:cs="宋体"/>
                <w:sz w:val="24"/>
                <w:lang w:val="en-US" w:eastAsia="zh-CN"/>
              </w:rPr>
              <w:t>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r w14:paraId="6FC69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vAlign w:val="center"/>
          </w:tcPr>
          <w:p w14:paraId="3AE96315">
            <w:pPr>
              <w:jc w:val="center"/>
              <w:rPr>
                <w:rFonts w:hint="default" w:ascii="宋体" w:hAnsi="宋体" w:eastAsia="宋体" w:cs="宋体"/>
                <w:sz w:val="24"/>
                <w:lang w:val="en-US" w:eastAsia="zh-CN"/>
              </w:rPr>
            </w:pPr>
            <w:r>
              <w:rPr>
                <w:rFonts w:hint="eastAsia" w:ascii="宋体" w:hAnsi="宋体" w:cs="宋体"/>
                <w:sz w:val="24"/>
                <w:lang w:val="en-US" w:eastAsia="zh-CN"/>
              </w:rPr>
              <w:t>12</w:t>
            </w:r>
          </w:p>
        </w:tc>
        <w:tc>
          <w:tcPr>
            <w:tcW w:w="4055" w:type="dxa"/>
            <w:shd w:val="clear" w:color="auto" w:fill="auto"/>
            <w:vAlign w:val="top"/>
          </w:tcPr>
          <w:p w14:paraId="7A5E285F">
            <w:pPr>
              <w:jc w:val="left"/>
              <w:rPr>
                <w:rFonts w:hint="eastAsia" w:ascii="Times New Roman" w:hAnsi="Times New Roman" w:eastAsia="宋体" w:cs="Times New Roman"/>
                <w:kern w:val="2"/>
                <w:sz w:val="21"/>
                <w:szCs w:val="24"/>
                <w:lang w:val="en-US" w:eastAsia="zh-CN" w:bidi="ar-SA"/>
              </w:rPr>
            </w:pPr>
            <w:r>
              <w:rPr>
                <w:rFonts w:hint="eastAsia" w:ascii="宋体" w:hAnsi="宋体"/>
                <w:sz w:val="21"/>
                <w:lang w:eastAsia="zh-CN"/>
              </w:rPr>
              <w:t>《</w:t>
            </w:r>
            <w:r>
              <w:rPr>
                <w:rFonts w:hint="eastAsia" w:ascii="宋体" w:hAnsi="宋体" w:eastAsia="宋体"/>
                <w:sz w:val="21"/>
                <w:lang w:eastAsia="zh-CN"/>
              </w:rPr>
              <w:t>万方数据万方</w:t>
            </w:r>
            <w:r>
              <w:rPr>
                <w:rFonts w:hint="eastAsia" w:ascii="宋体" w:hAnsi="宋体" w:eastAsia="宋体"/>
                <w:sz w:val="21"/>
                <w:lang w:val="en-US" w:eastAsia="zh-CN"/>
              </w:rPr>
              <w:t>分</w:t>
            </w:r>
            <w:r>
              <w:rPr>
                <w:rFonts w:hint="eastAsia" w:ascii="宋体" w:hAnsi="宋体" w:eastAsia="宋体"/>
                <w:sz w:val="21"/>
                <w:lang w:eastAsia="zh-CN"/>
              </w:rPr>
              <w:t>析</w:t>
            </w:r>
            <w:r>
              <w:rPr>
                <w:rFonts w:hint="eastAsia" w:ascii="宋体" w:hAnsi="宋体"/>
                <w:sz w:val="21"/>
                <w:lang w:eastAsia="zh-CN"/>
              </w:rPr>
              <w:t>》</w:t>
            </w:r>
          </w:p>
        </w:tc>
        <w:tc>
          <w:tcPr>
            <w:tcW w:w="1413" w:type="dxa"/>
          </w:tcPr>
          <w:p w14:paraId="373F33AE">
            <w:pPr>
              <w:jc w:val="center"/>
              <w:rPr>
                <w:rFonts w:hint="eastAsia" w:ascii="宋体" w:hAnsi="宋体" w:cs="宋体"/>
                <w:sz w:val="24"/>
              </w:rPr>
            </w:pPr>
            <w:r>
              <w:rPr>
                <w:rFonts w:hint="eastAsia" w:ascii="宋体" w:hAnsi="宋体" w:cs="宋体"/>
                <w:sz w:val="24"/>
              </w:rPr>
              <w:t>1年</w:t>
            </w:r>
          </w:p>
        </w:tc>
        <w:tc>
          <w:tcPr>
            <w:tcW w:w="3357" w:type="dxa"/>
          </w:tcPr>
          <w:p w14:paraId="6C2073F1">
            <w:pPr>
              <w:rPr>
                <w:rFonts w:hint="eastAsia" w:ascii="宋体" w:hAnsi="宋体" w:cs="宋体"/>
                <w:sz w:val="24"/>
              </w:rPr>
            </w:pPr>
            <w:r>
              <w:rPr>
                <w:rFonts w:hint="eastAsia" w:ascii="宋体" w:hAnsi="宋体" w:cs="宋体"/>
                <w:sz w:val="24"/>
              </w:rPr>
              <w:t>服务期限</w:t>
            </w:r>
            <w:r>
              <w:rPr>
                <w:rFonts w:hint="eastAsia" w:ascii="宋体" w:hAnsi="宋体" w:cs="宋体"/>
                <w:sz w:val="24"/>
                <w:lang w:val="en-US" w:eastAsia="zh-CN"/>
              </w:rPr>
              <w:t>自</w:t>
            </w:r>
            <w:r>
              <w:rPr>
                <w:rFonts w:ascii="宋体" w:hAnsi="宋体" w:cs="宋体"/>
                <w:sz w:val="24"/>
              </w:rPr>
              <w:t>202</w:t>
            </w:r>
            <w:r>
              <w:rPr>
                <w:rFonts w:hint="eastAsia" w:ascii="宋体" w:hAnsi="宋体" w:cs="宋体"/>
                <w:sz w:val="24"/>
                <w:lang w:val="en-US" w:eastAsia="zh-CN"/>
              </w:rPr>
              <w:t>7</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ascii="宋体" w:hAnsi="宋体" w:cs="宋体"/>
                <w:sz w:val="24"/>
              </w:rPr>
              <w:t>1</w:t>
            </w:r>
            <w:r>
              <w:rPr>
                <w:rFonts w:hint="eastAsia" w:ascii="宋体" w:hAnsi="宋体" w:cs="宋体"/>
                <w:sz w:val="24"/>
              </w:rPr>
              <w:t>日至</w:t>
            </w:r>
            <w:r>
              <w:rPr>
                <w:rFonts w:ascii="宋体" w:hAnsi="宋体" w:cs="宋体"/>
                <w:sz w:val="24"/>
              </w:rPr>
              <w:t>202</w:t>
            </w:r>
            <w:r>
              <w:rPr>
                <w:rFonts w:hint="eastAsia" w:ascii="宋体" w:hAnsi="宋体" w:cs="宋体"/>
                <w:sz w:val="24"/>
              </w:rPr>
              <w:t>7年</w:t>
            </w:r>
            <w:r>
              <w:rPr>
                <w:rFonts w:ascii="宋体" w:hAnsi="宋体" w:cs="宋体"/>
                <w:sz w:val="24"/>
              </w:rPr>
              <w:t>1</w:t>
            </w:r>
            <w:r>
              <w:rPr>
                <w:rFonts w:hint="eastAsia" w:ascii="宋体" w:hAnsi="宋体" w:cs="宋体"/>
                <w:sz w:val="24"/>
                <w:lang w:val="en-US" w:eastAsia="zh-CN"/>
              </w:rPr>
              <w:t>2</w:t>
            </w:r>
            <w:r>
              <w:rPr>
                <w:rFonts w:hint="eastAsia" w:ascii="宋体" w:hAnsi="宋体" w:cs="宋体"/>
                <w:sz w:val="24"/>
              </w:rPr>
              <w:t>月</w:t>
            </w:r>
            <w:r>
              <w:rPr>
                <w:rFonts w:ascii="宋体" w:hAnsi="宋体" w:cs="宋体"/>
                <w:sz w:val="24"/>
              </w:rPr>
              <w:t>31</w:t>
            </w:r>
            <w:r>
              <w:rPr>
                <w:rFonts w:hint="eastAsia" w:ascii="宋体" w:hAnsi="宋体" w:cs="宋体"/>
                <w:sz w:val="24"/>
              </w:rPr>
              <w:t>日</w:t>
            </w:r>
          </w:p>
        </w:tc>
      </w:tr>
    </w:tbl>
    <w:p w14:paraId="26FBD8FE">
      <w:pPr>
        <w:pStyle w:val="48"/>
        <w:keepNext/>
        <w:keepLines/>
        <w:spacing w:line="578" w:lineRule="auto"/>
        <w:ind w:firstLine="0" w:firstLineChars="0"/>
        <w:outlineLvl w:val="0"/>
        <w:rPr>
          <w:rFonts w:ascii="宋体" w:hAnsi="宋体" w:eastAsia="宋体"/>
          <w:b/>
          <w:bCs/>
          <w:vanish/>
          <w:kern w:val="44"/>
          <w:sz w:val="44"/>
          <w:szCs w:val="44"/>
        </w:rPr>
      </w:pPr>
    </w:p>
    <w:p w14:paraId="3E8FB534">
      <w:pPr>
        <w:pStyle w:val="48"/>
        <w:keepNext/>
        <w:keepLines/>
        <w:numPr>
          <w:ilvl w:val="0"/>
          <w:numId w:val="1"/>
        </w:numPr>
        <w:spacing w:line="578" w:lineRule="auto"/>
        <w:ind w:firstLineChars="0"/>
        <w:outlineLvl w:val="0"/>
        <w:rPr>
          <w:rFonts w:ascii="宋体" w:hAnsi="宋体" w:eastAsia="宋体"/>
          <w:b/>
          <w:bCs/>
          <w:vanish/>
          <w:kern w:val="44"/>
          <w:sz w:val="44"/>
          <w:szCs w:val="44"/>
        </w:rPr>
      </w:pPr>
    </w:p>
    <w:p w14:paraId="5DBF318F">
      <w:pPr>
        <w:pStyle w:val="48"/>
        <w:keepNext/>
        <w:keepLines/>
        <w:numPr>
          <w:ilvl w:val="0"/>
          <w:numId w:val="1"/>
        </w:numPr>
        <w:spacing w:line="578" w:lineRule="auto"/>
        <w:ind w:firstLineChars="0"/>
        <w:outlineLvl w:val="0"/>
        <w:rPr>
          <w:rFonts w:ascii="宋体" w:hAnsi="宋体" w:eastAsia="宋体"/>
          <w:b/>
          <w:bCs/>
          <w:vanish/>
          <w:kern w:val="44"/>
          <w:sz w:val="44"/>
          <w:szCs w:val="44"/>
        </w:rPr>
      </w:pPr>
    </w:p>
    <w:p w14:paraId="776433E9">
      <w:pPr>
        <w:pStyle w:val="48"/>
        <w:keepNext/>
        <w:keepLines/>
        <w:numPr>
          <w:ilvl w:val="1"/>
          <w:numId w:val="1"/>
        </w:numPr>
        <w:spacing w:line="578" w:lineRule="auto"/>
        <w:ind w:firstLineChars="0"/>
        <w:outlineLvl w:val="0"/>
        <w:rPr>
          <w:rFonts w:ascii="宋体" w:hAnsi="宋体" w:eastAsia="宋体"/>
          <w:b/>
          <w:bCs/>
          <w:vanish/>
          <w:kern w:val="44"/>
          <w:sz w:val="44"/>
          <w:szCs w:val="44"/>
        </w:rPr>
      </w:pPr>
    </w:p>
    <w:p w14:paraId="057977CD">
      <w:pPr>
        <w:pStyle w:val="2"/>
        <w:numPr>
          <w:ilvl w:val="0"/>
          <w:numId w:val="0"/>
        </w:numPr>
        <w:spacing w:before="0" w:after="0"/>
        <w:ind w:leftChars="0"/>
        <w:rPr>
          <w:rFonts w:ascii="宋体" w:hAnsi="宋体"/>
          <w:sz w:val="24"/>
          <w:szCs w:val="24"/>
        </w:rPr>
      </w:pPr>
      <w:r>
        <w:rPr>
          <w:rFonts w:hint="eastAsia" w:ascii="宋体" w:hAnsi="宋体"/>
          <w:sz w:val="32"/>
          <w:szCs w:val="32"/>
          <w:lang w:val="en-US" w:eastAsia="zh-CN"/>
        </w:rPr>
        <w:t>三、</w:t>
      </w:r>
      <w:r>
        <w:rPr>
          <w:rFonts w:hint="eastAsia" w:ascii="宋体" w:hAnsi="宋体"/>
          <w:sz w:val="32"/>
          <w:szCs w:val="32"/>
        </w:rPr>
        <w:t>详细功能描述</w:t>
      </w:r>
      <w:bookmarkStart w:id="0" w:name="_6.1.1、大数据服务器"/>
      <w:bookmarkEnd w:id="0"/>
    </w:p>
    <w:p w14:paraId="5400FF30">
      <w:pPr>
        <w:rPr>
          <w:sz w:val="24"/>
          <w:szCs w:val="24"/>
        </w:rPr>
      </w:pPr>
    </w:p>
    <w:tbl>
      <w:tblPr>
        <w:tblStyle w:val="19"/>
        <w:tblW w:w="5774" w:type="pct"/>
        <w:tblInd w:w="-682" w:type="dxa"/>
        <w:tblLayout w:type="autofit"/>
        <w:tblCellMar>
          <w:top w:w="0" w:type="dxa"/>
          <w:left w:w="108" w:type="dxa"/>
          <w:bottom w:w="0" w:type="dxa"/>
          <w:right w:w="108" w:type="dxa"/>
        </w:tblCellMar>
      </w:tblPr>
      <w:tblGrid>
        <w:gridCol w:w="809"/>
        <w:gridCol w:w="1409"/>
        <w:gridCol w:w="8505"/>
      </w:tblGrid>
      <w:tr w14:paraId="7A344F72">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49E6CEB8">
            <w:pPr>
              <w:widowControl/>
              <w:jc w:val="center"/>
              <w:rPr>
                <w:rFonts w:ascii="宋体" w:hAnsi="宋体" w:cs="宋体"/>
                <w:b/>
                <w:bCs/>
                <w:color w:val="000000"/>
                <w:sz w:val="24"/>
                <w:szCs w:val="24"/>
              </w:rPr>
            </w:pPr>
            <w:r>
              <w:rPr>
                <w:rFonts w:hint="eastAsia" w:ascii="宋体" w:hAnsi="宋体" w:cs="宋体"/>
                <w:b/>
                <w:bCs/>
                <w:color w:val="000000"/>
                <w:sz w:val="24"/>
                <w:szCs w:val="24"/>
              </w:rPr>
              <w:t>序号</w:t>
            </w:r>
          </w:p>
        </w:tc>
        <w:tc>
          <w:tcPr>
            <w:tcW w:w="657" w:type="pct"/>
            <w:tcBorders>
              <w:top w:val="single" w:color="auto" w:sz="4" w:space="0"/>
              <w:left w:val="nil"/>
              <w:bottom w:val="single" w:color="auto" w:sz="4" w:space="0"/>
              <w:right w:val="single" w:color="auto" w:sz="4" w:space="0"/>
            </w:tcBorders>
            <w:vAlign w:val="center"/>
          </w:tcPr>
          <w:p w14:paraId="2F414D88">
            <w:pPr>
              <w:widowControl/>
              <w:jc w:val="center"/>
              <w:rPr>
                <w:rFonts w:ascii="宋体" w:hAnsi="宋体" w:cs="宋体"/>
                <w:b/>
                <w:bCs/>
                <w:color w:val="000000"/>
                <w:sz w:val="24"/>
                <w:szCs w:val="24"/>
              </w:rPr>
            </w:pPr>
            <w:r>
              <w:rPr>
                <w:rFonts w:hint="eastAsia" w:ascii="宋体" w:hAnsi="宋体" w:cs="宋体"/>
                <w:b/>
                <w:bCs/>
                <w:color w:val="000000"/>
                <w:sz w:val="24"/>
                <w:szCs w:val="24"/>
              </w:rPr>
              <w:t>内容</w:t>
            </w:r>
          </w:p>
        </w:tc>
        <w:tc>
          <w:tcPr>
            <w:tcW w:w="3965" w:type="pct"/>
            <w:tcBorders>
              <w:top w:val="single" w:color="auto" w:sz="4" w:space="0"/>
              <w:left w:val="nil"/>
              <w:bottom w:val="single" w:color="auto" w:sz="4" w:space="0"/>
              <w:right w:val="single" w:color="auto" w:sz="4" w:space="0"/>
            </w:tcBorders>
            <w:vAlign w:val="center"/>
          </w:tcPr>
          <w:p w14:paraId="22B96F41">
            <w:pPr>
              <w:widowControl/>
              <w:jc w:val="center"/>
              <w:rPr>
                <w:rFonts w:ascii="宋体" w:hAnsi="宋体" w:cs="宋体"/>
                <w:b/>
                <w:bCs/>
                <w:color w:val="000000"/>
                <w:sz w:val="24"/>
                <w:szCs w:val="24"/>
              </w:rPr>
            </w:pPr>
            <w:r>
              <w:rPr>
                <w:rFonts w:hint="eastAsia" w:ascii="宋体" w:hAnsi="宋体" w:cs="宋体"/>
                <w:b/>
                <w:bCs/>
                <w:color w:val="000000"/>
                <w:sz w:val="24"/>
                <w:szCs w:val="24"/>
              </w:rPr>
              <w:t>功能描述</w:t>
            </w:r>
          </w:p>
        </w:tc>
      </w:tr>
      <w:tr w14:paraId="12478797">
        <w:tblPrEx>
          <w:tblCellMar>
            <w:top w:w="0" w:type="dxa"/>
            <w:left w:w="108" w:type="dxa"/>
            <w:bottom w:w="0" w:type="dxa"/>
            <w:right w:w="108" w:type="dxa"/>
          </w:tblCellMar>
        </w:tblPrEx>
        <w:trPr>
          <w:trHeight w:val="320" w:hRule="atLeast"/>
        </w:trPr>
        <w:tc>
          <w:tcPr>
            <w:tcW w:w="377" w:type="pct"/>
            <w:tcBorders>
              <w:top w:val="nil"/>
              <w:left w:val="single" w:color="auto" w:sz="4" w:space="0"/>
              <w:bottom w:val="single" w:color="auto" w:sz="4" w:space="0"/>
              <w:right w:val="single" w:color="auto" w:sz="4" w:space="0"/>
            </w:tcBorders>
            <w:vAlign w:val="center"/>
          </w:tcPr>
          <w:p w14:paraId="106C7D2F">
            <w:pPr>
              <w:widowControl/>
              <w:jc w:val="center"/>
              <w:rPr>
                <w:rFonts w:ascii="宋体" w:hAnsi="宋体" w:cs="宋体"/>
                <w:color w:val="000000"/>
                <w:szCs w:val="21"/>
              </w:rPr>
            </w:pPr>
            <w:r>
              <w:rPr>
                <w:rFonts w:hint="eastAsia" w:ascii="宋体" w:hAnsi="宋体" w:cs="宋体"/>
                <w:color w:val="000000"/>
                <w:szCs w:val="21"/>
              </w:rPr>
              <w:t>1</w:t>
            </w:r>
          </w:p>
        </w:tc>
        <w:tc>
          <w:tcPr>
            <w:tcW w:w="657" w:type="pct"/>
            <w:tcBorders>
              <w:top w:val="nil"/>
              <w:left w:val="nil"/>
              <w:bottom w:val="single" w:color="auto" w:sz="4" w:space="0"/>
              <w:right w:val="single" w:color="auto" w:sz="4" w:space="0"/>
            </w:tcBorders>
            <w:vAlign w:val="top"/>
          </w:tcPr>
          <w:p w14:paraId="13E155A4">
            <w:pPr>
              <w:rPr>
                <w:rFonts w:ascii="宋体" w:hAnsi="宋体" w:cs="宋体"/>
                <w:color w:val="000000"/>
                <w:szCs w:val="21"/>
              </w:rPr>
            </w:pPr>
            <w:r>
              <w:rPr>
                <w:rFonts w:ascii="宋体" w:hAnsi="宋体" w:eastAsia="宋体"/>
                <w:sz w:val="21"/>
                <w:lang w:eastAsia="zh-CN"/>
              </w:rPr>
              <w:t>万方医学网中文医学期刊</w:t>
            </w:r>
          </w:p>
        </w:tc>
        <w:tc>
          <w:tcPr>
            <w:tcW w:w="3965" w:type="pct"/>
            <w:tcBorders>
              <w:top w:val="nil"/>
              <w:left w:val="nil"/>
              <w:bottom w:val="single" w:color="auto" w:sz="4" w:space="0"/>
              <w:right w:val="single" w:color="auto" w:sz="4" w:space="0"/>
            </w:tcBorders>
            <w:vAlign w:val="top"/>
          </w:tcPr>
          <w:p w14:paraId="5036756D">
            <w:pPr>
              <w:rPr>
                <w:sz w:val="24"/>
              </w:rPr>
            </w:pPr>
            <w:r>
              <w:rPr>
                <w:rFonts w:ascii="宋体" w:hAnsi="宋体" w:eastAsia="宋体"/>
                <w:sz w:val="21"/>
                <w:lang w:eastAsia="zh-CN"/>
              </w:rPr>
              <w:t>完全响应。收录种类不少于1400种，涵盖基础医学、临床医学、预防医学、中国医学、药学、特种医学、生物科学等学科专业；期刊知识内容按照临床需要分为评论、论著、简报、病理报告、综述讲座、会议纪要和消息动态7大类33个小类；</w:t>
            </w:r>
            <w:r>
              <w:rPr>
                <w:rFonts w:hint="eastAsia" w:ascii="宋体" w:hAnsi="宋体" w:eastAsia="宋体"/>
                <w:sz w:val="21"/>
                <w:lang w:eastAsia="zh-CN"/>
              </w:rPr>
              <w:t>检索结果可在同一界面实现资源类型、年份、发布时间、文献聚类、中图分类、关键词聚类、刊名、作者、作者单位、收录源、栏目名称、医学主题词、出版状态等分类排序。具有相似文献功能，所查文献必须把类似的期刊、学位、会议论文关联起来，直接查看相似的学位和会议论文。提供文献计量统计分析，涵盖高产出作者、高产出机构、期刊、基金、年发文量排序、学科分布和资源类型。具有增强检索功能，全文提供AI解读，可篇内对话。支持订阅功能，提供个性化服务，可实现对机构、学者、期刊学术关注，定题学科、疾病跟踪管理，满足医护人员的学术追踪需求，可建立学术主页。</w:t>
            </w:r>
          </w:p>
        </w:tc>
      </w:tr>
      <w:tr w14:paraId="3D8A9AB9">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11957502">
            <w:pPr>
              <w:widowControl/>
              <w:jc w:val="center"/>
              <w:rPr>
                <w:rFonts w:ascii="宋体" w:hAnsi="宋体" w:cs="宋体"/>
                <w:b/>
                <w:bCs/>
                <w:color w:val="000000"/>
                <w:szCs w:val="21"/>
              </w:rPr>
            </w:pPr>
            <w:bookmarkStart w:id="1" w:name="_6.1.2、容器服务器"/>
            <w:bookmarkEnd w:id="1"/>
            <w:bookmarkStart w:id="2" w:name="_Hlk219132193"/>
            <w:r>
              <w:rPr>
                <w:rFonts w:hint="eastAsia" w:ascii="宋体" w:hAnsi="宋体" w:cs="宋体"/>
                <w:b/>
                <w:bCs/>
                <w:color w:val="000000"/>
                <w:szCs w:val="21"/>
              </w:rPr>
              <w:t>2</w:t>
            </w:r>
          </w:p>
        </w:tc>
        <w:tc>
          <w:tcPr>
            <w:tcW w:w="657" w:type="pct"/>
            <w:tcBorders>
              <w:top w:val="single" w:color="auto" w:sz="4" w:space="0"/>
              <w:left w:val="nil"/>
              <w:bottom w:val="single" w:color="auto" w:sz="4" w:space="0"/>
              <w:right w:val="single" w:color="auto" w:sz="4" w:space="0"/>
            </w:tcBorders>
            <w:vAlign w:val="top"/>
          </w:tcPr>
          <w:p w14:paraId="41CCFF42">
            <w:pPr>
              <w:rPr>
                <w:sz w:val="24"/>
              </w:rPr>
            </w:pPr>
            <w:r>
              <w:rPr>
                <w:rFonts w:ascii="宋体" w:hAnsi="宋体" w:eastAsia="宋体"/>
                <w:sz w:val="21"/>
                <w:lang w:eastAsia="zh-CN"/>
              </w:rPr>
              <w:t>万方医学网期刊评价/作者/机构空间</w:t>
            </w:r>
          </w:p>
        </w:tc>
        <w:tc>
          <w:tcPr>
            <w:tcW w:w="3965" w:type="pct"/>
            <w:tcBorders>
              <w:top w:val="single" w:color="auto" w:sz="4" w:space="0"/>
              <w:left w:val="nil"/>
              <w:bottom w:val="single" w:color="auto" w:sz="4" w:space="0"/>
              <w:right w:val="single" w:color="auto" w:sz="4" w:space="0"/>
            </w:tcBorders>
            <w:vAlign w:val="top"/>
          </w:tcPr>
          <w:p w14:paraId="7BD4AB51">
            <w:pPr>
              <w:tabs>
                <w:tab w:val="left" w:pos="312"/>
              </w:tabs>
              <w:rPr>
                <w:sz w:val="24"/>
              </w:rPr>
            </w:pPr>
            <w:r>
              <w:rPr>
                <w:rFonts w:ascii="宋体" w:hAnsi="宋体" w:eastAsia="宋体"/>
                <w:sz w:val="21"/>
                <w:lang w:eastAsia="zh-CN"/>
              </w:rPr>
              <w:t>完全响应。</w:t>
            </w:r>
            <w:r>
              <w:rPr>
                <w:rFonts w:hint="eastAsia" w:ascii="宋体" w:hAnsi="宋体" w:eastAsia="宋体"/>
                <w:sz w:val="21"/>
                <w:lang w:eastAsia="zh-CN"/>
              </w:rPr>
              <w:t>机构分析涵盖中文总发文数、学者数、总被引数，提供成果概览、成果详情、趋势分析、学者分析、合作分析、学科分析和期刊分析。提供各类图表，内容可拓展链接。作者分析涵盖中文总发文数、H指数、总被引数，提供成果概览、成果详情、发文分析、合作分析、主题分析、期刊分析和被引分析。提供各类图表，内容可拓展链接。</w:t>
            </w:r>
          </w:p>
        </w:tc>
      </w:tr>
      <w:bookmarkEnd w:id="2"/>
      <w:tr w14:paraId="432AC1A9">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5D4C5BE8">
            <w:pPr>
              <w:widowControl/>
              <w:jc w:val="center"/>
              <w:rPr>
                <w:rFonts w:ascii="宋体" w:hAnsi="宋体" w:cs="宋体"/>
                <w:b/>
                <w:bCs/>
                <w:color w:val="000000"/>
                <w:szCs w:val="21"/>
              </w:rPr>
            </w:pPr>
            <w:r>
              <w:rPr>
                <w:rFonts w:hint="eastAsia" w:ascii="宋体" w:hAnsi="宋体" w:cs="宋体"/>
                <w:b/>
                <w:bCs/>
                <w:color w:val="000000"/>
                <w:szCs w:val="21"/>
              </w:rPr>
              <w:t>3</w:t>
            </w:r>
          </w:p>
        </w:tc>
        <w:tc>
          <w:tcPr>
            <w:tcW w:w="657" w:type="pct"/>
            <w:tcBorders>
              <w:top w:val="single" w:color="auto" w:sz="4" w:space="0"/>
              <w:left w:val="nil"/>
              <w:bottom w:val="single" w:color="auto" w:sz="4" w:space="0"/>
              <w:right w:val="single" w:color="auto" w:sz="4" w:space="0"/>
            </w:tcBorders>
            <w:vAlign w:val="top"/>
          </w:tcPr>
          <w:p w14:paraId="26C6A857">
            <w:pPr>
              <w:rPr>
                <w:sz w:val="24"/>
              </w:rPr>
            </w:pPr>
            <w:r>
              <w:rPr>
                <w:rFonts w:ascii="宋体" w:hAnsi="宋体" w:eastAsia="宋体"/>
                <w:sz w:val="21"/>
              </w:rPr>
              <w:t>万方医学网临床指南</w:t>
            </w:r>
          </w:p>
        </w:tc>
        <w:tc>
          <w:tcPr>
            <w:tcW w:w="3965" w:type="pct"/>
            <w:tcBorders>
              <w:top w:val="single" w:color="auto" w:sz="4" w:space="0"/>
              <w:left w:val="nil"/>
              <w:bottom w:val="single" w:color="auto" w:sz="4" w:space="0"/>
              <w:right w:val="single" w:color="auto" w:sz="4" w:space="0"/>
            </w:tcBorders>
            <w:vAlign w:val="top"/>
          </w:tcPr>
          <w:p w14:paraId="43C62259">
            <w:pPr>
              <w:rPr>
                <w:sz w:val="24"/>
              </w:rPr>
            </w:pPr>
            <w:r>
              <w:rPr>
                <w:rFonts w:ascii="宋体" w:hAnsi="宋体" w:eastAsia="宋体"/>
                <w:sz w:val="21"/>
                <w:lang w:eastAsia="zh-CN"/>
              </w:rPr>
              <w:t>完全响应。</w:t>
            </w:r>
            <w:r>
              <w:rPr>
                <w:rFonts w:hint="eastAsia" w:ascii="宋体" w:hAnsi="宋体" w:eastAsia="宋体"/>
                <w:sz w:val="21"/>
                <w:lang w:eastAsia="zh-CN"/>
              </w:rPr>
              <w:t>临床指南按照学科分类涵盖指南、解读、规范和共识内容，明确标注各项内容的制定者及来源。</w:t>
            </w:r>
          </w:p>
        </w:tc>
      </w:tr>
      <w:tr w14:paraId="40CD21AC">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7951ADEA">
            <w:pPr>
              <w:widowControl/>
              <w:jc w:val="center"/>
              <w:rPr>
                <w:rFonts w:ascii="宋体" w:hAnsi="宋体" w:cs="宋体"/>
                <w:b/>
                <w:bCs/>
                <w:color w:val="000000"/>
                <w:szCs w:val="21"/>
              </w:rPr>
            </w:pPr>
            <w:r>
              <w:rPr>
                <w:rFonts w:hint="eastAsia" w:ascii="宋体" w:hAnsi="宋体" w:cs="宋体"/>
                <w:b/>
                <w:bCs/>
                <w:color w:val="000000"/>
                <w:szCs w:val="21"/>
              </w:rPr>
              <w:t>4</w:t>
            </w:r>
          </w:p>
        </w:tc>
        <w:tc>
          <w:tcPr>
            <w:tcW w:w="657" w:type="pct"/>
            <w:tcBorders>
              <w:top w:val="single" w:color="auto" w:sz="4" w:space="0"/>
              <w:left w:val="nil"/>
              <w:bottom w:val="single" w:color="auto" w:sz="4" w:space="0"/>
              <w:right w:val="single" w:color="auto" w:sz="4" w:space="0"/>
            </w:tcBorders>
            <w:vAlign w:val="top"/>
          </w:tcPr>
          <w:p w14:paraId="4723DB92">
            <w:pPr>
              <w:jc w:val="both"/>
              <w:rPr>
                <w:sz w:val="24"/>
              </w:rPr>
            </w:pPr>
            <w:r>
              <w:rPr>
                <w:rFonts w:ascii="宋体" w:hAnsi="宋体" w:eastAsia="宋体"/>
                <w:sz w:val="21"/>
                <w:lang w:eastAsia="zh-CN"/>
              </w:rPr>
              <w:t>万方医学网中文医学会议</w:t>
            </w:r>
          </w:p>
        </w:tc>
        <w:tc>
          <w:tcPr>
            <w:tcW w:w="3965" w:type="pct"/>
            <w:tcBorders>
              <w:top w:val="single" w:color="auto" w:sz="4" w:space="0"/>
              <w:left w:val="nil"/>
              <w:bottom w:val="single" w:color="auto" w:sz="4" w:space="0"/>
              <w:right w:val="single" w:color="auto" w:sz="4" w:space="0"/>
            </w:tcBorders>
            <w:vAlign w:val="top"/>
          </w:tcPr>
          <w:p w14:paraId="2108164C">
            <w:pPr>
              <w:rPr>
                <w:sz w:val="24"/>
              </w:rPr>
            </w:pPr>
            <w:r>
              <w:rPr>
                <w:rFonts w:ascii="宋体" w:hAnsi="宋体" w:eastAsia="宋体"/>
                <w:sz w:val="21"/>
                <w:lang w:eastAsia="zh-CN"/>
              </w:rPr>
              <w:t>完全响应。收录始于1998年，收录了包含</w:t>
            </w:r>
            <w:r>
              <w:rPr>
                <w:rFonts w:hint="eastAsia" w:ascii="宋体" w:hAnsi="宋体" w:eastAsia="宋体"/>
                <w:sz w:val="21"/>
                <w:lang w:eastAsia="zh-CN"/>
              </w:rPr>
              <w:t>中华医学会、中国中西医结合学会、中华中医药学会、中华医学会继续教育部、中国药学会、浙江省医学会、中华预防医学会、中华护理学会等82</w:t>
            </w:r>
            <w:r>
              <w:rPr>
                <w:rFonts w:ascii="宋体" w:hAnsi="宋体" w:eastAsia="宋体"/>
                <w:sz w:val="21"/>
                <w:lang w:eastAsia="zh-CN"/>
              </w:rPr>
              <w:t>00余个学术会议报道</w:t>
            </w:r>
            <w:r>
              <w:rPr>
                <w:rFonts w:hint="eastAsia" w:ascii="宋体" w:hAnsi="宋体" w:eastAsia="宋体"/>
                <w:sz w:val="21"/>
                <w:lang w:eastAsia="zh-CN"/>
              </w:rPr>
              <w:t>。检索结果可在同一界面实现资源类型、年份、发布时间、文献类型聚类、中图分类、关键词聚类、主办单位、相关度、被引次数和下载量等排序。单篇文献提供在线阅读、AI解读、下载全文和终端阅读模式和可分享，作者、单位、关键词、医学主题词、母体文献和会议名称、主办单位和分类号可拓展链接。提供文献计量统计分析，涵盖高产出作者、高产出机构、期刊、基金、年发文量排序、学科分布和资源类型。具有相似文献功能，所查文献必须把类似的期刊、学位、会议论文关联起来，直接查看相似文献如期刊、学位和会议论文。具有增强检索功能，全文提供AI解读，可篇内对话。</w:t>
            </w:r>
          </w:p>
        </w:tc>
      </w:tr>
      <w:tr w14:paraId="33CC3873">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57AEFB06">
            <w:pPr>
              <w:widowControl/>
              <w:jc w:val="center"/>
              <w:rPr>
                <w:rFonts w:hint="eastAsia" w:ascii="宋体" w:hAnsi="宋体" w:eastAsia="宋体" w:cs="宋体"/>
                <w:b/>
                <w:bCs/>
                <w:color w:val="000000"/>
                <w:szCs w:val="21"/>
                <w:lang w:val="en-US" w:eastAsia="zh-CN"/>
              </w:rPr>
            </w:pPr>
            <w:r>
              <w:rPr>
                <w:rFonts w:hint="eastAsia" w:ascii="宋体" w:hAnsi="宋体" w:cs="宋体"/>
                <w:b/>
                <w:bCs/>
                <w:color w:val="000000"/>
                <w:szCs w:val="21"/>
                <w:lang w:val="en-US" w:eastAsia="zh-CN"/>
              </w:rPr>
              <w:t>5</w:t>
            </w:r>
          </w:p>
        </w:tc>
        <w:tc>
          <w:tcPr>
            <w:tcW w:w="657" w:type="pct"/>
            <w:tcBorders>
              <w:top w:val="single" w:color="auto" w:sz="4" w:space="0"/>
              <w:left w:val="nil"/>
              <w:bottom w:val="single" w:color="auto" w:sz="4" w:space="0"/>
              <w:right w:val="single" w:color="auto" w:sz="4" w:space="0"/>
            </w:tcBorders>
            <w:vAlign w:val="top"/>
          </w:tcPr>
          <w:p w14:paraId="6E35DA3C">
            <w:pPr>
              <w:jc w:val="both"/>
              <w:rPr>
                <w:rFonts w:hint="eastAsia"/>
                <w:sz w:val="24"/>
              </w:rPr>
            </w:pPr>
            <w:r>
              <w:rPr>
                <w:rFonts w:ascii="宋体" w:hAnsi="宋体" w:eastAsia="宋体"/>
                <w:sz w:val="21"/>
                <w:lang w:eastAsia="zh-CN"/>
              </w:rPr>
              <w:t>万方医学网中文医药学位论文</w:t>
            </w:r>
          </w:p>
        </w:tc>
        <w:tc>
          <w:tcPr>
            <w:tcW w:w="3965" w:type="pct"/>
            <w:tcBorders>
              <w:top w:val="single" w:color="auto" w:sz="4" w:space="0"/>
              <w:left w:val="nil"/>
              <w:bottom w:val="single" w:color="auto" w:sz="4" w:space="0"/>
              <w:right w:val="single" w:color="auto" w:sz="4" w:space="0"/>
            </w:tcBorders>
            <w:vAlign w:val="top"/>
          </w:tcPr>
          <w:p w14:paraId="442D30FA">
            <w:pPr>
              <w:rPr>
                <w:rFonts w:ascii="宋体" w:hAnsi="宋体" w:eastAsia="宋体"/>
                <w:sz w:val="21"/>
                <w:lang w:eastAsia="zh-CN"/>
              </w:rPr>
            </w:pPr>
            <w:r>
              <w:rPr>
                <w:rFonts w:ascii="宋体" w:hAnsi="宋体" w:eastAsia="宋体"/>
                <w:sz w:val="21"/>
                <w:lang w:eastAsia="zh-CN"/>
              </w:rPr>
              <w:t>完全响应。</w:t>
            </w:r>
            <w:r>
              <w:rPr>
                <w:rFonts w:hint="eastAsia" w:ascii="宋体" w:hAnsi="宋体" w:eastAsia="宋体"/>
                <w:sz w:val="21"/>
                <w:lang w:eastAsia="zh-CN"/>
              </w:rPr>
              <w:t>以国家法定的学位论文收藏单位“中国国家科技信息研究所”为依托,收录来源以985、211高校和中科院、医院等1200多家单位，收录我国95%以上学位授予单位的学位论文；</w:t>
            </w:r>
          </w:p>
          <w:p w14:paraId="6BC44072">
            <w:pPr>
              <w:rPr>
                <w:rFonts w:ascii="宋体" w:hAnsi="宋体" w:eastAsia="宋体"/>
                <w:sz w:val="21"/>
                <w:lang w:eastAsia="zh-CN"/>
              </w:rPr>
            </w:pPr>
            <w:r>
              <w:rPr>
                <w:rFonts w:ascii="宋体" w:hAnsi="宋体" w:eastAsia="宋体"/>
                <w:sz w:val="21"/>
                <w:lang w:eastAsia="zh-CN"/>
              </w:rPr>
              <w:t>2</w:t>
            </w:r>
            <w:r>
              <w:rPr>
                <w:rFonts w:hint="eastAsia" w:ascii="宋体" w:hAnsi="宋体" w:eastAsia="宋体"/>
                <w:sz w:val="21"/>
                <w:lang w:eastAsia="zh-CN"/>
              </w:rPr>
              <w:t>.涵盖各个学科如药学、中药学、基础医学、公共卫生与预防医学等8大学科，是我国收录数量最多（127万篇）、质量最高（博士及博士后1</w:t>
            </w:r>
            <w:r>
              <w:rPr>
                <w:rFonts w:ascii="宋体" w:hAnsi="宋体" w:eastAsia="宋体"/>
                <w:sz w:val="21"/>
                <w:lang w:eastAsia="zh-CN"/>
              </w:rPr>
              <w:t>6</w:t>
            </w:r>
            <w:r>
              <w:rPr>
                <w:rFonts w:hint="eastAsia" w:ascii="宋体" w:hAnsi="宋体" w:eastAsia="宋体"/>
                <w:sz w:val="21"/>
                <w:lang w:eastAsia="zh-CN"/>
              </w:rPr>
              <w:t>万篇）的医药论文全文数据库；</w:t>
            </w:r>
          </w:p>
          <w:p w14:paraId="5EBE68F6">
            <w:pPr>
              <w:rPr>
                <w:rFonts w:ascii="宋体" w:hAnsi="宋体" w:eastAsia="宋体"/>
                <w:sz w:val="21"/>
                <w:lang w:eastAsia="zh-CN"/>
              </w:rPr>
            </w:pPr>
            <w:r>
              <w:rPr>
                <w:rFonts w:hint="eastAsia" w:ascii="宋体" w:hAnsi="宋体" w:eastAsia="宋体"/>
                <w:sz w:val="21"/>
                <w:lang w:eastAsia="zh-CN"/>
              </w:rPr>
              <w:t>3. 检索结果可在同一界面实现资源类型、授予年份、发布时间、中图分类、关键词聚类、授予学位和授予单位、相关度、被引次数和下载量等排序。</w:t>
            </w:r>
          </w:p>
          <w:p w14:paraId="5ED95BF4">
            <w:pPr>
              <w:rPr>
                <w:rFonts w:ascii="宋体" w:hAnsi="宋体" w:eastAsia="宋体"/>
                <w:sz w:val="21"/>
                <w:lang w:eastAsia="zh-CN"/>
              </w:rPr>
            </w:pPr>
            <w:r>
              <w:rPr>
                <w:rFonts w:hint="eastAsia" w:ascii="宋体" w:hAnsi="宋体" w:eastAsia="宋体"/>
                <w:sz w:val="21"/>
                <w:lang w:eastAsia="zh-CN"/>
              </w:rPr>
              <w:t>4.单篇文献提供在线阅读、下载和终端阅读模式和可分享，作者、导师、学位信息、关键词和分类号可拓展链接。</w:t>
            </w:r>
          </w:p>
          <w:p w14:paraId="16AB28CA">
            <w:pPr>
              <w:rPr>
                <w:rFonts w:hint="eastAsia"/>
                <w:sz w:val="24"/>
              </w:rPr>
            </w:pPr>
            <w:r>
              <w:rPr>
                <w:rFonts w:hint="eastAsia" w:ascii="宋体" w:hAnsi="宋体" w:eastAsia="宋体"/>
                <w:sz w:val="21"/>
                <w:lang w:eastAsia="zh-CN"/>
              </w:rPr>
              <w:t>5.具有相似文献功能，所查文献必须把类似的期刊、学位、会议论文关联起来，直接查看相似文献如期刊、学位和会议论文。</w:t>
            </w:r>
          </w:p>
        </w:tc>
      </w:tr>
      <w:tr w14:paraId="6F6BBFBB">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4BF2DA9D">
            <w:pPr>
              <w:widowControl/>
              <w:jc w:val="center"/>
              <w:rPr>
                <w:rFonts w:hint="eastAsia" w:ascii="宋体" w:hAnsi="宋体" w:eastAsia="宋体" w:cs="宋体"/>
                <w:b/>
                <w:bCs/>
                <w:color w:val="000000"/>
                <w:szCs w:val="21"/>
                <w:lang w:val="en-US" w:eastAsia="zh-CN"/>
              </w:rPr>
            </w:pPr>
            <w:r>
              <w:rPr>
                <w:rFonts w:hint="eastAsia" w:ascii="宋体" w:hAnsi="宋体" w:cs="宋体"/>
                <w:b/>
                <w:bCs/>
                <w:color w:val="000000"/>
                <w:szCs w:val="21"/>
                <w:lang w:val="en-US" w:eastAsia="zh-CN"/>
              </w:rPr>
              <w:t>6</w:t>
            </w:r>
          </w:p>
        </w:tc>
        <w:tc>
          <w:tcPr>
            <w:tcW w:w="657" w:type="pct"/>
            <w:tcBorders>
              <w:top w:val="single" w:color="auto" w:sz="4" w:space="0"/>
              <w:left w:val="nil"/>
              <w:bottom w:val="single" w:color="auto" w:sz="4" w:space="0"/>
              <w:right w:val="single" w:color="auto" w:sz="4" w:space="0"/>
            </w:tcBorders>
            <w:vAlign w:val="top"/>
          </w:tcPr>
          <w:p w14:paraId="6B6C1BCA">
            <w:pPr>
              <w:jc w:val="both"/>
              <w:rPr>
                <w:rFonts w:hint="eastAsia"/>
                <w:sz w:val="24"/>
              </w:rPr>
            </w:pPr>
            <w:r>
              <w:rPr>
                <w:rFonts w:ascii="宋体" w:hAnsi="宋体" w:eastAsia="宋体"/>
                <w:sz w:val="21"/>
              </w:rPr>
              <w:t>万方医学网专利</w:t>
            </w:r>
          </w:p>
        </w:tc>
        <w:tc>
          <w:tcPr>
            <w:tcW w:w="3965" w:type="pct"/>
            <w:tcBorders>
              <w:top w:val="single" w:color="auto" w:sz="4" w:space="0"/>
              <w:left w:val="nil"/>
              <w:bottom w:val="single" w:color="auto" w:sz="4" w:space="0"/>
              <w:right w:val="single" w:color="auto" w:sz="4" w:space="0"/>
            </w:tcBorders>
            <w:vAlign w:val="top"/>
          </w:tcPr>
          <w:p w14:paraId="02E76931">
            <w:pPr>
              <w:rPr>
                <w:rFonts w:hint="eastAsia"/>
                <w:sz w:val="24"/>
              </w:rPr>
            </w:pPr>
            <w:r>
              <w:rPr>
                <w:rFonts w:ascii="宋体" w:hAnsi="宋体" w:eastAsia="宋体"/>
                <w:sz w:val="21"/>
                <w:lang w:eastAsia="zh-CN"/>
              </w:rPr>
              <w:t>完全响应。专利技术 1076 万余条</w:t>
            </w:r>
            <w:r>
              <w:rPr>
                <w:rFonts w:hint="eastAsia" w:ascii="宋体" w:hAnsi="宋体" w:eastAsia="宋体"/>
                <w:sz w:val="21"/>
                <w:lang w:eastAsia="zh-CN"/>
              </w:rPr>
              <w:t>, 收录从1985年至今授理的发明专利、实用新型专利、外观设计专利数据信息，包含专利公开(公告)日、公开(公告)号、主分类号、分类号、申请(专利)号、申请日、优先权等数据项，中国专利全文量共计</w:t>
            </w:r>
            <w:r>
              <w:rPr>
                <w:rFonts w:ascii="宋体" w:hAnsi="宋体" w:eastAsia="宋体"/>
                <w:sz w:val="21"/>
                <w:lang w:eastAsia="zh-CN"/>
              </w:rPr>
              <w:t>2,</w:t>
            </w:r>
            <w:r>
              <w:rPr>
                <w:rFonts w:hint="eastAsia" w:ascii="宋体" w:hAnsi="宋体" w:eastAsia="宋体"/>
                <w:sz w:val="21"/>
                <w:lang w:eastAsia="zh-CN"/>
              </w:rPr>
              <w:t>649</w:t>
            </w:r>
            <w:r>
              <w:rPr>
                <w:rFonts w:ascii="宋体" w:hAnsi="宋体" w:eastAsia="宋体"/>
                <w:sz w:val="21"/>
                <w:lang w:eastAsia="zh-CN"/>
              </w:rPr>
              <w:t>,</w:t>
            </w:r>
            <w:r>
              <w:rPr>
                <w:rFonts w:hint="eastAsia" w:ascii="宋体" w:hAnsi="宋体" w:eastAsia="宋体"/>
                <w:sz w:val="21"/>
                <w:lang w:eastAsia="zh-CN"/>
              </w:rPr>
              <w:t>326篇。</w:t>
            </w:r>
          </w:p>
        </w:tc>
      </w:tr>
      <w:tr w14:paraId="7F8E20D7">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506615DF">
            <w:pPr>
              <w:widowControl/>
              <w:jc w:val="center"/>
              <w:rPr>
                <w:rFonts w:hint="eastAsia" w:ascii="宋体" w:hAnsi="宋体" w:eastAsia="宋体" w:cs="宋体"/>
                <w:b/>
                <w:bCs/>
                <w:color w:val="000000"/>
                <w:szCs w:val="21"/>
                <w:lang w:val="en-US" w:eastAsia="zh-CN"/>
              </w:rPr>
            </w:pPr>
            <w:r>
              <w:rPr>
                <w:rFonts w:hint="eastAsia" w:ascii="宋体" w:hAnsi="宋体" w:cs="宋体"/>
                <w:b/>
                <w:bCs/>
                <w:color w:val="000000"/>
                <w:szCs w:val="21"/>
                <w:lang w:val="en-US" w:eastAsia="zh-CN"/>
              </w:rPr>
              <w:t>7</w:t>
            </w:r>
          </w:p>
        </w:tc>
        <w:tc>
          <w:tcPr>
            <w:tcW w:w="657" w:type="pct"/>
            <w:tcBorders>
              <w:top w:val="single" w:color="auto" w:sz="4" w:space="0"/>
              <w:left w:val="nil"/>
              <w:bottom w:val="single" w:color="auto" w:sz="4" w:space="0"/>
              <w:right w:val="single" w:color="auto" w:sz="4" w:space="0"/>
            </w:tcBorders>
            <w:vAlign w:val="top"/>
          </w:tcPr>
          <w:p w14:paraId="66EEB932">
            <w:pPr>
              <w:jc w:val="both"/>
              <w:rPr>
                <w:rFonts w:hint="eastAsia"/>
                <w:sz w:val="24"/>
              </w:rPr>
            </w:pPr>
            <w:r>
              <w:rPr>
                <w:rFonts w:hint="eastAsia" w:ascii="宋体" w:hAnsi="宋体" w:eastAsia="宋体"/>
                <w:sz w:val="21"/>
                <w:lang w:eastAsia="zh-CN"/>
              </w:rPr>
              <w:t>万方医学网成果标准</w:t>
            </w:r>
          </w:p>
        </w:tc>
        <w:tc>
          <w:tcPr>
            <w:tcW w:w="3965" w:type="pct"/>
            <w:tcBorders>
              <w:top w:val="single" w:color="auto" w:sz="4" w:space="0"/>
              <w:left w:val="nil"/>
              <w:bottom w:val="single" w:color="auto" w:sz="4" w:space="0"/>
              <w:right w:val="single" w:color="auto" w:sz="4" w:space="0"/>
            </w:tcBorders>
            <w:vAlign w:val="top"/>
          </w:tcPr>
          <w:p w14:paraId="5EBF358A">
            <w:pPr>
              <w:rPr>
                <w:rFonts w:hint="eastAsia"/>
                <w:sz w:val="24"/>
              </w:rPr>
            </w:pPr>
            <w:r>
              <w:rPr>
                <w:rFonts w:ascii="宋体" w:hAnsi="宋体" w:eastAsia="宋体"/>
                <w:sz w:val="21"/>
                <w:lang w:eastAsia="zh-CN"/>
              </w:rPr>
              <w:t>完全响应。收录了全学科的科技成果 69 万余条</w:t>
            </w:r>
            <w:r>
              <w:rPr>
                <w:rFonts w:hint="eastAsia" w:ascii="宋体" w:hAnsi="宋体" w:eastAsia="宋体"/>
                <w:sz w:val="21"/>
                <w:lang w:eastAsia="zh-CN"/>
              </w:rPr>
              <w:t>、</w:t>
            </w:r>
            <w:r>
              <w:rPr>
                <w:rFonts w:ascii="宋体" w:hAnsi="宋体" w:eastAsia="宋体"/>
                <w:sz w:val="21"/>
                <w:lang w:eastAsia="zh-CN"/>
              </w:rPr>
              <w:t>中外标准 3.0 万余条</w:t>
            </w:r>
            <w:r>
              <w:rPr>
                <w:rFonts w:hint="eastAsia" w:ascii="宋体" w:hAnsi="宋体"/>
                <w:sz w:val="21"/>
                <w:lang w:eastAsia="zh-CN"/>
              </w:rPr>
              <w:t>。</w:t>
            </w:r>
          </w:p>
        </w:tc>
      </w:tr>
      <w:tr w14:paraId="037A733A">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1254B139">
            <w:pPr>
              <w:widowControl/>
              <w:jc w:val="center"/>
              <w:rPr>
                <w:rFonts w:hint="eastAsia" w:ascii="宋体" w:hAnsi="宋体" w:eastAsia="宋体" w:cs="宋体"/>
                <w:b/>
                <w:bCs/>
                <w:color w:val="000000"/>
                <w:szCs w:val="21"/>
                <w:lang w:val="en-US" w:eastAsia="zh-CN"/>
              </w:rPr>
            </w:pPr>
            <w:r>
              <w:rPr>
                <w:rFonts w:hint="eastAsia" w:ascii="宋体" w:hAnsi="宋体" w:cs="宋体"/>
                <w:b/>
                <w:bCs/>
                <w:color w:val="000000"/>
                <w:szCs w:val="21"/>
                <w:lang w:val="en-US" w:eastAsia="zh-CN"/>
              </w:rPr>
              <w:t>8</w:t>
            </w:r>
          </w:p>
        </w:tc>
        <w:tc>
          <w:tcPr>
            <w:tcW w:w="657" w:type="pct"/>
            <w:tcBorders>
              <w:top w:val="single" w:color="auto" w:sz="4" w:space="0"/>
              <w:left w:val="nil"/>
              <w:bottom w:val="single" w:color="auto" w:sz="4" w:space="0"/>
              <w:right w:val="single" w:color="auto" w:sz="4" w:space="0"/>
            </w:tcBorders>
            <w:vAlign w:val="top"/>
          </w:tcPr>
          <w:p w14:paraId="1C15530B">
            <w:pPr>
              <w:jc w:val="both"/>
              <w:rPr>
                <w:rFonts w:hint="eastAsia"/>
                <w:sz w:val="24"/>
              </w:rPr>
            </w:pPr>
            <w:r>
              <w:rPr>
                <w:rFonts w:hint="eastAsia" w:ascii="宋体" w:hAnsi="宋体" w:eastAsia="宋体"/>
                <w:sz w:val="21"/>
                <w:lang w:eastAsia="zh-CN"/>
              </w:rPr>
              <w:t>万方医学网法规</w:t>
            </w:r>
          </w:p>
        </w:tc>
        <w:tc>
          <w:tcPr>
            <w:tcW w:w="3965" w:type="pct"/>
            <w:tcBorders>
              <w:top w:val="single" w:color="auto" w:sz="4" w:space="0"/>
              <w:left w:val="nil"/>
              <w:bottom w:val="single" w:color="auto" w:sz="4" w:space="0"/>
              <w:right w:val="single" w:color="auto" w:sz="4" w:space="0"/>
            </w:tcBorders>
            <w:vAlign w:val="top"/>
          </w:tcPr>
          <w:p w14:paraId="1FCC9826">
            <w:pPr>
              <w:rPr>
                <w:rFonts w:hint="eastAsia"/>
                <w:sz w:val="24"/>
              </w:rPr>
            </w:pPr>
            <w:r>
              <w:rPr>
                <w:rFonts w:ascii="宋体" w:hAnsi="宋体" w:eastAsia="宋体"/>
                <w:sz w:val="21"/>
                <w:lang w:eastAsia="zh-CN"/>
              </w:rPr>
              <w:t>完全响应。</w:t>
            </w:r>
            <w:r>
              <w:rPr>
                <w:rFonts w:hint="eastAsia" w:ascii="宋体" w:hAnsi="宋体" w:eastAsia="宋体"/>
                <w:sz w:val="21"/>
                <w:lang w:eastAsia="zh-CN"/>
              </w:rPr>
              <w:t>医药卫生领域内全国人大法律、国务院行政法规、最高人民法院和最高人民检察院等上述单位颁布的法律法规、司法解释、各部门规章、各地地方性法规和地方政府规章，以及我国参与的国际条约和公约等</w:t>
            </w:r>
            <w:r>
              <w:rPr>
                <w:rFonts w:ascii="宋体" w:hAnsi="宋体" w:eastAsia="宋体"/>
                <w:sz w:val="21"/>
                <w:lang w:eastAsia="zh-CN"/>
              </w:rPr>
              <w:t>9万余</w:t>
            </w:r>
            <w:r>
              <w:rPr>
                <w:rFonts w:hint="eastAsia" w:ascii="宋体" w:hAnsi="宋体" w:eastAsia="宋体"/>
                <w:sz w:val="21"/>
                <w:lang w:eastAsia="zh-CN"/>
              </w:rPr>
              <w:t>篇</w:t>
            </w:r>
            <w:r>
              <w:rPr>
                <w:rFonts w:hint="eastAsia" w:ascii="宋体" w:hAnsi="宋体"/>
                <w:sz w:val="21"/>
                <w:lang w:eastAsia="zh-CN"/>
              </w:rPr>
              <w:t>。</w:t>
            </w:r>
          </w:p>
        </w:tc>
      </w:tr>
      <w:tr w14:paraId="7DF58ECA">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3D793B47">
            <w:pPr>
              <w:widowControl/>
              <w:jc w:val="center"/>
              <w:rPr>
                <w:rFonts w:hint="eastAsia" w:ascii="宋体" w:hAnsi="宋体" w:eastAsia="宋体" w:cs="宋体"/>
                <w:b/>
                <w:bCs/>
                <w:color w:val="000000"/>
                <w:szCs w:val="21"/>
                <w:lang w:val="en-US" w:eastAsia="zh-CN"/>
              </w:rPr>
            </w:pPr>
            <w:r>
              <w:rPr>
                <w:rFonts w:hint="eastAsia" w:ascii="宋体" w:hAnsi="宋体" w:cs="宋体"/>
                <w:b/>
                <w:bCs/>
                <w:color w:val="000000"/>
                <w:szCs w:val="21"/>
                <w:lang w:val="en-US" w:eastAsia="zh-CN"/>
              </w:rPr>
              <w:t>9</w:t>
            </w:r>
          </w:p>
        </w:tc>
        <w:tc>
          <w:tcPr>
            <w:tcW w:w="657" w:type="pct"/>
            <w:tcBorders>
              <w:top w:val="single" w:color="auto" w:sz="4" w:space="0"/>
              <w:left w:val="nil"/>
              <w:bottom w:val="single" w:color="auto" w:sz="4" w:space="0"/>
              <w:right w:val="single" w:color="auto" w:sz="4" w:space="0"/>
            </w:tcBorders>
            <w:vAlign w:val="top"/>
          </w:tcPr>
          <w:p w14:paraId="1DA2E6E8">
            <w:pPr>
              <w:rPr>
                <w:rFonts w:hint="eastAsia"/>
                <w:sz w:val="24"/>
              </w:rPr>
            </w:pPr>
            <w:r>
              <w:rPr>
                <w:rFonts w:hint="eastAsia" w:ascii="宋体" w:hAnsi="宋体" w:eastAsia="宋体"/>
                <w:sz w:val="21"/>
                <w:lang w:eastAsia="zh-CN"/>
              </w:rPr>
              <w:t>万方医学网临床百家</w:t>
            </w:r>
          </w:p>
        </w:tc>
        <w:tc>
          <w:tcPr>
            <w:tcW w:w="3965" w:type="pct"/>
            <w:tcBorders>
              <w:top w:val="single" w:color="auto" w:sz="4" w:space="0"/>
              <w:left w:val="nil"/>
              <w:bottom w:val="single" w:color="auto" w:sz="4" w:space="0"/>
              <w:right w:val="single" w:color="auto" w:sz="4" w:space="0"/>
            </w:tcBorders>
            <w:vAlign w:val="top"/>
          </w:tcPr>
          <w:p w14:paraId="6D51A218">
            <w:pPr>
              <w:rPr>
                <w:rFonts w:hint="eastAsia"/>
                <w:sz w:val="24"/>
              </w:rPr>
            </w:pPr>
            <w:r>
              <w:rPr>
                <w:rFonts w:ascii="宋体" w:hAnsi="宋体" w:eastAsia="宋体"/>
                <w:sz w:val="21"/>
                <w:lang w:eastAsia="zh-CN"/>
              </w:rPr>
              <w:t>完全响应。万方医学网和科学技术文献出版社共同合作建立的展示最新进展和专家观点的</w:t>
            </w:r>
            <w:r>
              <w:rPr>
                <w:rFonts w:hint="eastAsia" w:ascii="宋体" w:hAnsi="宋体" w:eastAsia="宋体"/>
                <w:sz w:val="21"/>
                <w:lang w:eastAsia="zh-CN"/>
              </w:rPr>
              <w:t>一百余种图书</w:t>
            </w:r>
            <w:r>
              <w:rPr>
                <w:rFonts w:ascii="宋体" w:hAnsi="宋体" w:eastAsia="宋体"/>
                <w:sz w:val="21"/>
                <w:lang w:eastAsia="zh-CN"/>
              </w:rPr>
              <w:t>医学数据库。该数据库以《中国医学临床百家》系列丛书为基础，记录各领域权威专家对一种/一类疾病的年度观点，细致、连续、全面展示我国临床医学的发展成果和历程。</w:t>
            </w:r>
          </w:p>
        </w:tc>
      </w:tr>
      <w:tr w14:paraId="21527062">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6D2BE4D7">
            <w:pPr>
              <w:widowControl/>
              <w:jc w:val="center"/>
              <w:rPr>
                <w:rFonts w:hint="default" w:ascii="宋体" w:hAnsi="宋体" w:eastAsia="宋体" w:cs="宋体"/>
                <w:b/>
                <w:bCs/>
                <w:color w:val="000000"/>
                <w:szCs w:val="21"/>
                <w:lang w:val="en-US" w:eastAsia="zh-CN"/>
              </w:rPr>
            </w:pPr>
            <w:r>
              <w:rPr>
                <w:rFonts w:hint="eastAsia" w:ascii="宋体" w:hAnsi="宋体" w:cs="宋体"/>
                <w:b/>
                <w:bCs/>
                <w:color w:val="000000"/>
                <w:szCs w:val="21"/>
                <w:lang w:val="en-US" w:eastAsia="zh-CN"/>
              </w:rPr>
              <w:t>10</w:t>
            </w:r>
          </w:p>
        </w:tc>
        <w:tc>
          <w:tcPr>
            <w:tcW w:w="657" w:type="pct"/>
            <w:tcBorders>
              <w:top w:val="single" w:color="auto" w:sz="4" w:space="0"/>
              <w:left w:val="nil"/>
              <w:bottom w:val="single" w:color="auto" w:sz="4" w:space="0"/>
              <w:right w:val="single" w:color="auto" w:sz="4" w:space="0"/>
            </w:tcBorders>
            <w:vAlign w:val="top"/>
          </w:tcPr>
          <w:p w14:paraId="6EFF9616">
            <w:pPr>
              <w:rPr>
                <w:rFonts w:hint="eastAsia"/>
                <w:sz w:val="24"/>
              </w:rPr>
            </w:pPr>
            <w:r>
              <w:rPr>
                <w:rFonts w:ascii="宋体" w:hAnsi="宋体" w:eastAsia="宋体"/>
                <w:sz w:val="21"/>
                <w:lang w:eastAsia="zh-CN"/>
              </w:rPr>
              <w:t>万方医学网中国临床案例成果数据库</w:t>
            </w:r>
          </w:p>
        </w:tc>
        <w:tc>
          <w:tcPr>
            <w:tcW w:w="3965" w:type="pct"/>
            <w:tcBorders>
              <w:top w:val="single" w:color="auto" w:sz="4" w:space="0"/>
              <w:left w:val="nil"/>
              <w:bottom w:val="single" w:color="auto" w:sz="4" w:space="0"/>
              <w:right w:val="single" w:color="auto" w:sz="4" w:space="0"/>
            </w:tcBorders>
            <w:vAlign w:val="top"/>
          </w:tcPr>
          <w:p w14:paraId="09F0BE3C">
            <w:pPr>
              <w:rPr>
                <w:rFonts w:hint="eastAsia"/>
                <w:sz w:val="24"/>
              </w:rPr>
            </w:pPr>
            <w:r>
              <w:rPr>
                <w:rFonts w:ascii="宋体" w:hAnsi="宋体" w:eastAsia="宋体"/>
                <w:sz w:val="21"/>
                <w:lang w:eastAsia="zh-CN"/>
              </w:rPr>
              <w:t>完全响应。</w:t>
            </w:r>
            <w:r>
              <w:rPr>
                <w:rFonts w:hint="eastAsia" w:ascii="宋体" w:hAnsi="宋体" w:eastAsia="宋体"/>
                <w:sz w:val="21"/>
                <w:lang w:eastAsia="zh-CN"/>
              </w:rPr>
              <w:t>包含通过</w:t>
            </w:r>
            <w:r>
              <w:rPr>
                <w:rFonts w:ascii="宋体" w:hAnsi="宋体" w:eastAsia="宋体"/>
                <w:sz w:val="21"/>
                <w:lang w:eastAsia="zh-CN"/>
              </w:rPr>
              <w:t>同行评议</w:t>
            </w:r>
            <w:r>
              <w:rPr>
                <w:rFonts w:hint="eastAsia" w:ascii="宋体" w:hAnsi="宋体" w:eastAsia="宋体"/>
                <w:sz w:val="21"/>
                <w:lang w:eastAsia="zh-CN"/>
              </w:rPr>
              <w:t>的病理报告和罕见病病例集以及</w:t>
            </w:r>
            <w:r>
              <w:rPr>
                <w:rFonts w:ascii="宋体" w:hAnsi="宋体" w:eastAsia="宋体"/>
                <w:sz w:val="21"/>
                <w:lang w:eastAsia="zh-CN"/>
              </w:rPr>
              <w:t>以视频为表现形式的临床病例</w:t>
            </w:r>
            <w:r>
              <w:rPr>
                <w:rFonts w:hint="eastAsia" w:ascii="宋体" w:hAnsi="宋体" w:eastAsia="宋体"/>
                <w:sz w:val="21"/>
                <w:lang w:eastAsia="zh-CN"/>
              </w:rPr>
              <w:t>，</w:t>
            </w:r>
            <w:r>
              <w:rPr>
                <w:rFonts w:ascii="宋体" w:hAnsi="宋体" w:eastAsia="宋体"/>
                <w:sz w:val="21"/>
                <w:lang w:eastAsia="zh-CN"/>
              </w:rPr>
              <w:t>进一步提升医生的临床诊治水平以及对医务工作者提供临床诊疗水平评价服务。</w:t>
            </w:r>
          </w:p>
        </w:tc>
      </w:tr>
      <w:tr w14:paraId="58135BF9">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36A56646">
            <w:pPr>
              <w:widowControl/>
              <w:jc w:val="center"/>
              <w:rPr>
                <w:rFonts w:hint="default" w:ascii="宋体" w:hAnsi="宋体" w:eastAsia="宋体" w:cs="宋体"/>
                <w:b/>
                <w:bCs/>
                <w:color w:val="000000"/>
                <w:szCs w:val="21"/>
                <w:lang w:val="en-US" w:eastAsia="zh-CN"/>
              </w:rPr>
            </w:pPr>
            <w:r>
              <w:rPr>
                <w:rFonts w:hint="eastAsia" w:ascii="宋体" w:hAnsi="宋体" w:cs="宋体"/>
                <w:b/>
                <w:bCs/>
                <w:color w:val="000000"/>
                <w:szCs w:val="21"/>
                <w:lang w:val="en-US" w:eastAsia="zh-CN"/>
              </w:rPr>
              <w:t>11</w:t>
            </w:r>
          </w:p>
        </w:tc>
        <w:tc>
          <w:tcPr>
            <w:tcW w:w="657" w:type="pct"/>
            <w:tcBorders>
              <w:top w:val="single" w:color="auto" w:sz="4" w:space="0"/>
              <w:left w:val="nil"/>
              <w:bottom w:val="single" w:color="auto" w:sz="4" w:space="0"/>
              <w:right w:val="single" w:color="auto" w:sz="4" w:space="0"/>
            </w:tcBorders>
            <w:vAlign w:val="top"/>
          </w:tcPr>
          <w:p w14:paraId="404C365F">
            <w:pPr>
              <w:rPr>
                <w:rFonts w:hint="eastAsia"/>
                <w:sz w:val="24"/>
              </w:rPr>
            </w:pPr>
            <w:r>
              <w:rPr>
                <w:rFonts w:hint="eastAsia" w:ascii="宋体" w:hAnsi="宋体" w:eastAsia="宋体"/>
                <w:sz w:val="21"/>
                <w:lang w:eastAsia="zh-CN"/>
              </w:rPr>
              <w:t>万方数据万方选题</w:t>
            </w:r>
          </w:p>
        </w:tc>
        <w:tc>
          <w:tcPr>
            <w:tcW w:w="3965" w:type="pct"/>
            <w:tcBorders>
              <w:top w:val="single" w:color="auto" w:sz="4" w:space="0"/>
              <w:left w:val="nil"/>
              <w:bottom w:val="single" w:color="auto" w:sz="4" w:space="0"/>
              <w:right w:val="single" w:color="auto" w:sz="4" w:space="0"/>
            </w:tcBorders>
            <w:vAlign w:val="top"/>
          </w:tcPr>
          <w:p w14:paraId="43A8047B">
            <w:pPr>
              <w:rPr>
                <w:rFonts w:ascii="宋体" w:hAnsi="宋体" w:eastAsia="宋体"/>
                <w:sz w:val="21"/>
                <w:lang w:eastAsia="zh-CN"/>
              </w:rPr>
            </w:pPr>
            <w:r>
              <w:rPr>
                <w:rFonts w:ascii="宋体" w:hAnsi="宋体" w:eastAsia="宋体"/>
                <w:sz w:val="21"/>
                <w:lang w:eastAsia="zh-CN"/>
              </w:rPr>
              <w:t>完全响应。海量元数据仓储：涵盖万方相关资源及第三方合作资源中的3亿余条中外文期刊论文、学位论文、会议论文、科研项目数据，898余万条基金项目数据，4800万条学者数据，以及6.9亿条引文数据。中文元数据仓储涵盖万方、同方、维普等数据库厂商，外文元数据仓储涵盖NSTL、DOAJ、剑桥大学出版社、Wiley、Springer Nature、PubMed等四十多个外文数据库</w:t>
            </w:r>
            <w:r>
              <w:rPr>
                <w:rFonts w:hint="eastAsia" w:ascii="宋体" w:hAnsi="宋体" w:eastAsia="宋体"/>
                <w:sz w:val="21"/>
                <w:lang w:eastAsia="zh-CN"/>
              </w:rPr>
              <w:t>。</w:t>
            </w:r>
          </w:p>
          <w:p w14:paraId="7AEE42FC">
            <w:pPr>
              <w:rPr>
                <w:rFonts w:hint="eastAsia"/>
                <w:sz w:val="24"/>
              </w:rPr>
            </w:pPr>
            <w:r>
              <w:rPr>
                <w:rFonts w:hint="eastAsia" w:ascii="宋体" w:hAnsi="宋体" w:eastAsia="宋体"/>
                <w:sz w:val="21"/>
                <w:lang w:eastAsia="zh-CN"/>
              </w:rPr>
              <w:t>2.</w:t>
            </w:r>
            <w:r>
              <w:rPr>
                <w:rFonts w:ascii="宋体" w:hAnsi="宋体" w:eastAsia="宋体"/>
                <w:sz w:val="21"/>
                <w:lang w:eastAsia="zh-CN"/>
              </w:rPr>
              <w:t xml:space="preserve"> </w:t>
            </w:r>
            <w:r>
              <w:rPr>
                <w:rFonts w:hint="eastAsia" w:ascii="宋体" w:hAnsi="宋体" w:eastAsia="宋体"/>
                <w:sz w:val="21"/>
                <w:lang w:eastAsia="zh-CN"/>
              </w:rPr>
              <w:t>提供</w:t>
            </w:r>
            <w:r>
              <w:rPr>
                <w:rFonts w:ascii="宋体" w:hAnsi="宋体" w:eastAsia="宋体"/>
                <w:sz w:val="21"/>
                <w:lang w:eastAsia="zh-CN"/>
              </w:rPr>
              <w:t>文献精读</w:t>
            </w:r>
            <w:r>
              <w:rPr>
                <w:rFonts w:hint="eastAsia" w:ascii="宋体" w:hAnsi="宋体" w:eastAsia="宋体"/>
                <w:sz w:val="21"/>
                <w:lang w:eastAsia="zh-CN"/>
              </w:rPr>
              <w:t>、</w:t>
            </w:r>
            <w:r>
              <w:rPr>
                <w:rFonts w:ascii="宋体" w:hAnsi="宋体" w:eastAsia="宋体"/>
                <w:sz w:val="21"/>
                <w:lang w:eastAsia="zh-CN"/>
              </w:rPr>
              <w:t>选题发现</w:t>
            </w:r>
            <w:r>
              <w:rPr>
                <w:rFonts w:hint="eastAsia" w:ascii="宋体" w:hAnsi="宋体" w:eastAsia="宋体"/>
                <w:sz w:val="21"/>
                <w:lang w:eastAsia="zh-CN"/>
              </w:rPr>
              <w:t>、</w:t>
            </w:r>
            <w:r>
              <w:rPr>
                <w:rFonts w:ascii="宋体" w:hAnsi="宋体" w:eastAsia="宋体"/>
                <w:sz w:val="21"/>
                <w:lang w:eastAsia="zh-CN"/>
              </w:rPr>
              <w:t>定题评测</w:t>
            </w:r>
            <w:r>
              <w:rPr>
                <w:rFonts w:hint="eastAsia" w:ascii="宋体" w:hAnsi="宋体" w:eastAsia="宋体"/>
                <w:sz w:val="21"/>
                <w:lang w:eastAsia="zh-CN"/>
              </w:rPr>
              <w:t>、</w:t>
            </w:r>
            <w:r>
              <w:rPr>
                <w:rFonts w:ascii="宋体" w:hAnsi="宋体" w:eastAsia="宋体"/>
                <w:sz w:val="21"/>
                <w:lang w:eastAsia="zh-CN"/>
              </w:rPr>
              <w:t>灵感池</w:t>
            </w:r>
            <w:r>
              <w:rPr>
                <w:rFonts w:hint="eastAsia" w:ascii="宋体" w:hAnsi="宋体" w:eastAsia="宋体"/>
                <w:sz w:val="21"/>
                <w:lang w:eastAsia="zh-CN"/>
              </w:rPr>
              <w:t>、</w:t>
            </w:r>
            <w:r>
              <w:rPr>
                <w:rFonts w:ascii="宋体" w:hAnsi="宋体" w:eastAsia="宋体"/>
                <w:sz w:val="21"/>
                <w:lang w:eastAsia="zh-CN"/>
              </w:rPr>
              <w:t>标题生成器</w:t>
            </w:r>
            <w:r>
              <w:rPr>
                <w:rFonts w:hint="eastAsia" w:ascii="宋体" w:hAnsi="宋体" w:eastAsia="宋体"/>
                <w:sz w:val="21"/>
                <w:lang w:eastAsia="zh-CN"/>
              </w:rPr>
              <w:t>、</w:t>
            </w:r>
            <w:r>
              <w:rPr>
                <w:rFonts w:ascii="宋体" w:hAnsi="宋体" w:eastAsia="宋体"/>
                <w:sz w:val="21"/>
                <w:lang w:eastAsia="zh-CN"/>
              </w:rPr>
              <w:t>AI拟题小助手</w:t>
            </w:r>
            <w:r>
              <w:rPr>
                <w:rFonts w:hint="eastAsia" w:ascii="宋体" w:hAnsi="宋体" w:eastAsia="宋体"/>
                <w:sz w:val="21"/>
                <w:lang w:eastAsia="zh-CN"/>
              </w:rPr>
              <w:t>、</w:t>
            </w:r>
            <w:r>
              <w:rPr>
                <w:rFonts w:ascii="宋体" w:hAnsi="宋体" w:eastAsia="宋体"/>
                <w:sz w:val="21"/>
                <w:lang w:eastAsia="zh-CN"/>
              </w:rPr>
              <w:t>领域发展报告。</w:t>
            </w:r>
          </w:p>
        </w:tc>
      </w:tr>
      <w:tr w14:paraId="2BC7152B">
        <w:tblPrEx>
          <w:tblCellMar>
            <w:top w:w="0" w:type="dxa"/>
            <w:left w:w="108" w:type="dxa"/>
            <w:bottom w:w="0" w:type="dxa"/>
            <w:right w:w="108" w:type="dxa"/>
          </w:tblCellMar>
        </w:tblPrEx>
        <w:trPr>
          <w:trHeight w:val="320" w:hRule="atLeast"/>
        </w:trPr>
        <w:tc>
          <w:tcPr>
            <w:tcW w:w="377" w:type="pct"/>
            <w:tcBorders>
              <w:top w:val="single" w:color="auto" w:sz="4" w:space="0"/>
              <w:left w:val="single" w:color="auto" w:sz="4" w:space="0"/>
              <w:bottom w:val="single" w:color="auto" w:sz="4" w:space="0"/>
              <w:right w:val="single" w:color="auto" w:sz="4" w:space="0"/>
            </w:tcBorders>
            <w:vAlign w:val="center"/>
          </w:tcPr>
          <w:p w14:paraId="38548ED6">
            <w:pPr>
              <w:widowControl/>
              <w:jc w:val="center"/>
              <w:rPr>
                <w:rFonts w:hint="default" w:ascii="宋体" w:hAnsi="宋体" w:cs="宋体"/>
                <w:b/>
                <w:bCs/>
                <w:color w:val="000000"/>
                <w:szCs w:val="21"/>
                <w:lang w:val="en-US" w:eastAsia="zh-CN"/>
              </w:rPr>
            </w:pPr>
            <w:r>
              <w:rPr>
                <w:rFonts w:hint="eastAsia" w:ascii="宋体" w:hAnsi="宋体" w:cs="宋体"/>
                <w:b/>
                <w:bCs/>
                <w:color w:val="000000"/>
                <w:szCs w:val="21"/>
                <w:lang w:val="en-US" w:eastAsia="zh-CN"/>
              </w:rPr>
              <w:t>12</w:t>
            </w:r>
          </w:p>
        </w:tc>
        <w:tc>
          <w:tcPr>
            <w:tcW w:w="657" w:type="pct"/>
            <w:tcBorders>
              <w:top w:val="single" w:color="auto" w:sz="4" w:space="0"/>
              <w:left w:val="nil"/>
              <w:bottom w:val="single" w:color="auto" w:sz="4" w:space="0"/>
              <w:right w:val="single" w:color="auto" w:sz="4" w:space="0"/>
            </w:tcBorders>
            <w:vAlign w:val="top"/>
          </w:tcPr>
          <w:p w14:paraId="6954AB37">
            <w:pPr>
              <w:rPr>
                <w:rFonts w:hint="eastAsia"/>
                <w:sz w:val="24"/>
              </w:rPr>
            </w:pPr>
            <w:r>
              <w:rPr>
                <w:rFonts w:hint="eastAsia" w:ascii="宋体" w:hAnsi="宋体" w:eastAsia="宋体"/>
                <w:sz w:val="21"/>
                <w:lang w:eastAsia="zh-CN"/>
              </w:rPr>
              <w:t>万方数据万方</w:t>
            </w:r>
            <w:r>
              <w:rPr>
                <w:rFonts w:hint="eastAsia" w:ascii="宋体" w:hAnsi="宋体" w:eastAsia="宋体"/>
                <w:sz w:val="21"/>
                <w:lang w:val="en-US" w:eastAsia="zh-CN"/>
              </w:rPr>
              <w:t>分</w:t>
            </w:r>
            <w:r>
              <w:rPr>
                <w:rFonts w:hint="eastAsia" w:ascii="宋体" w:hAnsi="宋体" w:eastAsia="宋体"/>
                <w:sz w:val="21"/>
                <w:lang w:eastAsia="zh-CN"/>
              </w:rPr>
              <w:t>析</w:t>
            </w:r>
          </w:p>
        </w:tc>
        <w:tc>
          <w:tcPr>
            <w:tcW w:w="3965" w:type="pct"/>
            <w:tcBorders>
              <w:top w:val="single" w:color="auto" w:sz="4" w:space="0"/>
              <w:left w:val="nil"/>
              <w:bottom w:val="single" w:color="auto" w:sz="4" w:space="0"/>
              <w:right w:val="single" w:color="auto" w:sz="4" w:space="0"/>
            </w:tcBorders>
            <w:vAlign w:val="top"/>
          </w:tcPr>
          <w:p w14:paraId="48DC69BA">
            <w:pPr>
              <w:spacing w:after="0" w:line="240" w:lineRule="auto"/>
              <w:rPr>
                <w:rFonts w:ascii="宋体" w:hAnsi="宋体" w:eastAsia="宋体"/>
                <w:sz w:val="21"/>
                <w:lang w:eastAsia="zh-CN"/>
              </w:rPr>
            </w:pPr>
            <w:r>
              <w:rPr>
                <w:rFonts w:ascii="宋体" w:hAnsi="宋体" w:eastAsia="宋体"/>
                <w:sz w:val="21"/>
                <w:lang w:eastAsia="zh-CN"/>
              </w:rPr>
              <w:t>完全响</w:t>
            </w:r>
            <w:r>
              <w:rPr>
                <w:rFonts w:hint="eastAsia" w:ascii="宋体" w:hAnsi="宋体" w:eastAsia="宋体" w:cs="微软雅黑"/>
                <w:sz w:val="21"/>
                <w:lang w:eastAsia="zh-CN"/>
              </w:rPr>
              <w:t>应</w:t>
            </w:r>
            <w:r>
              <w:rPr>
                <w:rFonts w:hint="eastAsia" w:ascii="宋体" w:hAnsi="宋体" w:eastAsia="宋体" w:cs="MS Mincho"/>
                <w:sz w:val="21"/>
                <w:lang w:eastAsia="zh-CN"/>
              </w:rPr>
              <w:t>。</w:t>
            </w:r>
            <w:r>
              <w:rPr>
                <w:rFonts w:ascii="宋体" w:hAnsi="宋体" w:eastAsia="宋体"/>
                <w:sz w:val="21"/>
                <w:lang w:eastAsia="zh-CN"/>
              </w:rPr>
              <w:t xml:space="preserve">功能模块：包含主题分析、学者分析、机构分析（含机构国际分析）、学科分析、期刊分析、地区分析六个主要分析模块，以及对应各模块的个性化对比分析、专业性报告导出、智能化文献推荐、数据导出、图片下载、相关论文溯源和附赠的学术知识脉络分析等功能。 </w:t>
            </w:r>
          </w:p>
          <w:p w14:paraId="7A51FF08">
            <w:pPr>
              <w:spacing w:after="0" w:line="240" w:lineRule="auto"/>
              <w:rPr>
                <w:rFonts w:hint="eastAsia"/>
                <w:sz w:val="24"/>
              </w:rPr>
            </w:pPr>
            <w:r>
              <w:rPr>
                <w:rFonts w:ascii="宋体" w:hAnsi="宋体" w:eastAsia="宋体"/>
                <w:sz w:val="21"/>
                <w:lang w:eastAsia="zh-CN"/>
              </w:rPr>
              <w:t>指</w:t>
            </w:r>
            <w:r>
              <w:rPr>
                <w:rFonts w:hint="eastAsia" w:ascii="宋体" w:hAnsi="宋体" w:eastAsia="宋体" w:cs="微软雅黑"/>
                <w:sz w:val="21"/>
                <w:lang w:eastAsia="zh-CN"/>
              </w:rPr>
              <w:t>标</w:t>
            </w:r>
            <w:r>
              <w:rPr>
                <w:rFonts w:hint="eastAsia" w:ascii="宋体" w:hAnsi="宋体" w:eastAsia="宋体" w:cs="MS Mincho"/>
                <w:sz w:val="21"/>
                <w:lang w:eastAsia="zh-CN"/>
              </w:rPr>
              <w:t>算法：采用了分布式大数据云</w:t>
            </w:r>
            <w:r>
              <w:rPr>
                <w:rFonts w:hint="eastAsia" w:ascii="宋体" w:hAnsi="宋体" w:eastAsia="宋体" w:cs="微软雅黑"/>
                <w:sz w:val="21"/>
                <w:lang w:eastAsia="zh-CN"/>
              </w:rPr>
              <w:t>计</w:t>
            </w:r>
            <w:r>
              <w:rPr>
                <w:rFonts w:hint="eastAsia" w:ascii="宋体" w:hAnsi="宋体" w:eastAsia="宋体" w:cs="MS Mincho"/>
                <w:sz w:val="21"/>
                <w:lang w:eastAsia="zh-CN"/>
              </w:rPr>
              <w:t>算、学者唯一性</w:t>
            </w:r>
            <w:r>
              <w:rPr>
                <w:rFonts w:hint="eastAsia" w:ascii="宋体" w:hAnsi="宋体" w:eastAsia="宋体" w:cs="微软雅黑"/>
                <w:sz w:val="21"/>
                <w:lang w:eastAsia="zh-CN"/>
              </w:rPr>
              <w:t>标识</w:t>
            </w:r>
            <w:r>
              <w:rPr>
                <w:rFonts w:hint="eastAsia" w:ascii="宋体" w:hAnsi="宋体" w:eastAsia="宋体" w:cs="MS Mincho"/>
                <w:sz w:val="21"/>
                <w:lang w:eastAsia="zh-CN"/>
              </w:rPr>
              <w:t>、机构智能</w:t>
            </w:r>
            <w:r>
              <w:rPr>
                <w:rFonts w:hint="eastAsia" w:ascii="宋体" w:hAnsi="宋体" w:eastAsia="宋体" w:cs="微软雅黑"/>
                <w:sz w:val="21"/>
                <w:lang w:eastAsia="zh-CN"/>
              </w:rPr>
              <w:t>标</w:t>
            </w:r>
            <w:r>
              <w:rPr>
                <w:rFonts w:hint="eastAsia" w:ascii="宋体" w:hAnsi="宋体" w:eastAsia="宋体" w:cs="MS Mincho"/>
                <w:sz w:val="21"/>
                <w:lang w:eastAsia="zh-CN"/>
              </w:rPr>
              <w:t>引、关</w:t>
            </w:r>
            <w:r>
              <w:rPr>
                <w:rFonts w:hint="eastAsia" w:ascii="宋体" w:hAnsi="宋体" w:eastAsia="宋体" w:cs="微软雅黑"/>
                <w:sz w:val="21"/>
                <w:lang w:eastAsia="zh-CN"/>
              </w:rPr>
              <w:t>键词</w:t>
            </w:r>
            <w:r>
              <w:rPr>
                <w:rFonts w:hint="eastAsia" w:ascii="宋体" w:hAnsi="宋体" w:eastAsia="宋体" w:cs="MS Mincho"/>
                <w:sz w:val="21"/>
                <w:lang w:eastAsia="zh-CN"/>
              </w:rPr>
              <w:t>智能</w:t>
            </w:r>
            <w:r>
              <w:rPr>
                <w:rFonts w:hint="eastAsia" w:ascii="宋体" w:hAnsi="宋体" w:eastAsia="宋体" w:cs="微软雅黑"/>
                <w:sz w:val="21"/>
                <w:lang w:eastAsia="zh-CN"/>
              </w:rPr>
              <w:t>标</w:t>
            </w:r>
            <w:r>
              <w:rPr>
                <w:rFonts w:hint="eastAsia" w:ascii="宋体" w:hAnsi="宋体" w:eastAsia="宋体" w:cs="MS Mincho"/>
                <w:sz w:val="21"/>
                <w:lang w:eastAsia="zh-CN"/>
              </w:rPr>
              <w:t>引、引文分析、</w:t>
            </w:r>
            <w:r>
              <w:rPr>
                <w:rFonts w:hint="eastAsia" w:ascii="宋体" w:hAnsi="宋体" w:eastAsia="宋体" w:cs="微软雅黑"/>
                <w:sz w:val="21"/>
                <w:lang w:eastAsia="zh-CN"/>
              </w:rPr>
              <w:t>趋势预测</w:t>
            </w:r>
            <w:r>
              <w:rPr>
                <w:rFonts w:hint="eastAsia" w:ascii="宋体" w:hAnsi="宋体" w:eastAsia="宋体" w:cs="MS Mincho"/>
                <w:sz w:val="21"/>
                <w:lang w:eastAsia="zh-CN"/>
              </w:rPr>
              <w:t>等算法。分析指</w:t>
            </w:r>
            <w:r>
              <w:rPr>
                <w:rFonts w:hint="eastAsia" w:ascii="宋体" w:hAnsi="宋体" w:eastAsia="宋体" w:cs="微软雅黑"/>
                <w:sz w:val="21"/>
                <w:lang w:eastAsia="zh-CN"/>
              </w:rPr>
              <w:t>标</w:t>
            </w:r>
            <w:r>
              <w:rPr>
                <w:rFonts w:hint="eastAsia" w:ascii="宋体" w:hAnsi="宋体" w:eastAsia="宋体" w:cs="MS Mincho"/>
                <w:sz w:val="21"/>
                <w:lang w:eastAsia="zh-CN"/>
              </w:rPr>
              <w:t>涵盖科研</w:t>
            </w:r>
            <w:r>
              <w:rPr>
                <w:rFonts w:hint="eastAsia" w:ascii="宋体" w:hAnsi="宋体" w:eastAsia="宋体" w:cs="微软雅黑"/>
                <w:sz w:val="21"/>
                <w:lang w:eastAsia="zh-CN"/>
              </w:rPr>
              <w:t>产</w:t>
            </w:r>
            <w:r>
              <w:rPr>
                <w:rFonts w:hint="eastAsia" w:ascii="宋体" w:hAnsi="宋体" w:eastAsia="宋体" w:cs="MS Mincho"/>
                <w:sz w:val="21"/>
                <w:lang w:eastAsia="zh-CN"/>
              </w:rPr>
              <w:t>出、学</w:t>
            </w:r>
            <w:r>
              <w:rPr>
                <w:rFonts w:hint="eastAsia" w:ascii="宋体" w:hAnsi="宋体" w:eastAsia="宋体" w:cs="微软雅黑"/>
                <w:sz w:val="21"/>
                <w:lang w:eastAsia="zh-CN"/>
              </w:rPr>
              <w:t>术</w:t>
            </w:r>
            <w:r>
              <w:rPr>
                <w:rFonts w:hint="eastAsia" w:ascii="宋体" w:hAnsi="宋体" w:eastAsia="宋体" w:cs="MS Mincho"/>
                <w:sz w:val="21"/>
                <w:lang w:eastAsia="zh-CN"/>
              </w:rPr>
              <w:t>影响力、学</w:t>
            </w:r>
            <w:r>
              <w:rPr>
                <w:rFonts w:hint="eastAsia" w:ascii="宋体" w:hAnsi="宋体" w:eastAsia="宋体" w:cs="微软雅黑"/>
                <w:sz w:val="21"/>
                <w:lang w:eastAsia="zh-CN"/>
              </w:rPr>
              <w:t>术</w:t>
            </w:r>
            <w:r>
              <w:rPr>
                <w:rFonts w:hint="eastAsia" w:ascii="宋体" w:hAnsi="宋体" w:eastAsia="宋体" w:cs="MS Mincho"/>
                <w:sz w:val="21"/>
                <w:lang w:eastAsia="zh-CN"/>
              </w:rPr>
              <w:t>关注、科研合作、引用关系、</w:t>
            </w:r>
            <w:r>
              <w:rPr>
                <w:rFonts w:hint="eastAsia" w:ascii="宋体" w:hAnsi="宋体" w:eastAsia="宋体" w:cs="微软雅黑"/>
                <w:sz w:val="21"/>
                <w:lang w:eastAsia="zh-CN"/>
              </w:rPr>
              <w:t>创</w:t>
            </w:r>
            <w:r>
              <w:rPr>
                <w:rFonts w:hint="eastAsia" w:ascii="宋体" w:hAnsi="宋体" w:eastAsia="宋体" w:cs="MS Mincho"/>
                <w:sz w:val="21"/>
                <w:lang w:eastAsia="zh-CN"/>
              </w:rPr>
              <w:t>新研究等不同</w:t>
            </w:r>
            <w:r>
              <w:rPr>
                <w:rFonts w:hint="eastAsia" w:ascii="宋体" w:hAnsi="宋体" w:eastAsia="宋体" w:cs="微软雅黑"/>
                <w:sz w:val="21"/>
                <w:lang w:eastAsia="zh-CN"/>
              </w:rPr>
              <w:t>维</w:t>
            </w:r>
            <w:r>
              <w:rPr>
                <w:rFonts w:hint="eastAsia" w:ascii="宋体" w:hAnsi="宋体" w:eastAsia="宋体" w:cs="MS Mincho"/>
                <w:sz w:val="21"/>
                <w:lang w:eastAsia="zh-CN"/>
              </w:rPr>
              <w:t>度，包括（不限于）</w:t>
            </w:r>
            <w:r>
              <w:rPr>
                <w:rFonts w:hint="eastAsia" w:ascii="宋体" w:hAnsi="宋体" w:eastAsia="宋体" w:cs="微软雅黑"/>
                <w:sz w:val="21"/>
                <w:lang w:eastAsia="zh-CN"/>
              </w:rPr>
              <w:t>发</w:t>
            </w:r>
            <w:r>
              <w:rPr>
                <w:rFonts w:hint="eastAsia" w:ascii="宋体" w:hAnsi="宋体" w:eastAsia="宋体" w:cs="MS Mincho"/>
                <w:sz w:val="21"/>
                <w:lang w:eastAsia="zh-CN"/>
              </w:rPr>
              <w:t>文量、被引</w:t>
            </w:r>
            <w:r>
              <w:rPr>
                <w:rFonts w:hint="eastAsia" w:ascii="宋体" w:hAnsi="宋体" w:eastAsia="宋体" w:cs="微软雅黑"/>
                <w:sz w:val="21"/>
                <w:lang w:eastAsia="zh-CN"/>
              </w:rPr>
              <w:t>频</w:t>
            </w:r>
            <w:r>
              <w:rPr>
                <w:rFonts w:hint="eastAsia" w:ascii="宋体" w:hAnsi="宋体" w:eastAsia="宋体" w:cs="MS Mincho"/>
                <w:sz w:val="21"/>
                <w:lang w:eastAsia="zh-CN"/>
              </w:rPr>
              <w:t>次、篇均被引</w:t>
            </w:r>
            <w:r>
              <w:rPr>
                <w:rFonts w:hint="eastAsia" w:ascii="宋体" w:hAnsi="宋体" w:eastAsia="宋体" w:cs="微软雅黑"/>
                <w:sz w:val="21"/>
                <w:lang w:eastAsia="zh-CN"/>
              </w:rPr>
              <w:t>频</w:t>
            </w:r>
            <w:r>
              <w:rPr>
                <w:rFonts w:hint="eastAsia" w:ascii="宋体" w:hAnsi="宋体" w:eastAsia="宋体" w:cs="MS Mincho"/>
                <w:sz w:val="21"/>
                <w:lang w:eastAsia="zh-CN"/>
              </w:rPr>
              <w:t>次、下</w:t>
            </w:r>
            <w:r>
              <w:rPr>
                <w:rFonts w:hint="eastAsia" w:ascii="宋体" w:hAnsi="宋体" w:eastAsia="宋体" w:cs="微软雅黑"/>
                <w:sz w:val="21"/>
                <w:lang w:eastAsia="zh-CN"/>
              </w:rPr>
              <w:t>载频</w:t>
            </w:r>
            <w:r>
              <w:rPr>
                <w:rFonts w:hint="eastAsia" w:ascii="宋体" w:hAnsi="宋体" w:eastAsia="宋体" w:cs="MS Mincho"/>
                <w:sz w:val="21"/>
                <w:lang w:eastAsia="zh-CN"/>
              </w:rPr>
              <w:t>次、篇均下</w:t>
            </w:r>
            <w:r>
              <w:rPr>
                <w:rFonts w:hint="eastAsia" w:ascii="宋体" w:hAnsi="宋体" w:eastAsia="宋体" w:cs="微软雅黑"/>
                <w:sz w:val="21"/>
                <w:lang w:eastAsia="zh-CN"/>
              </w:rPr>
              <w:t>载频</w:t>
            </w:r>
            <w:r>
              <w:rPr>
                <w:rFonts w:hint="eastAsia" w:ascii="宋体" w:hAnsi="宋体" w:eastAsia="宋体" w:cs="MS Mincho"/>
                <w:sz w:val="21"/>
                <w:lang w:eastAsia="zh-CN"/>
              </w:rPr>
              <w:t>次、代表学者、代表机构、学科分布、引用关系、期刊分布、</w:t>
            </w:r>
            <w:r>
              <w:rPr>
                <w:rFonts w:hint="eastAsia" w:ascii="宋体" w:hAnsi="宋体" w:eastAsia="宋体" w:cs="微软雅黑"/>
                <w:sz w:val="21"/>
                <w:lang w:eastAsia="zh-CN"/>
              </w:rPr>
              <w:t>资</w:t>
            </w:r>
            <w:r>
              <w:rPr>
                <w:rFonts w:hint="eastAsia" w:ascii="宋体" w:hAnsi="宋体" w:eastAsia="宋体" w:cs="MS Mincho"/>
                <w:sz w:val="21"/>
                <w:lang w:eastAsia="zh-CN"/>
              </w:rPr>
              <w:t>助分布等分析指</w:t>
            </w:r>
            <w:r>
              <w:rPr>
                <w:rFonts w:hint="eastAsia" w:ascii="宋体" w:hAnsi="宋体" w:eastAsia="宋体" w:cs="微软雅黑"/>
                <w:sz w:val="21"/>
                <w:lang w:eastAsia="zh-CN"/>
              </w:rPr>
              <w:t>标</w:t>
            </w:r>
            <w:r>
              <w:rPr>
                <w:rFonts w:hint="eastAsia" w:ascii="宋体" w:hAnsi="宋体" w:eastAsia="宋体" w:cs="MS Mincho"/>
                <w:sz w:val="21"/>
                <w:lang w:eastAsia="zh-CN"/>
              </w:rPr>
              <w:t>。</w:t>
            </w:r>
            <w:r>
              <w:rPr>
                <w:rFonts w:ascii="宋体" w:hAnsi="宋体" w:eastAsia="宋体"/>
                <w:sz w:val="21"/>
                <w:lang w:eastAsia="zh-CN"/>
              </w:rPr>
              <w:t xml:space="preserve"> 学科分</w:t>
            </w:r>
            <w:r>
              <w:rPr>
                <w:rFonts w:hint="eastAsia" w:ascii="宋体" w:hAnsi="宋体" w:eastAsia="宋体" w:cs="微软雅黑"/>
                <w:sz w:val="21"/>
                <w:lang w:eastAsia="zh-CN"/>
              </w:rPr>
              <w:t>类</w:t>
            </w:r>
            <w:r>
              <w:rPr>
                <w:rFonts w:hint="eastAsia" w:ascii="宋体" w:hAnsi="宋体" w:eastAsia="宋体" w:cs="MS Mincho"/>
                <w:sz w:val="21"/>
                <w:lang w:eastAsia="zh-CN"/>
              </w:rPr>
              <w:t>：系</w:t>
            </w:r>
            <w:r>
              <w:rPr>
                <w:rFonts w:hint="eastAsia" w:ascii="宋体" w:hAnsi="宋体" w:eastAsia="宋体" w:cs="微软雅黑"/>
                <w:sz w:val="21"/>
                <w:lang w:eastAsia="zh-CN"/>
              </w:rPr>
              <w:t>统</w:t>
            </w:r>
            <w:r>
              <w:rPr>
                <w:rFonts w:hint="eastAsia" w:ascii="宋体" w:hAnsi="宋体" w:eastAsia="宋体" w:cs="MS Mincho"/>
                <w:sz w:val="21"/>
                <w:lang w:eastAsia="zh-CN"/>
              </w:rPr>
              <w:t>支持中国</w:t>
            </w:r>
            <w:r>
              <w:rPr>
                <w:rFonts w:hint="eastAsia" w:ascii="宋体" w:hAnsi="宋体" w:eastAsia="宋体" w:cs="微软雅黑"/>
                <w:sz w:val="21"/>
                <w:lang w:eastAsia="zh-CN"/>
              </w:rPr>
              <w:t>图书馆</w:t>
            </w:r>
            <w:r>
              <w:rPr>
                <w:rFonts w:hint="eastAsia" w:ascii="宋体" w:hAnsi="宋体" w:eastAsia="宋体" w:cs="MS Mincho"/>
                <w:sz w:val="21"/>
                <w:lang w:eastAsia="zh-CN"/>
              </w:rPr>
              <w:t>分</w:t>
            </w:r>
            <w:r>
              <w:rPr>
                <w:rFonts w:hint="eastAsia" w:ascii="宋体" w:hAnsi="宋体" w:eastAsia="宋体" w:cs="微软雅黑"/>
                <w:sz w:val="21"/>
                <w:lang w:eastAsia="zh-CN"/>
              </w:rPr>
              <w:t>类</w:t>
            </w:r>
            <w:r>
              <w:rPr>
                <w:rFonts w:hint="eastAsia" w:ascii="宋体" w:hAnsi="宋体" w:eastAsia="宋体" w:cs="MS Mincho"/>
                <w:sz w:val="21"/>
                <w:lang w:eastAsia="zh-CN"/>
              </w:rPr>
              <w:t>法（第五版）、教育部学科分</w:t>
            </w:r>
            <w:r>
              <w:rPr>
                <w:rFonts w:hint="eastAsia" w:ascii="宋体" w:hAnsi="宋体" w:eastAsia="宋体" w:cs="微软雅黑"/>
                <w:sz w:val="21"/>
                <w:lang w:eastAsia="zh-CN"/>
              </w:rPr>
              <w:t>类</w:t>
            </w:r>
            <w:r>
              <w:rPr>
                <w:rFonts w:hint="eastAsia" w:ascii="宋体" w:hAnsi="宋体" w:eastAsia="宋体" w:cs="MS Mincho"/>
                <w:sz w:val="21"/>
                <w:lang w:eastAsia="zh-CN"/>
              </w:rPr>
              <w:t>法、</w:t>
            </w:r>
            <w:r>
              <w:rPr>
                <w:rFonts w:ascii="宋体" w:hAnsi="宋体" w:eastAsia="宋体"/>
                <w:sz w:val="21"/>
                <w:lang w:eastAsia="zh-CN"/>
              </w:rPr>
              <w:t>Web of Science学科分</w:t>
            </w:r>
            <w:r>
              <w:rPr>
                <w:rFonts w:hint="eastAsia" w:ascii="宋体" w:hAnsi="宋体" w:eastAsia="宋体" w:cs="微软雅黑"/>
                <w:sz w:val="21"/>
                <w:lang w:eastAsia="zh-CN"/>
              </w:rPr>
              <w:t>类</w:t>
            </w:r>
            <w:r>
              <w:rPr>
                <w:rFonts w:ascii="宋体" w:hAnsi="宋体" w:eastAsia="宋体"/>
                <w:sz w:val="21"/>
                <w:lang w:eastAsia="zh-CN"/>
              </w:rPr>
              <w:t>（机构外文分析）。 可</w:t>
            </w:r>
            <w:r>
              <w:rPr>
                <w:rFonts w:hint="eastAsia" w:ascii="宋体" w:hAnsi="宋体" w:eastAsia="宋体" w:cs="微软雅黑"/>
                <w:sz w:val="21"/>
                <w:lang w:eastAsia="zh-CN"/>
              </w:rPr>
              <w:t>视</w:t>
            </w:r>
            <w:r>
              <w:rPr>
                <w:rFonts w:hint="eastAsia" w:ascii="宋体" w:hAnsi="宋体" w:eastAsia="宋体" w:cs="MS Mincho"/>
                <w:sz w:val="21"/>
                <w:lang w:eastAsia="zh-CN"/>
              </w:rPr>
              <w:t>化</w:t>
            </w:r>
            <w:r>
              <w:rPr>
                <w:rFonts w:hint="eastAsia" w:ascii="宋体" w:hAnsi="宋体" w:eastAsia="宋体" w:cs="微软雅黑"/>
                <w:sz w:val="21"/>
                <w:lang w:eastAsia="zh-CN"/>
              </w:rPr>
              <w:t>图谱</w:t>
            </w:r>
            <w:r>
              <w:rPr>
                <w:rFonts w:hint="eastAsia" w:ascii="宋体" w:hAnsi="宋体" w:eastAsia="宋体" w:cs="MS Mincho"/>
                <w:sz w:val="21"/>
                <w:lang w:eastAsia="zh-CN"/>
              </w:rPr>
              <w:t>：基于引文分析、共</w:t>
            </w:r>
            <w:r>
              <w:rPr>
                <w:rFonts w:hint="eastAsia" w:ascii="宋体" w:hAnsi="宋体" w:eastAsia="宋体" w:cs="微软雅黑"/>
                <w:sz w:val="21"/>
                <w:lang w:eastAsia="zh-CN"/>
              </w:rPr>
              <w:t>词</w:t>
            </w:r>
            <w:r>
              <w:rPr>
                <w:rFonts w:hint="eastAsia" w:ascii="宋体" w:hAnsi="宋体" w:eastAsia="宋体" w:cs="MS Mincho"/>
                <w:sz w:val="21"/>
                <w:lang w:eastAsia="zh-CN"/>
              </w:rPr>
              <w:t>分析、社会网</w:t>
            </w:r>
            <w:r>
              <w:rPr>
                <w:rFonts w:hint="eastAsia" w:ascii="宋体" w:hAnsi="宋体" w:eastAsia="宋体" w:cs="微软雅黑"/>
                <w:sz w:val="21"/>
                <w:lang w:eastAsia="zh-CN"/>
              </w:rPr>
              <w:t>络</w:t>
            </w:r>
            <w:r>
              <w:rPr>
                <w:rFonts w:hint="eastAsia" w:ascii="宋体" w:hAnsi="宋体" w:eastAsia="宋体" w:cs="MS Mincho"/>
                <w:sz w:val="21"/>
                <w:lang w:eastAsia="zh-CN"/>
              </w:rPr>
              <w:t>分析等文献</w:t>
            </w:r>
            <w:r>
              <w:rPr>
                <w:rFonts w:hint="eastAsia" w:ascii="宋体" w:hAnsi="宋体" w:eastAsia="宋体" w:cs="微软雅黑"/>
                <w:sz w:val="21"/>
                <w:lang w:eastAsia="zh-CN"/>
              </w:rPr>
              <w:t>计</w:t>
            </w:r>
            <w:r>
              <w:rPr>
                <w:rFonts w:hint="eastAsia" w:ascii="宋体" w:hAnsi="宋体" w:eastAsia="宋体" w:cs="MS Mincho"/>
                <w:sz w:val="21"/>
                <w:lang w:eastAsia="zh-CN"/>
              </w:rPr>
              <w:t>量算法与知</w:t>
            </w:r>
            <w:r>
              <w:rPr>
                <w:rFonts w:hint="eastAsia" w:ascii="宋体" w:hAnsi="宋体" w:eastAsia="宋体" w:cs="微软雅黑"/>
                <w:sz w:val="21"/>
                <w:lang w:eastAsia="zh-CN"/>
              </w:rPr>
              <w:t>识图谱</w:t>
            </w:r>
            <w:r>
              <w:rPr>
                <w:rFonts w:hint="eastAsia" w:ascii="宋体" w:hAnsi="宋体" w:eastAsia="宋体" w:cs="MS Mincho"/>
                <w:sz w:val="21"/>
                <w:lang w:eastAsia="zh-CN"/>
              </w:rPr>
              <w:t>技</w:t>
            </w:r>
            <w:r>
              <w:rPr>
                <w:rFonts w:hint="eastAsia" w:ascii="宋体" w:hAnsi="宋体" w:eastAsia="宋体" w:cs="微软雅黑"/>
                <w:sz w:val="21"/>
                <w:lang w:eastAsia="zh-CN"/>
              </w:rPr>
              <w:t>术</w:t>
            </w:r>
            <w:r>
              <w:rPr>
                <w:rFonts w:hint="eastAsia" w:ascii="宋体" w:hAnsi="宋体" w:eastAsia="宋体" w:cs="MS Mincho"/>
                <w:sz w:val="21"/>
                <w:lang w:eastAsia="zh-CN"/>
              </w:rPr>
              <w:t>，采用玫瑰</w:t>
            </w:r>
            <w:r>
              <w:rPr>
                <w:rFonts w:hint="eastAsia" w:ascii="宋体" w:hAnsi="宋体" w:eastAsia="宋体" w:cs="微软雅黑"/>
                <w:sz w:val="21"/>
                <w:lang w:eastAsia="zh-CN"/>
              </w:rPr>
              <w:t>图</w:t>
            </w:r>
            <w:r>
              <w:rPr>
                <w:rFonts w:hint="eastAsia" w:ascii="宋体" w:hAnsi="宋体" w:eastAsia="宋体" w:cs="MS Mincho"/>
                <w:sz w:val="21"/>
                <w:lang w:eastAsia="zh-CN"/>
              </w:rPr>
              <w:t>、雷达</w:t>
            </w:r>
            <w:r>
              <w:rPr>
                <w:rFonts w:hint="eastAsia" w:ascii="宋体" w:hAnsi="宋体" w:eastAsia="宋体" w:cs="微软雅黑"/>
                <w:sz w:val="21"/>
                <w:lang w:eastAsia="zh-CN"/>
              </w:rPr>
              <w:t>图</w:t>
            </w:r>
            <w:r>
              <w:rPr>
                <w:rFonts w:hint="eastAsia" w:ascii="宋体" w:hAnsi="宋体" w:eastAsia="宋体" w:cs="MS Mincho"/>
                <w:sz w:val="21"/>
                <w:lang w:eastAsia="zh-CN"/>
              </w:rPr>
              <w:t>、柱状</w:t>
            </w:r>
            <w:r>
              <w:rPr>
                <w:rFonts w:hint="eastAsia" w:ascii="宋体" w:hAnsi="宋体" w:eastAsia="宋体" w:cs="微软雅黑"/>
                <w:sz w:val="21"/>
                <w:lang w:eastAsia="zh-CN"/>
              </w:rPr>
              <w:t>图</w:t>
            </w:r>
            <w:r>
              <w:rPr>
                <w:rFonts w:hint="eastAsia" w:ascii="宋体" w:hAnsi="宋体" w:eastAsia="宋体" w:cs="MS Mincho"/>
                <w:sz w:val="21"/>
                <w:lang w:eastAsia="zh-CN"/>
              </w:rPr>
              <w:t>、网</w:t>
            </w:r>
            <w:r>
              <w:rPr>
                <w:rFonts w:hint="eastAsia" w:ascii="宋体" w:hAnsi="宋体" w:eastAsia="宋体" w:cs="微软雅黑"/>
                <w:sz w:val="21"/>
                <w:lang w:eastAsia="zh-CN"/>
              </w:rPr>
              <w:t>络图</w:t>
            </w:r>
            <w:r>
              <w:rPr>
                <w:rFonts w:hint="eastAsia" w:ascii="宋体" w:hAnsi="宋体" w:eastAsia="宋体" w:cs="MS Mincho"/>
                <w:sz w:val="21"/>
                <w:lang w:eastAsia="zh-CN"/>
              </w:rPr>
              <w:t>等多种可</w:t>
            </w:r>
            <w:r>
              <w:rPr>
                <w:rFonts w:hint="eastAsia" w:ascii="宋体" w:hAnsi="宋体" w:eastAsia="宋体" w:cs="微软雅黑"/>
                <w:sz w:val="21"/>
                <w:lang w:eastAsia="zh-CN"/>
              </w:rPr>
              <w:t>视</w:t>
            </w:r>
            <w:r>
              <w:rPr>
                <w:rFonts w:hint="eastAsia" w:ascii="宋体" w:hAnsi="宋体" w:eastAsia="宋体" w:cs="MS Mincho"/>
                <w:sz w:val="21"/>
                <w:lang w:eastAsia="zh-CN"/>
              </w:rPr>
              <w:t>化</w:t>
            </w:r>
            <w:r>
              <w:rPr>
                <w:rFonts w:hint="eastAsia" w:ascii="宋体" w:hAnsi="宋体" w:eastAsia="宋体" w:cs="微软雅黑"/>
                <w:sz w:val="21"/>
                <w:lang w:eastAsia="zh-CN"/>
              </w:rPr>
              <w:t>图谱实现</w:t>
            </w:r>
            <w:r>
              <w:rPr>
                <w:rFonts w:hint="eastAsia" w:ascii="宋体" w:hAnsi="宋体" w:eastAsia="宋体" w:cs="MS Mincho"/>
                <w:sz w:val="21"/>
                <w:lang w:eastAsia="zh-CN"/>
              </w:rPr>
              <w:t>分析</w:t>
            </w:r>
            <w:r>
              <w:rPr>
                <w:rFonts w:hint="eastAsia" w:ascii="宋体" w:hAnsi="宋体" w:eastAsia="宋体" w:cs="微软雅黑"/>
                <w:sz w:val="21"/>
                <w:lang w:eastAsia="zh-CN"/>
              </w:rPr>
              <w:t>结</w:t>
            </w:r>
            <w:r>
              <w:rPr>
                <w:rFonts w:hint="eastAsia" w:ascii="宋体" w:hAnsi="宋体" w:eastAsia="宋体" w:cs="MS Mincho"/>
                <w:sz w:val="21"/>
                <w:lang w:eastAsia="zh-CN"/>
              </w:rPr>
              <w:t>果的可</w:t>
            </w:r>
            <w:r>
              <w:rPr>
                <w:rFonts w:hint="eastAsia" w:ascii="宋体" w:hAnsi="宋体" w:eastAsia="宋体" w:cs="微软雅黑"/>
                <w:sz w:val="21"/>
                <w:lang w:eastAsia="zh-CN"/>
              </w:rPr>
              <w:t>视</w:t>
            </w:r>
            <w:r>
              <w:rPr>
                <w:rFonts w:hint="eastAsia" w:ascii="宋体" w:hAnsi="宋体" w:eastAsia="宋体" w:cs="MS Mincho"/>
                <w:sz w:val="21"/>
                <w:lang w:eastAsia="zh-CN"/>
              </w:rPr>
              <w:t>化分析，帮助用</w:t>
            </w:r>
            <w:r>
              <w:rPr>
                <w:rFonts w:hint="eastAsia" w:ascii="宋体" w:hAnsi="宋体" w:eastAsia="宋体" w:cs="微软雅黑"/>
                <w:sz w:val="21"/>
                <w:lang w:eastAsia="zh-CN"/>
              </w:rPr>
              <w:t>户</w:t>
            </w:r>
            <w:r>
              <w:rPr>
                <w:rFonts w:hint="eastAsia" w:ascii="宋体" w:hAnsi="宋体" w:eastAsia="宋体" w:cs="MS Mincho"/>
                <w:sz w:val="21"/>
                <w:lang w:eastAsia="zh-CN"/>
              </w:rPr>
              <w:t>直</w:t>
            </w:r>
            <w:r>
              <w:rPr>
                <w:rFonts w:hint="eastAsia" w:ascii="宋体" w:hAnsi="宋体" w:eastAsia="宋体" w:cs="微软雅黑"/>
                <w:sz w:val="21"/>
                <w:lang w:eastAsia="zh-CN"/>
              </w:rPr>
              <w:t>观</w:t>
            </w:r>
            <w:r>
              <w:rPr>
                <w:rFonts w:hint="eastAsia" w:ascii="宋体" w:hAnsi="宋体" w:eastAsia="宋体" w:cs="MS Mincho"/>
                <w:sz w:val="21"/>
                <w:lang w:eastAsia="zh-CN"/>
              </w:rPr>
              <w:t>了解主</w:t>
            </w:r>
            <w:r>
              <w:rPr>
                <w:rFonts w:hint="eastAsia" w:ascii="宋体" w:hAnsi="宋体" w:eastAsia="宋体" w:cs="微软雅黑"/>
                <w:sz w:val="21"/>
                <w:lang w:eastAsia="zh-CN"/>
              </w:rPr>
              <w:t>题</w:t>
            </w:r>
            <w:r>
              <w:rPr>
                <w:rFonts w:hint="eastAsia" w:ascii="宋体" w:hAnsi="宋体" w:eastAsia="宋体" w:cs="MS Mincho"/>
                <w:sz w:val="21"/>
                <w:lang w:eastAsia="zh-CN"/>
              </w:rPr>
              <w:t>、学者、机构、学科、期刊、地区等多个主体的多</w:t>
            </w:r>
            <w:r>
              <w:rPr>
                <w:rFonts w:hint="eastAsia" w:ascii="宋体" w:hAnsi="宋体" w:eastAsia="宋体" w:cs="微软雅黑"/>
                <w:sz w:val="21"/>
                <w:lang w:eastAsia="zh-CN"/>
              </w:rPr>
              <w:t>项</w:t>
            </w:r>
            <w:r>
              <w:rPr>
                <w:rFonts w:hint="eastAsia" w:ascii="宋体" w:hAnsi="宋体" w:eastAsia="宋体" w:cs="MS Mincho"/>
                <w:sz w:val="21"/>
                <w:lang w:eastAsia="zh-CN"/>
              </w:rPr>
              <w:t>分析指</w:t>
            </w:r>
            <w:r>
              <w:rPr>
                <w:rFonts w:hint="eastAsia" w:ascii="宋体" w:hAnsi="宋体" w:eastAsia="宋体" w:cs="微软雅黑"/>
                <w:sz w:val="21"/>
                <w:lang w:eastAsia="zh-CN"/>
              </w:rPr>
              <w:t>标</w:t>
            </w:r>
            <w:r>
              <w:rPr>
                <w:rFonts w:hint="eastAsia" w:ascii="宋体" w:hAnsi="宋体" w:eastAsia="宋体" w:cs="MS Mincho"/>
                <w:sz w:val="21"/>
                <w:lang w:eastAsia="zh-CN"/>
              </w:rPr>
              <w:t>。</w:t>
            </w:r>
            <w:r>
              <w:rPr>
                <w:rFonts w:ascii="宋体" w:hAnsi="宋体" w:eastAsia="宋体"/>
                <w:sz w:val="21"/>
                <w:lang w:eastAsia="zh-CN"/>
              </w:rPr>
              <w:t xml:space="preserve"> </w:t>
            </w:r>
            <w:r>
              <w:rPr>
                <w:rFonts w:hint="eastAsia" w:ascii="宋体" w:hAnsi="宋体" w:eastAsia="宋体" w:cs="微软雅黑"/>
                <w:sz w:val="21"/>
                <w:lang w:eastAsia="zh-CN"/>
              </w:rPr>
              <w:t>导</w:t>
            </w:r>
            <w:r>
              <w:rPr>
                <w:rFonts w:hint="eastAsia" w:ascii="宋体" w:hAnsi="宋体" w:eastAsia="宋体" w:cs="MS Mincho"/>
                <w:sz w:val="21"/>
                <w:lang w:eastAsia="zh-CN"/>
              </w:rPr>
              <w:t>出</w:t>
            </w:r>
            <w:r>
              <w:rPr>
                <w:rFonts w:hint="eastAsia" w:ascii="宋体" w:hAnsi="宋体" w:eastAsia="宋体" w:cs="微软雅黑"/>
                <w:sz w:val="21"/>
                <w:lang w:eastAsia="zh-CN"/>
              </w:rPr>
              <w:t>报</w:t>
            </w:r>
            <w:r>
              <w:rPr>
                <w:rFonts w:hint="eastAsia" w:ascii="宋体" w:hAnsi="宋体" w:eastAsia="宋体" w:cs="MS Mincho"/>
                <w:sz w:val="21"/>
                <w:lang w:eastAsia="zh-CN"/>
              </w:rPr>
              <w:t>告：各模</w:t>
            </w:r>
            <w:r>
              <w:rPr>
                <w:rFonts w:hint="eastAsia" w:ascii="宋体" w:hAnsi="宋体" w:eastAsia="宋体" w:cs="微软雅黑"/>
                <w:sz w:val="21"/>
                <w:lang w:eastAsia="zh-CN"/>
              </w:rPr>
              <w:t>块</w:t>
            </w:r>
            <w:r>
              <w:rPr>
                <w:rFonts w:hint="eastAsia" w:ascii="宋体" w:hAnsi="宋体" w:eastAsia="宋体" w:cs="MS Mincho"/>
                <w:sz w:val="21"/>
                <w:lang w:eastAsia="zh-CN"/>
              </w:rPr>
              <w:t>分析</w:t>
            </w:r>
            <w:r>
              <w:rPr>
                <w:rFonts w:hint="eastAsia" w:ascii="宋体" w:hAnsi="宋体" w:eastAsia="宋体" w:cs="微软雅黑"/>
                <w:sz w:val="21"/>
                <w:lang w:eastAsia="zh-CN"/>
              </w:rPr>
              <w:t>结</w:t>
            </w:r>
            <w:r>
              <w:rPr>
                <w:rFonts w:hint="eastAsia" w:ascii="宋体" w:hAnsi="宋体" w:eastAsia="宋体" w:cs="MS Mincho"/>
                <w:sz w:val="21"/>
                <w:lang w:eastAsia="zh-CN"/>
              </w:rPr>
              <w:t>果支持</w:t>
            </w:r>
            <w:r>
              <w:rPr>
                <w:rFonts w:ascii="宋体" w:hAnsi="宋体" w:eastAsia="宋体"/>
                <w:sz w:val="21"/>
                <w:lang w:eastAsia="zh-CN"/>
              </w:rPr>
              <w:t xml:space="preserve">Excel导出服务、图片下载服务以及完整的word/PDF分析报告导出服务。AI服务：灵析融入了AI技术，推出智能化“AI分析报告小助手”，通过与用户的对话，为他们生成主题、学者、机构、学科、期刊、地区六个维度准确专业的分析报告。 </w:t>
            </w:r>
          </w:p>
        </w:tc>
      </w:tr>
    </w:tbl>
    <w:p w14:paraId="61016EAF">
      <w:pPr>
        <w:rPr>
          <w:sz w:val="24"/>
        </w:rPr>
      </w:pPr>
      <w:r>
        <w:rPr>
          <w:rFonts w:hint="eastAsia" w:ascii="宋体" w:hAnsi="宋体"/>
          <w:b/>
          <w:bCs/>
          <w:kern w:val="44"/>
          <w:sz w:val="32"/>
          <w:szCs w:val="32"/>
          <w:lang w:val="zh-CN"/>
        </w:rPr>
        <w:t xml:space="preserve">   </w:t>
      </w:r>
    </w:p>
    <w:p w14:paraId="67D46C3D">
      <w:pPr>
        <w:ind w:firstLine="480" w:firstLineChars="200"/>
        <w:rPr>
          <w:sz w:val="24"/>
        </w:rPr>
      </w:pPr>
      <w:r>
        <w:rPr>
          <w:rFonts w:hint="eastAsia"/>
          <w:sz w:val="24"/>
        </w:rPr>
        <w:t xml:space="preserve"> </w:t>
      </w:r>
    </w:p>
    <w:sectPr>
      <w:footerReference r:id="rId3" w:type="default"/>
      <w:pgSz w:w="11906" w:h="16838"/>
      <w:pgMar w:top="1021" w:right="1418" w:bottom="102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F1F19">
    <w:pPr>
      <w:pStyle w:val="15"/>
      <w:ind w:left="1441"/>
      <w:jc w:val="center"/>
      <w:rPr>
        <w:caps/>
        <w:color w:val="5B9BD5"/>
      </w:rPr>
    </w:pPr>
    <w:r>
      <w:rPr>
        <w:caps/>
        <w:color w:val="5B9BD5"/>
      </w:rPr>
      <w:fldChar w:fldCharType="begin"/>
    </w:r>
    <w:r>
      <w:rPr>
        <w:caps/>
        <w:color w:val="5B9BD5"/>
      </w:rPr>
      <w:instrText xml:space="preserve">PAGE   \* MERGEFORMAT</w:instrText>
    </w:r>
    <w:r>
      <w:rPr>
        <w:caps/>
        <w:color w:val="5B9BD5"/>
      </w:rPr>
      <w:fldChar w:fldCharType="separate"/>
    </w:r>
    <w:r>
      <w:rPr>
        <w:caps/>
        <w:color w:val="5B9BD5"/>
      </w:rPr>
      <w:t>2</w:t>
    </w:r>
    <w:r>
      <w:rPr>
        <w:caps/>
        <w:color w:val="5B9BD5"/>
      </w:rPr>
      <w:fldChar w:fldCharType="end"/>
    </w:r>
  </w:p>
  <w:p w14:paraId="416283EE">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015205"/>
    <w:multiLevelType w:val="multilevel"/>
    <w:tmpl w:val="29015205"/>
    <w:lvl w:ilvl="0" w:tentative="0">
      <w:start w:val="1"/>
      <w:numFmt w:val="decimal"/>
      <w:pStyle w:val="2"/>
      <w:lvlText w:val="%1"/>
      <w:lvlJc w:val="left"/>
      <w:pPr>
        <w:ind w:left="432" w:hanging="432"/>
      </w:pPr>
      <w:rPr>
        <w:rFonts w:hint="eastAsia"/>
      </w:rPr>
    </w:lvl>
    <w:lvl w:ilvl="1" w:tentative="0">
      <w:start w:val="1"/>
      <w:numFmt w:val="decimal"/>
      <w:lvlText w:val="4.%2"/>
      <w:lvlJc w:val="left"/>
      <w:pPr>
        <w:ind w:left="576" w:hanging="576"/>
      </w:pPr>
      <w:rPr>
        <w:rFonts w:hint="eastAsia"/>
      </w:rPr>
    </w:lvl>
    <w:lvl w:ilvl="2" w:tentative="0">
      <w:start w:val="1"/>
      <w:numFmt w:val="decimal"/>
      <w:lvlText w:val="6.2.%3"/>
      <w:lvlJc w:val="left"/>
      <w:pPr>
        <w:ind w:left="720" w:hanging="720"/>
      </w:pPr>
      <w:rPr>
        <w:rFonts w:hint="eastAsia"/>
      </w:rPr>
    </w:lvl>
    <w:lvl w:ilvl="3" w:tentative="0">
      <w:start w:val="1"/>
      <w:numFmt w:val="decimal"/>
      <w:pStyle w:val="5"/>
      <w:lvlText w:val="5.1.1.%4"/>
      <w:lvlJc w:val="left"/>
      <w:pPr>
        <w:ind w:left="864" w:hanging="864"/>
      </w:pPr>
      <w:rPr>
        <w:rFonts w:hint="eastAsia"/>
      </w:rPr>
    </w:lvl>
    <w:lvl w:ilvl="4" w:tentative="0">
      <w:start w:val="1"/>
      <w:numFmt w:val="decimal"/>
      <w:pStyle w:val="6"/>
      <w:lvlText w:val="5.1.1.1.%5"/>
      <w:lvlJc w:val="left"/>
      <w:pPr>
        <w:ind w:left="2142"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1">
    <w:nsid w:val="3EBB3C91"/>
    <w:multiLevelType w:val="multilevel"/>
    <w:tmpl w:val="3EBB3C91"/>
    <w:lvl w:ilvl="0" w:tentative="0">
      <w:start w:val="1"/>
      <w:numFmt w:val="decimal"/>
      <w:pStyle w:val="57"/>
      <w:lvlText w:val="%1. "/>
      <w:lvlJc w:val="left"/>
      <w:pPr>
        <w:ind w:left="420" w:hanging="420"/>
      </w:pPr>
      <w:rPr>
        <w:rFonts w:hint="default" w:ascii="Times New Roman" w:hAnsi="Times New Roman" w:eastAsia="宋体"/>
        <w:b/>
        <w:i w:val="0"/>
      </w:rPr>
    </w:lvl>
    <w:lvl w:ilvl="1" w:tentative="0">
      <w:start w:val="1"/>
      <w:numFmt w:val="decimal"/>
      <w:pStyle w:val="50"/>
      <w:isLgl/>
      <w:suff w:val="space"/>
      <w:lvlText w:val="%1.%2 "/>
      <w:lvlJc w:val="left"/>
      <w:pPr>
        <w:ind w:left="3913" w:hanging="794"/>
      </w:pPr>
      <w:rPr>
        <w:rFonts w:hint="eastAsia"/>
      </w:rPr>
    </w:lvl>
    <w:lvl w:ilvl="2" w:tentative="0">
      <w:start w:val="1"/>
      <w:numFmt w:val="decimal"/>
      <w:pStyle w:val="56"/>
      <w:isLgl/>
      <w:suff w:val="space"/>
      <w:lvlText w:val="%1.%2.%3 "/>
      <w:lvlJc w:val="left"/>
      <w:pPr>
        <w:ind w:left="907" w:hanging="907"/>
      </w:pPr>
      <w:rPr>
        <w:rFonts w:hint="eastAsia"/>
      </w:rPr>
    </w:lvl>
    <w:lvl w:ilvl="3" w:tentative="0">
      <w:start w:val="1"/>
      <w:numFmt w:val="decimal"/>
      <w:pStyle w:val="55"/>
      <w:isLgl/>
      <w:suff w:val="space"/>
      <w:lvlText w:val="%1.%2.%3.%4 "/>
      <w:lvlJc w:val="left"/>
      <w:pPr>
        <w:ind w:left="1021" w:hanging="1021"/>
      </w:pPr>
      <w:rPr>
        <w:rFonts w:hint="eastAsia"/>
      </w:rPr>
    </w:lvl>
    <w:lvl w:ilvl="4" w:tentative="0">
      <w:start w:val="1"/>
      <w:numFmt w:val="decimal"/>
      <w:pStyle w:val="60"/>
      <w:isLgl/>
      <w:suff w:val="space"/>
      <w:lvlText w:val="%1.%2.%3.%4.%5 "/>
      <w:lvlJc w:val="left"/>
      <w:pPr>
        <w:ind w:left="1134" w:hanging="1134"/>
      </w:pPr>
      <w:rPr>
        <w:rFonts w:hint="eastAsia"/>
      </w:rPr>
    </w:lvl>
    <w:lvl w:ilvl="5" w:tentative="0">
      <w:start w:val="1"/>
      <w:numFmt w:val="decimal"/>
      <w:pStyle w:val="54"/>
      <w:isLgl/>
      <w:suff w:val="space"/>
      <w:lvlText w:val="%1.%2.%3.%4.%5.%6 "/>
      <w:lvlJc w:val="left"/>
      <w:pPr>
        <w:ind w:left="1247" w:hanging="1247"/>
      </w:pPr>
      <w:rPr>
        <w:rFonts w:hint="eastAsia"/>
      </w:rPr>
    </w:lvl>
    <w:lvl w:ilvl="6" w:tentative="0">
      <w:start w:val="1"/>
      <w:numFmt w:val="decimal"/>
      <w:lvlRestart w:val="1"/>
      <w:pStyle w:val="49"/>
      <w:isLgl/>
      <w:suff w:val="space"/>
      <w:lvlText w:val="图 %1.%7 "/>
      <w:lvlJc w:val="left"/>
      <w:pPr>
        <w:ind w:left="0" w:firstLine="0"/>
      </w:pPr>
      <w:rPr>
        <w:rFonts w:hint="eastAsia"/>
      </w:rPr>
    </w:lvl>
    <w:lvl w:ilvl="7" w:tentative="0">
      <w:start w:val="1"/>
      <w:numFmt w:val="decimal"/>
      <w:lvlRestart w:val="1"/>
      <w:pStyle w:val="59"/>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2YWQyOWNhMWExZDA4YzY0N2IyZmVkYjU5MGExOWYifQ=="/>
  </w:docVars>
  <w:rsids>
    <w:rsidRoot w:val="00303343"/>
    <w:rsid w:val="000051D2"/>
    <w:rsid w:val="000079DD"/>
    <w:rsid w:val="00012DCC"/>
    <w:rsid w:val="00016B63"/>
    <w:rsid w:val="00040359"/>
    <w:rsid w:val="00042DAC"/>
    <w:rsid w:val="0004334E"/>
    <w:rsid w:val="00046B39"/>
    <w:rsid w:val="00054706"/>
    <w:rsid w:val="00065532"/>
    <w:rsid w:val="00066DE7"/>
    <w:rsid w:val="00074EDD"/>
    <w:rsid w:val="000757C1"/>
    <w:rsid w:val="00082D7A"/>
    <w:rsid w:val="00086AE0"/>
    <w:rsid w:val="0009064D"/>
    <w:rsid w:val="00090A18"/>
    <w:rsid w:val="000B41B7"/>
    <w:rsid w:val="000D5317"/>
    <w:rsid w:val="000E23DE"/>
    <w:rsid w:val="000E276C"/>
    <w:rsid w:val="00106D68"/>
    <w:rsid w:val="001106CE"/>
    <w:rsid w:val="001107F8"/>
    <w:rsid w:val="001116F6"/>
    <w:rsid w:val="001161EB"/>
    <w:rsid w:val="00121E40"/>
    <w:rsid w:val="0012322D"/>
    <w:rsid w:val="00123CDF"/>
    <w:rsid w:val="00123FCC"/>
    <w:rsid w:val="00135BF9"/>
    <w:rsid w:val="001365DD"/>
    <w:rsid w:val="00136606"/>
    <w:rsid w:val="00140E0C"/>
    <w:rsid w:val="0014437A"/>
    <w:rsid w:val="00153AB3"/>
    <w:rsid w:val="00156B1F"/>
    <w:rsid w:val="00162D29"/>
    <w:rsid w:val="00164878"/>
    <w:rsid w:val="00165091"/>
    <w:rsid w:val="001670A3"/>
    <w:rsid w:val="00171903"/>
    <w:rsid w:val="0018200C"/>
    <w:rsid w:val="001833B6"/>
    <w:rsid w:val="00190CD2"/>
    <w:rsid w:val="00194BFE"/>
    <w:rsid w:val="001A22A1"/>
    <w:rsid w:val="001A7B23"/>
    <w:rsid w:val="001B4850"/>
    <w:rsid w:val="001B7966"/>
    <w:rsid w:val="001B7D79"/>
    <w:rsid w:val="001C23B3"/>
    <w:rsid w:val="001C7BC6"/>
    <w:rsid w:val="001D4A68"/>
    <w:rsid w:val="001D6DE2"/>
    <w:rsid w:val="001D7749"/>
    <w:rsid w:val="001E3B38"/>
    <w:rsid w:val="00200054"/>
    <w:rsid w:val="002000DE"/>
    <w:rsid w:val="00201479"/>
    <w:rsid w:val="00202EFF"/>
    <w:rsid w:val="0020509F"/>
    <w:rsid w:val="00207A96"/>
    <w:rsid w:val="00214A6F"/>
    <w:rsid w:val="00221F1F"/>
    <w:rsid w:val="00223E47"/>
    <w:rsid w:val="00241D77"/>
    <w:rsid w:val="00243BC0"/>
    <w:rsid w:val="002509F5"/>
    <w:rsid w:val="002535AA"/>
    <w:rsid w:val="00261CBC"/>
    <w:rsid w:val="00262482"/>
    <w:rsid w:val="00265DE7"/>
    <w:rsid w:val="00270260"/>
    <w:rsid w:val="002722CA"/>
    <w:rsid w:val="002834D3"/>
    <w:rsid w:val="002853BF"/>
    <w:rsid w:val="00292528"/>
    <w:rsid w:val="002A01D6"/>
    <w:rsid w:val="002A4778"/>
    <w:rsid w:val="002C53D1"/>
    <w:rsid w:val="002D6BE1"/>
    <w:rsid w:val="002F31F1"/>
    <w:rsid w:val="003024F8"/>
    <w:rsid w:val="00303343"/>
    <w:rsid w:val="00303CAB"/>
    <w:rsid w:val="003042A2"/>
    <w:rsid w:val="00304636"/>
    <w:rsid w:val="00304B10"/>
    <w:rsid w:val="00311322"/>
    <w:rsid w:val="00314487"/>
    <w:rsid w:val="00314A5A"/>
    <w:rsid w:val="00322973"/>
    <w:rsid w:val="003325F0"/>
    <w:rsid w:val="00341038"/>
    <w:rsid w:val="00352E7C"/>
    <w:rsid w:val="00353276"/>
    <w:rsid w:val="00360458"/>
    <w:rsid w:val="00366980"/>
    <w:rsid w:val="00370A5D"/>
    <w:rsid w:val="00375EE0"/>
    <w:rsid w:val="003802E2"/>
    <w:rsid w:val="00385E95"/>
    <w:rsid w:val="00385FED"/>
    <w:rsid w:val="00397B7E"/>
    <w:rsid w:val="003A7269"/>
    <w:rsid w:val="003C0FB7"/>
    <w:rsid w:val="003C6D81"/>
    <w:rsid w:val="003D0F80"/>
    <w:rsid w:val="003D2595"/>
    <w:rsid w:val="003E23D9"/>
    <w:rsid w:val="003E7083"/>
    <w:rsid w:val="003F3286"/>
    <w:rsid w:val="003F629F"/>
    <w:rsid w:val="00403938"/>
    <w:rsid w:val="00413DA3"/>
    <w:rsid w:val="00414171"/>
    <w:rsid w:val="0041787F"/>
    <w:rsid w:val="00423450"/>
    <w:rsid w:val="0042702D"/>
    <w:rsid w:val="00435C81"/>
    <w:rsid w:val="0044060A"/>
    <w:rsid w:val="00440F72"/>
    <w:rsid w:val="004565AA"/>
    <w:rsid w:val="00456A2C"/>
    <w:rsid w:val="00456C99"/>
    <w:rsid w:val="004630DC"/>
    <w:rsid w:val="00467AB4"/>
    <w:rsid w:val="00467D50"/>
    <w:rsid w:val="00471BB8"/>
    <w:rsid w:val="00474AE0"/>
    <w:rsid w:val="0047796F"/>
    <w:rsid w:val="00482931"/>
    <w:rsid w:val="00495574"/>
    <w:rsid w:val="004A44FF"/>
    <w:rsid w:val="004C2C5B"/>
    <w:rsid w:val="004E2D8F"/>
    <w:rsid w:val="004E5E61"/>
    <w:rsid w:val="004F1410"/>
    <w:rsid w:val="00500264"/>
    <w:rsid w:val="00510B1E"/>
    <w:rsid w:val="005120A9"/>
    <w:rsid w:val="00517D7C"/>
    <w:rsid w:val="00520646"/>
    <w:rsid w:val="0052176F"/>
    <w:rsid w:val="0052604B"/>
    <w:rsid w:val="0053088D"/>
    <w:rsid w:val="00534BF6"/>
    <w:rsid w:val="00537CDE"/>
    <w:rsid w:val="005409FC"/>
    <w:rsid w:val="005563D3"/>
    <w:rsid w:val="00575F76"/>
    <w:rsid w:val="005766CE"/>
    <w:rsid w:val="00580F0E"/>
    <w:rsid w:val="00591388"/>
    <w:rsid w:val="0059358B"/>
    <w:rsid w:val="005944F9"/>
    <w:rsid w:val="00596428"/>
    <w:rsid w:val="00596CC5"/>
    <w:rsid w:val="005A4D1C"/>
    <w:rsid w:val="005B046D"/>
    <w:rsid w:val="005B33AE"/>
    <w:rsid w:val="005C49D7"/>
    <w:rsid w:val="005C60FB"/>
    <w:rsid w:val="005C7EF5"/>
    <w:rsid w:val="005D1C7F"/>
    <w:rsid w:val="005D2402"/>
    <w:rsid w:val="005D2BF6"/>
    <w:rsid w:val="005D3A60"/>
    <w:rsid w:val="005E7C53"/>
    <w:rsid w:val="005F0356"/>
    <w:rsid w:val="005F73BC"/>
    <w:rsid w:val="00600923"/>
    <w:rsid w:val="006053FC"/>
    <w:rsid w:val="00612F3F"/>
    <w:rsid w:val="00620E68"/>
    <w:rsid w:val="00623637"/>
    <w:rsid w:val="006244EF"/>
    <w:rsid w:val="006279C6"/>
    <w:rsid w:val="00644F1D"/>
    <w:rsid w:val="00646B59"/>
    <w:rsid w:val="006604C2"/>
    <w:rsid w:val="006861F5"/>
    <w:rsid w:val="00695998"/>
    <w:rsid w:val="00696D70"/>
    <w:rsid w:val="00697FBB"/>
    <w:rsid w:val="006B2085"/>
    <w:rsid w:val="006B21B8"/>
    <w:rsid w:val="006B392A"/>
    <w:rsid w:val="006B7B58"/>
    <w:rsid w:val="006C36EB"/>
    <w:rsid w:val="006D4B15"/>
    <w:rsid w:val="006D59F7"/>
    <w:rsid w:val="006E5E07"/>
    <w:rsid w:val="006F0434"/>
    <w:rsid w:val="00701D12"/>
    <w:rsid w:val="0070239F"/>
    <w:rsid w:val="00707B40"/>
    <w:rsid w:val="0072309C"/>
    <w:rsid w:val="0072695B"/>
    <w:rsid w:val="0074224C"/>
    <w:rsid w:val="00750A70"/>
    <w:rsid w:val="007513E6"/>
    <w:rsid w:val="00752912"/>
    <w:rsid w:val="007556BE"/>
    <w:rsid w:val="007621CC"/>
    <w:rsid w:val="0076668A"/>
    <w:rsid w:val="00784C08"/>
    <w:rsid w:val="00785EDF"/>
    <w:rsid w:val="00786A29"/>
    <w:rsid w:val="00795F59"/>
    <w:rsid w:val="007C0A5B"/>
    <w:rsid w:val="007D22AB"/>
    <w:rsid w:val="007D50ED"/>
    <w:rsid w:val="007E71E6"/>
    <w:rsid w:val="007F5726"/>
    <w:rsid w:val="007F5862"/>
    <w:rsid w:val="008168FB"/>
    <w:rsid w:val="00822BA6"/>
    <w:rsid w:val="008419E9"/>
    <w:rsid w:val="0084471C"/>
    <w:rsid w:val="008548FB"/>
    <w:rsid w:val="00857583"/>
    <w:rsid w:val="008623FD"/>
    <w:rsid w:val="00866774"/>
    <w:rsid w:val="00866AB9"/>
    <w:rsid w:val="00873B97"/>
    <w:rsid w:val="008802E2"/>
    <w:rsid w:val="008A62AC"/>
    <w:rsid w:val="008B2206"/>
    <w:rsid w:val="008C255D"/>
    <w:rsid w:val="008C509C"/>
    <w:rsid w:val="008D3291"/>
    <w:rsid w:val="008D59AA"/>
    <w:rsid w:val="008E145D"/>
    <w:rsid w:val="008E1A1C"/>
    <w:rsid w:val="008E2B56"/>
    <w:rsid w:val="008E69C8"/>
    <w:rsid w:val="00900232"/>
    <w:rsid w:val="00900BAA"/>
    <w:rsid w:val="00903734"/>
    <w:rsid w:val="00903878"/>
    <w:rsid w:val="00903CF6"/>
    <w:rsid w:val="009052C7"/>
    <w:rsid w:val="00905FFA"/>
    <w:rsid w:val="0092017A"/>
    <w:rsid w:val="00922032"/>
    <w:rsid w:val="00925C23"/>
    <w:rsid w:val="00927E08"/>
    <w:rsid w:val="009303FA"/>
    <w:rsid w:val="00941F0C"/>
    <w:rsid w:val="00943004"/>
    <w:rsid w:val="00966A88"/>
    <w:rsid w:val="00973A47"/>
    <w:rsid w:val="00981ED8"/>
    <w:rsid w:val="009822C7"/>
    <w:rsid w:val="00982AA3"/>
    <w:rsid w:val="009863EF"/>
    <w:rsid w:val="00986A41"/>
    <w:rsid w:val="0098719A"/>
    <w:rsid w:val="00991FF2"/>
    <w:rsid w:val="0099315B"/>
    <w:rsid w:val="00995DD9"/>
    <w:rsid w:val="009B4476"/>
    <w:rsid w:val="009C1F02"/>
    <w:rsid w:val="009C3783"/>
    <w:rsid w:val="009C4E7E"/>
    <w:rsid w:val="009D6951"/>
    <w:rsid w:val="009D7DD1"/>
    <w:rsid w:val="009E0351"/>
    <w:rsid w:val="009E214B"/>
    <w:rsid w:val="009E53AF"/>
    <w:rsid w:val="009F0270"/>
    <w:rsid w:val="009F61FA"/>
    <w:rsid w:val="00A05796"/>
    <w:rsid w:val="00A13CB0"/>
    <w:rsid w:val="00A14FD8"/>
    <w:rsid w:val="00A22CA1"/>
    <w:rsid w:val="00A4595D"/>
    <w:rsid w:val="00A51146"/>
    <w:rsid w:val="00A55049"/>
    <w:rsid w:val="00A61D3A"/>
    <w:rsid w:val="00A66833"/>
    <w:rsid w:val="00A70DCF"/>
    <w:rsid w:val="00A72437"/>
    <w:rsid w:val="00A73FDF"/>
    <w:rsid w:val="00A824B9"/>
    <w:rsid w:val="00A870DD"/>
    <w:rsid w:val="00A96157"/>
    <w:rsid w:val="00A969AF"/>
    <w:rsid w:val="00A9729E"/>
    <w:rsid w:val="00AA1E55"/>
    <w:rsid w:val="00AA1F69"/>
    <w:rsid w:val="00AB348F"/>
    <w:rsid w:val="00AB7D36"/>
    <w:rsid w:val="00AC1390"/>
    <w:rsid w:val="00AC4663"/>
    <w:rsid w:val="00AD51CE"/>
    <w:rsid w:val="00AE1DD2"/>
    <w:rsid w:val="00AE4014"/>
    <w:rsid w:val="00AE4106"/>
    <w:rsid w:val="00AF1565"/>
    <w:rsid w:val="00B037E4"/>
    <w:rsid w:val="00B12138"/>
    <w:rsid w:val="00B17749"/>
    <w:rsid w:val="00B17AE9"/>
    <w:rsid w:val="00B17C05"/>
    <w:rsid w:val="00B20334"/>
    <w:rsid w:val="00B20819"/>
    <w:rsid w:val="00B225B9"/>
    <w:rsid w:val="00B24AB1"/>
    <w:rsid w:val="00B36BD9"/>
    <w:rsid w:val="00B41A4C"/>
    <w:rsid w:val="00B43095"/>
    <w:rsid w:val="00B446CA"/>
    <w:rsid w:val="00B5093C"/>
    <w:rsid w:val="00B54356"/>
    <w:rsid w:val="00B55FE5"/>
    <w:rsid w:val="00B62917"/>
    <w:rsid w:val="00B74609"/>
    <w:rsid w:val="00B752B2"/>
    <w:rsid w:val="00B80E39"/>
    <w:rsid w:val="00B824A5"/>
    <w:rsid w:val="00B8588F"/>
    <w:rsid w:val="00B858F1"/>
    <w:rsid w:val="00B8684C"/>
    <w:rsid w:val="00B95916"/>
    <w:rsid w:val="00BA5A2D"/>
    <w:rsid w:val="00BA5B8F"/>
    <w:rsid w:val="00BB2B54"/>
    <w:rsid w:val="00BC3CA1"/>
    <w:rsid w:val="00BC49E5"/>
    <w:rsid w:val="00BC6DB1"/>
    <w:rsid w:val="00BD3194"/>
    <w:rsid w:val="00BD5FA8"/>
    <w:rsid w:val="00BE23E5"/>
    <w:rsid w:val="00BE31E6"/>
    <w:rsid w:val="00BF757E"/>
    <w:rsid w:val="00BF7C0E"/>
    <w:rsid w:val="00BF7F5A"/>
    <w:rsid w:val="00C17719"/>
    <w:rsid w:val="00C20730"/>
    <w:rsid w:val="00C2470A"/>
    <w:rsid w:val="00C2493D"/>
    <w:rsid w:val="00C335D8"/>
    <w:rsid w:val="00C50E12"/>
    <w:rsid w:val="00C54491"/>
    <w:rsid w:val="00C71B43"/>
    <w:rsid w:val="00C71E0E"/>
    <w:rsid w:val="00C74D8F"/>
    <w:rsid w:val="00C751A9"/>
    <w:rsid w:val="00C766DD"/>
    <w:rsid w:val="00C76BDF"/>
    <w:rsid w:val="00C775CE"/>
    <w:rsid w:val="00C8030E"/>
    <w:rsid w:val="00C91697"/>
    <w:rsid w:val="00C92EAA"/>
    <w:rsid w:val="00C97FD9"/>
    <w:rsid w:val="00CA148F"/>
    <w:rsid w:val="00CA29F9"/>
    <w:rsid w:val="00CB6B73"/>
    <w:rsid w:val="00CC218D"/>
    <w:rsid w:val="00CC6334"/>
    <w:rsid w:val="00CC677A"/>
    <w:rsid w:val="00CD008E"/>
    <w:rsid w:val="00CD49B4"/>
    <w:rsid w:val="00CD6EDC"/>
    <w:rsid w:val="00CE01E6"/>
    <w:rsid w:val="00CE2D1F"/>
    <w:rsid w:val="00CF1561"/>
    <w:rsid w:val="00CF1725"/>
    <w:rsid w:val="00CF1A40"/>
    <w:rsid w:val="00CF36EF"/>
    <w:rsid w:val="00CF4AE2"/>
    <w:rsid w:val="00D1110F"/>
    <w:rsid w:val="00D15B10"/>
    <w:rsid w:val="00D23E20"/>
    <w:rsid w:val="00D27DE3"/>
    <w:rsid w:val="00D30FA6"/>
    <w:rsid w:val="00D32842"/>
    <w:rsid w:val="00D359D2"/>
    <w:rsid w:val="00D407EB"/>
    <w:rsid w:val="00D454AB"/>
    <w:rsid w:val="00D536AB"/>
    <w:rsid w:val="00D54E0C"/>
    <w:rsid w:val="00D5537A"/>
    <w:rsid w:val="00D71136"/>
    <w:rsid w:val="00D77F36"/>
    <w:rsid w:val="00D9057D"/>
    <w:rsid w:val="00DA026E"/>
    <w:rsid w:val="00DA576E"/>
    <w:rsid w:val="00DB0A86"/>
    <w:rsid w:val="00DB57B7"/>
    <w:rsid w:val="00DC33CF"/>
    <w:rsid w:val="00DC3415"/>
    <w:rsid w:val="00DD3DE6"/>
    <w:rsid w:val="00DE4534"/>
    <w:rsid w:val="00DF3D3A"/>
    <w:rsid w:val="00DF4228"/>
    <w:rsid w:val="00E06670"/>
    <w:rsid w:val="00E17266"/>
    <w:rsid w:val="00E47752"/>
    <w:rsid w:val="00E53030"/>
    <w:rsid w:val="00E56652"/>
    <w:rsid w:val="00E62C9E"/>
    <w:rsid w:val="00E63369"/>
    <w:rsid w:val="00E63569"/>
    <w:rsid w:val="00E80756"/>
    <w:rsid w:val="00E81F96"/>
    <w:rsid w:val="00E8302B"/>
    <w:rsid w:val="00E83E34"/>
    <w:rsid w:val="00E847A3"/>
    <w:rsid w:val="00E84F8C"/>
    <w:rsid w:val="00E85360"/>
    <w:rsid w:val="00E85641"/>
    <w:rsid w:val="00E85DA4"/>
    <w:rsid w:val="00E86B42"/>
    <w:rsid w:val="00E95892"/>
    <w:rsid w:val="00E97354"/>
    <w:rsid w:val="00EA6408"/>
    <w:rsid w:val="00EC0483"/>
    <w:rsid w:val="00EC33A4"/>
    <w:rsid w:val="00ED0897"/>
    <w:rsid w:val="00ED73FF"/>
    <w:rsid w:val="00ED7F01"/>
    <w:rsid w:val="00EE4612"/>
    <w:rsid w:val="00EE51DE"/>
    <w:rsid w:val="00EE609F"/>
    <w:rsid w:val="00EF5E01"/>
    <w:rsid w:val="00EF6EC0"/>
    <w:rsid w:val="00F02058"/>
    <w:rsid w:val="00F0343C"/>
    <w:rsid w:val="00F04CE5"/>
    <w:rsid w:val="00F13514"/>
    <w:rsid w:val="00F1360F"/>
    <w:rsid w:val="00F16AA8"/>
    <w:rsid w:val="00F21791"/>
    <w:rsid w:val="00F3226A"/>
    <w:rsid w:val="00F33DB0"/>
    <w:rsid w:val="00F4455C"/>
    <w:rsid w:val="00F45DB8"/>
    <w:rsid w:val="00F54D29"/>
    <w:rsid w:val="00F62BCD"/>
    <w:rsid w:val="00F74B77"/>
    <w:rsid w:val="00F764FE"/>
    <w:rsid w:val="00F80625"/>
    <w:rsid w:val="00F827B6"/>
    <w:rsid w:val="00F92BE5"/>
    <w:rsid w:val="00F97832"/>
    <w:rsid w:val="00FA0574"/>
    <w:rsid w:val="00FB68D3"/>
    <w:rsid w:val="00FC4B75"/>
    <w:rsid w:val="00FD1A5D"/>
    <w:rsid w:val="00FE5A89"/>
    <w:rsid w:val="00FE7554"/>
    <w:rsid w:val="00FF17FE"/>
    <w:rsid w:val="00FF5F09"/>
    <w:rsid w:val="1761569A"/>
    <w:rsid w:val="180B6F29"/>
    <w:rsid w:val="1CF04230"/>
    <w:rsid w:val="1DEC15DB"/>
    <w:rsid w:val="23B97E40"/>
    <w:rsid w:val="266A6D02"/>
    <w:rsid w:val="35A45374"/>
    <w:rsid w:val="3F096930"/>
    <w:rsid w:val="42200080"/>
    <w:rsid w:val="468B4D34"/>
    <w:rsid w:val="47820720"/>
    <w:rsid w:val="488C513A"/>
    <w:rsid w:val="686021FF"/>
    <w:rsid w:val="6AC46CE5"/>
    <w:rsid w:val="6B5B7CDD"/>
    <w:rsid w:val="7866728E"/>
    <w:rsid w:val="79363C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numPr>
        <w:ilvl w:val="0"/>
        <w:numId w:val="1"/>
      </w:numPr>
      <w:spacing w:before="340" w:after="330" w:line="578" w:lineRule="auto"/>
      <w:outlineLvl w:val="0"/>
    </w:pPr>
    <w:rPr>
      <w:b/>
      <w:bCs/>
      <w:kern w:val="44"/>
      <w:sz w:val="44"/>
      <w:szCs w:val="44"/>
      <w:lang w:val="zh-CN"/>
    </w:rPr>
  </w:style>
  <w:style w:type="paragraph" w:styleId="3">
    <w:name w:val="heading 2"/>
    <w:basedOn w:val="1"/>
    <w:next w:val="1"/>
    <w:link w:val="25"/>
    <w:qFormat/>
    <w:uiPriority w:val="0"/>
    <w:pPr>
      <w:keepNext/>
      <w:keepLines/>
      <w:spacing w:before="260" w:after="260" w:line="416" w:lineRule="auto"/>
      <w:outlineLvl w:val="1"/>
    </w:pPr>
    <w:rPr>
      <w:rFonts w:ascii="等线 Light" w:hAnsi="等线 Light" w:eastAsia="等线 Light"/>
      <w:b/>
      <w:bCs/>
      <w:sz w:val="32"/>
      <w:szCs w:val="32"/>
      <w:lang w:val="zh-CN"/>
    </w:rPr>
  </w:style>
  <w:style w:type="paragraph" w:styleId="4">
    <w:name w:val="heading 3"/>
    <w:basedOn w:val="1"/>
    <w:next w:val="1"/>
    <w:link w:val="26"/>
    <w:autoRedefine/>
    <w:qFormat/>
    <w:uiPriority w:val="0"/>
    <w:pPr>
      <w:keepNext/>
      <w:keepLines/>
      <w:spacing w:before="260" w:after="260" w:line="416" w:lineRule="auto"/>
      <w:outlineLvl w:val="2"/>
    </w:pPr>
    <w:rPr>
      <w:b/>
      <w:bCs/>
      <w:sz w:val="30"/>
      <w:szCs w:val="30"/>
      <w:lang w:val="zh-CN"/>
    </w:rPr>
  </w:style>
  <w:style w:type="paragraph" w:styleId="5">
    <w:name w:val="heading 4"/>
    <w:basedOn w:val="1"/>
    <w:next w:val="1"/>
    <w:link w:val="27"/>
    <w:qFormat/>
    <w:uiPriority w:val="0"/>
    <w:pPr>
      <w:keepNext/>
      <w:keepLines/>
      <w:numPr>
        <w:ilvl w:val="3"/>
        <w:numId w:val="1"/>
      </w:numPr>
      <w:spacing w:before="280" w:after="290" w:line="376" w:lineRule="auto"/>
      <w:outlineLvl w:val="3"/>
    </w:pPr>
    <w:rPr>
      <w:rFonts w:ascii="宋体" w:hAnsi="宋体"/>
      <w:b/>
      <w:bCs/>
      <w:sz w:val="28"/>
      <w:szCs w:val="28"/>
      <w:lang w:val="zh-CN"/>
    </w:rPr>
  </w:style>
  <w:style w:type="paragraph" w:styleId="6">
    <w:name w:val="heading 5"/>
    <w:basedOn w:val="1"/>
    <w:next w:val="1"/>
    <w:link w:val="28"/>
    <w:qFormat/>
    <w:uiPriority w:val="0"/>
    <w:pPr>
      <w:keepNext/>
      <w:keepLines/>
      <w:numPr>
        <w:ilvl w:val="4"/>
        <w:numId w:val="1"/>
      </w:numPr>
      <w:spacing w:before="280" w:after="290" w:line="376" w:lineRule="auto"/>
      <w:outlineLvl w:val="4"/>
    </w:pPr>
    <w:rPr>
      <w:b/>
      <w:bCs/>
      <w:sz w:val="28"/>
      <w:szCs w:val="28"/>
      <w:lang w:val="zh-CN"/>
    </w:rPr>
  </w:style>
  <w:style w:type="paragraph" w:styleId="7">
    <w:name w:val="heading 6"/>
    <w:basedOn w:val="1"/>
    <w:next w:val="1"/>
    <w:link w:val="29"/>
    <w:qFormat/>
    <w:uiPriority w:val="0"/>
    <w:pPr>
      <w:keepNext/>
      <w:keepLines/>
      <w:numPr>
        <w:ilvl w:val="5"/>
        <w:numId w:val="1"/>
      </w:numPr>
      <w:spacing w:before="240" w:after="64" w:line="320" w:lineRule="auto"/>
      <w:outlineLvl w:val="5"/>
    </w:pPr>
    <w:rPr>
      <w:rFonts w:ascii="等线 Light" w:hAnsi="等线 Light" w:eastAsia="等线 Light"/>
      <w:b/>
      <w:bCs/>
      <w:sz w:val="24"/>
      <w:lang w:val="zh-CN"/>
    </w:rPr>
  </w:style>
  <w:style w:type="paragraph" w:styleId="8">
    <w:name w:val="heading 7"/>
    <w:basedOn w:val="1"/>
    <w:next w:val="1"/>
    <w:link w:val="30"/>
    <w:qFormat/>
    <w:uiPriority w:val="0"/>
    <w:pPr>
      <w:keepNext/>
      <w:keepLines/>
      <w:numPr>
        <w:ilvl w:val="6"/>
        <w:numId w:val="1"/>
      </w:numPr>
      <w:spacing w:before="240" w:after="64" w:line="320" w:lineRule="auto"/>
      <w:outlineLvl w:val="6"/>
    </w:pPr>
    <w:rPr>
      <w:b/>
      <w:bCs/>
      <w:sz w:val="24"/>
      <w:lang w:val="zh-CN"/>
    </w:rPr>
  </w:style>
  <w:style w:type="paragraph" w:styleId="9">
    <w:name w:val="heading 8"/>
    <w:basedOn w:val="1"/>
    <w:next w:val="1"/>
    <w:link w:val="31"/>
    <w:qFormat/>
    <w:uiPriority w:val="0"/>
    <w:pPr>
      <w:keepNext/>
      <w:keepLines/>
      <w:numPr>
        <w:ilvl w:val="7"/>
        <w:numId w:val="1"/>
      </w:numPr>
      <w:spacing w:before="240" w:after="64" w:line="320" w:lineRule="auto"/>
      <w:outlineLvl w:val="7"/>
    </w:pPr>
    <w:rPr>
      <w:rFonts w:ascii="等线 Light" w:hAnsi="等线 Light" w:eastAsia="等线 Light"/>
      <w:sz w:val="24"/>
      <w:lang w:val="zh-CN"/>
    </w:rPr>
  </w:style>
  <w:style w:type="paragraph" w:styleId="10">
    <w:name w:val="heading 9"/>
    <w:basedOn w:val="1"/>
    <w:next w:val="1"/>
    <w:link w:val="32"/>
    <w:qFormat/>
    <w:uiPriority w:val="0"/>
    <w:pPr>
      <w:keepNext/>
      <w:keepLines/>
      <w:numPr>
        <w:ilvl w:val="8"/>
        <w:numId w:val="1"/>
      </w:numPr>
      <w:spacing w:before="240" w:after="64" w:line="320" w:lineRule="auto"/>
      <w:outlineLvl w:val="8"/>
    </w:pPr>
    <w:rPr>
      <w:rFonts w:ascii="等线 Light" w:hAnsi="等线 Light" w:eastAsia="等线 Light"/>
      <w:szCs w:val="21"/>
      <w:lang w:val="zh-CN"/>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33"/>
    <w:qFormat/>
    <w:uiPriority w:val="99"/>
    <w:pPr>
      <w:spacing w:beforeLines="50" w:line="360" w:lineRule="auto"/>
      <w:ind w:firstLine="512" w:firstLineChars="200"/>
    </w:pPr>
    <w:rPr>
      <w:spacing w:val="8"/>
      <w:sz w:val="24"/>
      <w:szCs w:val="20"/>
    </w:rPr>
  </w:style>
  <w:style w:type="paragraph" w:styleId="12">
    <w:name w:val="annotation text"/>
    <w:basedOn w:val="1"/>
    <w:link w:val="34"/>
    <w:unhideWhenUsed/>
    <w:qFormat/>
    <w:uiPriority w:val="0"/>
    <w:pPr>
      <w:jc w:val="left"/>
    </w:pPr>
    <w:rPr>
      <w:kern w:val="0"/>
      <w:sz w:val="20"/>
      <w:lang w:val="zh-CN"/>
    </w:rPr>
  </w:style>
  <w:style w:type="paragraph" w:styleId="13">
    <w:name w:val="Plain Text"/>
    <w:basedOn w:val="1"/>
    <w:link w:val="35"/>
    <w:qFormat/>
    <w:uiPriority w:val="0"/>
    <w:rPr>
      <w:rFonts w:ascii="Calibri" w:hAnsi="Courier New"/>
      <w:szCs w:val="20"/>
      <w:lang w:val="zh-CN"/>
    </w:rPr>
  </w:style>
  <w:style w:type="paragraph" w:styleId="14">
    <w:name w:val="Balloon Text"/>
    <w:basedOn w:val="1"/>
    <w:link w:val="36"/>
    <w:qFormat/>
    <w:uiPriority w:val="0"/>
    <w:rPr>
      <w:sz w:val="18"/>
      <w:szCs w:val="18"/>
      <w:lang w:val="zh-CN"/>
    </w:rPr>
  </w:style>
  <w:style w:type="paragraph" w:styleId="15">
    <w:name w:val="footer"/>
    <w:basedOn w:val="1"/>
    <w:link w:val="37"/>
    <w:qFormat/>
    <w:uiPriority w:val="0"/>
    <w:pPr>
      <w:tabs>
        <w:tab w:val="center" w:pos="4153"/>
        <w:tab w:val="right" w:pos="8306"/>
      </w:tabs>
      <w:snapToGrid w:val="0"/>
      <w:jc w:val="left"/>
    </w:pPr>
    <w:rPr>
      <w:sz w:val="18"/>
      <w:szCs w:val="18"/>
      <w:lang w:val="zh-CN"/>
    </w:rPr>
  </w:style>
  <w:style w:type="paragraph" w:styleId="16">
    <w:name w:val="header"/>
    <w:basedOn w:val="1"/>
    <w:link w:val="38"/>
    <w:qFormat/>
    <w:uiPriority w:val="0"/>
    <w:pPr>
      <w:pBdr>
        <w:bottom w:val="single" w:color="auto" w:sz="6" w:space="1"/>
      </w:pBdr>
      <w:tabs>
        <w:tab w:val="center" w:pos="4153"/>
        <w:tab w:val="right" w:pos="8306"/>
      </w:tabs>
      <w:snapToGrid w:val="0"/>
      <w:jc w:val="center"/>
    </w:pPr>
    <w:rPr>
      <w:sz w:val="18"/>
      <w:szCs w:val="18"/>
      <w:lang w:val="zh-CN"/>
    </w:rPr>
  </w:style>
  <w:style w:type="paragraph" w:styleId="17">
    <w:name w:val="Subtitle"/>
    <w:basedOn w:val="1"/>
    <w:next w:val="1"/>
    <w:link w:val="63"/>
    <w:autoRedefine/>
    <w:qFormat/>
    <w:uiPriority w:val="0"/>
    <w:pPr>
      <w:spacing w:beforeLines="50" w:after="60" w:line="312" w:lineRule="auto"/>
      <w:ind w:firstLine="200" w:firstLineChars="200"/>
      <w:jc w:val="center"/>
      <w:outlineLvl w:val="1"/>
    </w:pPr>
    <w:rPr>
      <w:rFonts w:ascii="Cambria" w:hAnsi="Cambria"/>
      <w:b/>
      <w:bCs/>
      <w:kern w:val="28"/>
      <w:sz w:val="32"/>
      <w:szCs w:val="32"/>
      <w:lang w:eastAsia="en-US"/>
    </w:rPr>
  </w:style>
  <w:style w:type="paragraph" w:styleId="1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20">
    <w:name w:val="Table Grid"/>
    <w:basedOn w:val="1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2">
    <w:name w:val="Hyperlink"/>
    <w:qFormat/>
    <w:uiPriority w:val="0"/>
    <w:rPr>
      <w:color w:val="0563C1"/>
      <w:u w:val="single"/>
    </w:rPr>
  </w:style>
  <w:style w:type="character" w:styleId="23">
    <w:name w:val="annotation reference"/>
    <w:unhideWhenUsed/>
    <w:qFormat/>
    <w:uiPriority w:val="99"/>
    <w:rPr>
      <w:sz w:val="21"/>
      <w:szCs w:val="21"/>
    </w:rPr>
  </w:style>
  <w:style w:type="character" w:customStyle="1" w:styleId="24">
    <w:name w:val="标题 1 Char"/>
    <w:link w:val="2"/>
    <w:autoRedefine/>
    <w:qFormat/>
    <w:uiPriority w:val="0"/>
    <w:rPr>
      <w:b/>
      <w:bCs/>
      <w:kern w:val="44"/>
      <w:sz w:val="44"/>
      <w:szCs w:val="44"/>
      <w:lang w:val="zh-CN" w:eastAsia="zh-CN"/>
    </w:rPr>
  </w:style>
  <w:style w:type="character" w:customStyle="1" w:styleId="25">
    <w:name w:val="标题 2 Char"/>
    <w:link w:val="3"/>
    <w:qFormat/>
    <w:uiPriority w:val="0"/>
    <w:rPr>
      <w:rFonts w:ascii="等线 Light" w:hAnsi="等线 Light" w:eastAsia="等线 Light" w:cs="Times New Roman"/>
      <w:b/>
      <w:bCs/>
      <w:kern w:val="2"/>
      <w:sz w:val="32"/>
      <w:szCs w:val="32"/>
    </w:rPr>
  </w:style>
  <w:style w:type="character" w:customStyle="1" w:styleId="26">
    <w:name w:val="标题 3 Char"/>
    <w:link w:val="4"/>
    <w:qFormat/>
    <w:uiPriority w:val="0"/>
    <w:rPr>
      <w:b/>
      <w:bCs/>
      <w:kern w:val="2"/>
      <w:sz w:val="30"/>
      <w:szCs w:val="30"/>
    </w:rPr>
  </w:style>
  <w:style w:type="character" w:customStyle="1" w:styleId="27">
    <w:name w:val="标题 4 Char"/>
    <w:link w:val="5"/>
    <w:qFormat/>
    <w:uiPriority w:val="0"/>
    <w:rPr>
      <w:rFonts w:ascii="宋体" w:hAnsi="宋体"/>
      <w:b/>
      <w:bCs/>
      <w:kern w:val="2"/>
      <w:sz w:val="28"/>
      <w:szCs w:val="28"/>
    </w:rPr>
  </w:style>
  <w:style w:type="character" w:customStyle="1" w:styleId="28">
    <w:name w:val="标题 5 Char"/>
    <w:link w:val="6"/>
    <w:qFormat/>
    <w:uiPriority w:val="0"/>
    <w:rPr>
      <w:b/>
      <w:bCs/>
      <w:kern w:val="2"/>
      <w:sz w:val="28"/>
      <w:szCs w:val="28"/>
    </w:rPr>
  </w:style>
  <w:style w:type="character" w:customStyle="1" w:styleId="29">
    <w:name w:val="标题 6 Char"/>
    <w:link w:val="7"/>
    <w:semiHidden/>
    <w:qFormat/>
    <w:uiPriority w:val="0"/>
    <w:rPr>
      <w:rFonts w:ascii="等线 Light" w:hAnsi="等线 Light" w:eastAsia="等线 Light"/>
      <w:b/>
      <w:bCs/>
      <w:kern w:val="2"/>
      <w:sz w:val="24"/>
      <w:szCs w:val="24"/>
    </w:rPr>
  </w:style>
  <w:style w:type="character" w:customStyle="1" w:styleId="30">
    <w:name w:val="标题 7 Char"/>
    <w:link w:val="8"/>
    <w:semiHidden/>
    <w:qFormat/>
    <w:uiPriority w:val="0"/>
    <w:rPr>
      <w:b/>
      <w:bCs/>
      <w:kern w:val="2"/>
      <w:sz w:val="24"/>
      <w:szCs w:val="24"/>
    </w:rPr>
  </w:style>
  <w:style w:type="character" w:customStyle="1" w:styleId="31">
    <w:name w:val="标题 8 Char"/>
    <w:link w:val="9"/>
    <w:semiHidden/>
    <w:qFormat/>
    <w:uiPriority w:val="0"/>
    <w:rPr>
      <w:rFonts w:ascii="等线 Light" w:hAnsi="等线 Light" w:eastAsia="等线 Light"/>
      <w:kern w:val="2"/>
      <w:sz w:val="24"/>
      <w:szCs w:val="24"/>
    </w:rPr>
  </w:style>
  <w:style w:type="character" w:customStyle="1" w:styleId="32">
    <w:name w:val="标题 9 Char"/>
    <w:link w:val="10"/>
    <w:semiHidden/>
    <w:qFormat/>
    <w:uiPriority w:val="0"/>
    <w:rPr>
      <w:rFonts w:ascii="等线 Light" w:hAnsi="等线 Light" w:eastAsia="等线 Light"/>
      <w:kern w:val="2"/>
      <w:sz w:val="21"/>
      <w:szCs w:val="21"/>
    </w:rPr>
  </w:style>
  <w:style w:type="character" w:customStyle="1" w:styleId="33">
    <w:name w:val="正文缩进 Char"/>
    <w:link w:val="11"/>
    <w:qFormat/>
    <w:uiPriority w:val="99"/>
    <w:rPr>
      <w:spacing w:val="8"/>
      <w:kern w:val="2"/>
      <w:sz w:val="24"/>
      <w:lang w:val="en-US" w:eastAsia="zh-CN"/>
    </w:rPr>
  </w:style>
  <w:style w:type="character" w:customStyle="1" w:styleId="34">
    <w:name w:val="批注文字 Char"/>
    <w:link w:val="12"/>
    <w:qFormat/>
    <w:uiPriority w:val="0"/>
    <w:rPr>
      <w:szCs w:val="24"/>
    </w:rPr>
  </w:style>
  <w:style w:type="character" w:customStyle="1" w:styleId="35">
    <w:name w:val="纯文本 Char"/>
    <w:link w:val="13"/>
    <w:qFormat/>
    <w:uiPriority w:val="0"/>
    <w:rPr>
      <w:rFonts w:ascii="Calibri" w:hAnsi="Courier New"/>
      <w:kern w:val="2"/>
      <w:sz w:val="21"/>
    </w:rPr>
  </w:style>
  <w:style w:type="character" w:customStyle="1" w:styleId="36">
    <w:name w:val="批注框文本 Char"/>
    <w:link w:val="14"/>
    <w:qFormat/>
    <w:uiPriority w:val="0"/>
    <w:rPr>
      <w:kern w:val="2"/>
      <w:sz w:val="18"/>
      <w:szCs w:val="18"/>
    </w:rPr>
  </w:style>
  <w:style w:type="character" w:customStyle="1" w:styleId="37">
    <w:name w:val="页脚 Char"/>
    <w:link w:val="15"/>
    <w:qFormat/>
    <w:uiPriority w:val="0"/>
    <w:rPr>
      <w:kern w:val="2"/>
      <w:sz w:val="18"/>
      <w:szCs w:val="18"/>
    </w:rPr>
  </w:style>
  <w:style w:type="character" w:customStyle="1" w:styleId="38">
    <w:name w:val="页眉 Char"/>
    <w:link w:val="16"/>
    <w:qFormat/>
    <w:uiPriority w:val="0"/>
    <w:rPr>
      <w:kern w:val="2"/>
      <w:sz w:val="18"/>
      <w:szCs w:val="18"/>
    </w:rPr>
  </w:style>
  <w:style w:type="character" w:customStyle="1" w:styleId="39">
    <w:name w:val="已访问的超链接1"/>
    <w:qFormat/>
    <w:uiPriority w:val="0"/>
    <w:rPr>
      <w:color w:val="800080"/>
      <w:u w:val="single"/>
    </w:rPr>
  </w:style>
  <w:style w:type="character" w:customStyle="1" w:styleId="40">
    <w:name w:val="正文（首行缩进2字符） Char"/>
    <w:link w:val="41"/>
    <w:qFormat/>
    <w:uiPriority w:val="0"/>
    <w:rPr>
      <w:kern w:val="2"/>
      <w:sz w:val="24"/>
      <w:szCs w:val="24"/>
    </w:rPr>
  </w:style>
  <w:style w:type="paragraph" w:customStyle="1" w:styleId="41">
    <w:name w:val="正文（首行缩进2字符）"/>
    <w:basedOn w:val="1"/>
    <w:link w:val="40"/>
    <w:qFormat/>
    <w:uiPriority w:val="0"/>
    <w:pPr>
      <w:spacing w:line="360" w:lineRule="auto"/>
      <w:ind w:firstLine="480" w:firstLineChars="200"/>
    </w:pPr>
    <w:rPr>
      <w:sz w:val="24"/>
      <w:lang w:val="zh-CN"/>
    </w:rPr>
  </w:style>
  <w:style w:type="character" w:customStyle="1" w:styleId="42">
    <w:name w:val="段落 Char1"/>
    <w:link w:val="43"/>
    <w:qFormat/>
    <w:uiPriority w:val="0"/>
    <w:rPr>
      <w:rFonts w:eastAsia="仿宋_GB2312"/>
      <w:sz w:val="24"/>
      <w:szCs w:val="24"/>
      <w:lang w:val="en-US" w:eastAsia="zh-CN" w:bidi="ar-SA"/>
    </w:rPr>
  </w:style>
  <w:style w:type="paragraph" w:customStyle="1" w:styleId="43">
    <w:name w:val="段落"/>
    <w:link w:val="42"/>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sz w:val="24"/>
      <w:szCs w:val="24"/>
      <w:lang w:val="en-US" w:eastAsia="zh-CN" w:bidi="ar-SA"/>
    </w:rPr>
  </w:style>
  <w:style w:type="character" w:customStyle="1" w:styleId="44">
    <w:name w:val="正文（安华金和） Char"/>
    <w:link w:val="45"/>
    <w:autoRedefine/>
    <w:qFormat/>
    <w:uiPriority w:val="0"/>
    <w:rPr>
      <w:rFonts w:ascii="Arial" w:hAnsi="Arial"/>
      <w:sz w:val="21"/>
      <w:szCs w:val="21"/>
      <w:lang w:val="en-US" w:eastAsia="zh-CN" w:bidi="ar-SA"/>
    </w:rPr>
  </w:style>
  <w:style w:type="paragraph" w:customStyle="1" w:styleId="45">
    <w:name w:val="正文（安华金和）"/>
    <w:link w:val="44"/>
    <w:autoRedefine/>
    <w:qFormat/>
    <w:uiPriority w:val="0"/>
    <w:pPr>
      <w:widowControl w:val="0"/>
      <w:spacing w:line="360" w:lineRule="auto"/>
      <w:ind w:firstLine="200"/>
    </w:pPr>
    <w:rPr>
      <w:rFonts w:ascii="Arial" w:hAnsi="Arial" w:eastAsia="宋体" w:cs="Times New Roman"/>
      <w:sz w:val="21"/>
      <w:szCs w:val="21"/>
      <w:lang w:val="en-US" w:eastAsia="zh-CN" w:bidi="ar-SA"/>
    </w:rPr>
  </w:style>
  <w:style w:type="character" w:customStyle="1" w:styleId="46">
    <w:name w:val="页脚 字符"/>
    <w:qFormat/>
    <w:uiPriority w:val="99"/>
  </w:style>
  <w:style w:type="character" w:customStyle="1" w:styleId="47">
    <w:name w:val="列出段落 Char"/>
    <w:link w:val="48"/>
    <w:autoRedefine/>
    <w:qFormat/>
    <w:uiPriority w:val="34"/>
    <w:rPr>
      <w:rFonts w:ascii="等线" w:hAnsi="等线" w:eastAsia="等线"/>
      <w:kern w:val="2"/>
      <w:sz w:val="21"/>
      <w:szCs w:val="22"/>
    </w:rPr>
  </w:style>
  <w:style w:type="paragraph" w:styleId="48">
    <w:name w:val="List Paragraph"/>
    <w:basedOn w:val="1"/>
    <w:link w:val="47"/>
    <w:autoRedefine/>
    <w:qFormat/>
    <w:uiPriority w:val="34"/>
    <w:pPr>
      <w:ind w:firstLine="420" w:firstLineChars="200"/>
    </w:pPr>
    <w:rPr>
      <w:rFonts w:ascii="等线" w:hAnsi="等线" w:eastAsia="等线"/>
      <w:szCs w:val="22"/>
      <w:lang w:val="zh-CN"/>
    </w:rPr>
  </w:style>
  <w:style w:type="paragraph" w:customStyle="1" w:styleId="49">
    <w:name w:val="插图标注（安华金和）"/>
    <w:next w:val="1"/>
    <w:autoRedefine/>
    <w:qFormat/>
    <w:uiPriority w:val="0"/>
    <w:pPr>
      <w:numPr>
        <w:ilvl w:val="6"/>
        <w:numId w:val="2"/>
      </w:numPr>
      <w:spacing w:after="156"/>
      <w:jc w:val="center"/>
    </w:pPr>
    <w:rPr>
      <w:rFonts w:ascii="Arial" w:hAnsi="Arial" w:eastAsia="宋体" w:cs="Arial"/>
      <w:sz w:val="21"/>
      <w:szCs w:val="21"/>
      <w:lang w:val="en-US" w:eastAsia="zh-CN" w:bidi="ar-SA"/>
    </w:rPr>
  </w:style>
  <w:style w:type="paragraph" w:customStyle="1" w:styleId="50">
    <w:name w:val="标题 2（DBSec）"/>
    <w:basedOn w:val="3"/>
    <w:next w:val="1"/>
    <w:autoRedefine/>
    <w:qFormat/>
    <w:uiPriority w:val="0"/>
    <w:pPr>
      <w:numPr>
        <w:ilvl w:val="1"/>
        <w:numId w:val="2"/>
      </w:numPr>
      <w:spacing w:line="415" w:lineRule="auto"/>
      <w:ind w:left="794" w:leftChars="200"/>
      <w:jc w:val="left"/>
    </w:pPr>
    <w:rPr>
      <w:rFonts w:ascii="Arial" w:hAnsi="Arial" w:eastAsia="黑体"/>
      <w:bCs w:val="0"/>
    </w:rPr>
  </w:style>
  <w:style w:type="paragraph" w:customStyle="1" w:styleId="51">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paragraph" w:customStyle="1" w:styleId="52">
    <w:name w:val="_Style 27"/>
    <w:basedOn w:val="1"/>
    <w:next w:val="48"/>
    <w:qFormat/>
    <w:uiPriority w:val="34"/>
    <w:pPr>
      <w:widowControl/>
      <w:spacing w:line="240" w:lineRule="atLeast"/>
      <w:ind w:firstLine="420" w:firstLineChars="200"/>
    </w:pPr>
    <w:rPr>
      <w:rFonts w:ascii="Arial" w:hAnsi="Arial"/>
      <w:kern w:val="0"/>
      <w:szCs w:val="21"/>
    </w:rPr>
  </w:style>
  <w:style w:type="paragraph" w:customStyle="1" w:styleId="53">
    <w:name w:val="列出段落2"/>
    <w:basedOn w:val="1"/>
    <w:qFormat/>
    <w:uiPriority w:val="99"/>
    <w:pPr>
      <w:widowControl/>
      <w:spacing w:line="240" w:lineRule="atLeast"/>
      <w:ind w:firstLine="420" w:firstLineChars="200"/>
    </w:pPr>
    <w:rPr>
      <w:rFonts w:ascii="Arial" w:hAnsi="Arial"/>
      <w:kern w:val="0"/>
      <w:szCs w:val="21"/>
    </w:rPr>
  </w:style>
  <w:style w:type="paragraph" w:customStyle="1" w:styleId="54">
    <w:name w:val="标题 6（有编号）（安华金和）"/>
    <w:basedOn w:val="1"/>
    <w:next w:val="1"/>
    <w:qFormat/>
    <w:uiPriority w:val="0"/>
    <w:pPr>
      <w:keepNext/>
      <w:keepLines/>
      <w:numPr>
        <w:ilvl w:val="5"/>
        <w:numId w:val="2"/>
      </w:numPr>
      <w:spacing w:before="240" w:after="64" w:line="319" w:lineRule="auto"/>
      <w:ind w:left="0"/>
      <w:jc w:val="left"/>
      <w:outlineLvl w:val="5"/>
    </w:pPr>
    <w:rPr>
      <w:rFonts w:ascii="Arial" w:hAnsi="Arial" w:eastAsia="黑体"/>
      <w:b/>
      <w:kern w:val="0"/>
    </w:rPr>
  </w:style>
  <w:style w:type="paragraph" w:customStyle="1" w:styleId="55">
    <w:name w:val="标题 4（DBSec）"/>
    <w:basedOn w:val="5"/>
    <w:next w:val="1"/>
    <w:autoRedefine/>
    <w:qFormat/>
    <w:uiPriority w:val="0"/>
    <w:pPr>
      <w:widowControl/>
      <w:numPr>
        <w:numId w:val="2"/>
      </w:numPr>
      <w:spacing w:after="156"/>
      <w:ind w:left="200" w:leftChars="200"/>
      <w:jc w:val="left"/>
    </w:pPr>
    <w:rPr>
      <w:rFonts w:ascii="Arial" w:hAnsi="Arial" w:eastAsia="黑体"/>
      <w:bCs w:val="0"/>
      <w:kern w:val="0"/>
    </w:rPr>
  </w:style>
  <w:style w:type="paragraph" w:customStyle="1" w:styleId="56">
    <w:name w:val="标题 3（DBSec）"/>
    <w:basedOn w:val="4"/>
    <w:next w:val="1"/>
    <w:qFormat/>
    <w:uiPriority w:val="0"/>
    <w:pPr>
      <w:numPr>
        <w:ilvl w:val="2"/>
        <w:numId w:val="2"/>
      </w:numPr>
      <w:tabs>
        <w:tab w:val="left" w:pos="960"/>
      </w:tabs>
      <w:spacing w:line="415" w:lineRule="auto"/>
      <w:ind w:left="200" w:leftChars="200"/>
      <w:jc w:val="left"/>
    </w:pPr>
    <w:rPr>
      <w:rFonts w:ascii="Arial" w:hAnsi="Arial" w:eastAsia="黑体"/>
      <w:bCs w:val="0"/>
      <w:kern w:val="0"/>
    </w:rPr>
  </w:style>
  <w:style w:type="paragraph" w:customStyle="1" w:styleId="57">
    <w:name w:val="标题 1（DBSec）"/>
    <w:basedOn w:val="2"/>
    <w:next w:val="1"/>
    <w:autoRedefine/>
    <w:qFormat/>
    <w:uiPriority w:val="0"/>
    <w:pPr>
      <w:pageBreakBefore/>
      <w:numPr>
        <w:numId w:val="2"/>
      </w:numPr>
      <w:pBdr>
        <w:bottom w:val="single" w:color="auto" w:sz="48" w:space="1"/>
      </w:pBdr>
      <w:spacing w:before="600" w:line="576" w:lineRule="auto"/>
      <w:ind w:left="200" w:leftChars="200"/>
      <w:jc w:val="left"/>
    </w:pPr>
    <w:rPr>
      <w:rFonts w:ascii="Arial" w:hAnsi="Arial" w:eastAsia="黑体"/>
      <w:lang w:val="en-US"/>
    </w:rPr>
  </w:style>
  <w:style w:type="paragraph" w:customStyle="1" w:styleId="58">
    <w:name w:val="彩色列表 - 着色 11"/>
    <w:basedOn w:val="1"/>
    <w:autoRedefine/>
    <w:qFormat/>
    <w:uiPriority w:val="34"/>
    <w:pPr>
      <w:spacing w:line="360" w:lineRule="auto"/>
      <w:ind w:firstLine="420" w:firstLineChars="200"/>
    </w:pPr>
    <w:rPr>
      <w:rFonts w:ascii="Arial" w:hAnsi="Arial"/>
      <w:szCs w:val="21"/>
    </w:rPr>
  </w:style>
  <w:style w:type="paragraph" w:customStyle="1" w:styleId="59">
    <w:name w:val="表格标注（安华金和）"/>
    <w:basedOn w:val="49"/>
    <w:next w:val="1"/>
    <w:autoRedefine/>
    <w:qFormat/>
    <w:uiPriority w:val="0"/>
    <w:pPr>
      <w:numPr>
        <w:ilvl w:val="7"/>
      </w:numPr>
    </w:pPr>
  </w:style>
  <w:style w:type="paragraph" w:customStyle="1" w:styleId="60">
    <w:name w:val="标题 5（有编号）（安华金和）"/>
    <w:basedOn w:val="1"/>
    <w:next w:val="1"/>
    <w:autoRedefine/>
    <w:qFormat/>
    <w:uiPriority w:val="0"/>
    <w:pPr>
      <w:keepNext/>
      <w:keepLines/>
      <w:numPr>
        <w:ilvl w:val="4"/>
        <w:numId w:val="2"/>
      </w:numPr>
      <w:spacing w:before="280" w:after="156" w:line="377" w:lineRule="auto"/>
      <w:ind w:left="0"/>
      <w:jc w:val="left"/>
      <w:outlineLvl w:val="4"/>
    </w:pPr>
    <w:rPr>
      <w:rFonts w:ascii="Arial" w:hAnsi="Arial" w:eastAsia="黑体"/>
      <w:b/>
      <w:kern w:val="0"/>
      <w:sz w:val="24"/>
      <w:szCs w:val="28"/>
    </w:rPr>
  </w:style>
  <w:style w:type="paragraph" w:customStyle="1" w:styleId="61">
    <w:name w:val="List Paragraph11"/>
    <w:basedOn w:val="1"/>
    <w:next w:val="1"/>
    <w:autoRedefine/>
    <w:qFormat/>
    <w:uiPriority w:val="34"/>
    <w:pPr>
      <w:spacing w:line="360" w:lineRule="auto"/>
      <w:ind w:firstLine="420" w:firstLineChars="200"/>
    </w:pPr>
    <w:rPr>
      <w:rFonts w:ascii="Verdana" w:hAnsi="Verdana"/>
      <w:color w:val="000000"/>
      <w:sz w:val="20"/>
      <w:szCs w:val="20"/>
    </w:rPr>
  </w:style>
  <w:style w:type="character" w:customStyle="1" w:styleId="62">
    <w:name w:val="批注文字 字符"/>
    <w:autoRedefine/>
    <w:qFormat/>
    <w:uiPriority w:val="99"/>
    <w:rPr>
      <w:kern w:val="2"/>
      <w:sz w:val="21"/>
      <w:szCs w:val="24"/>
    </w:rPr>
  </w:style>
  <w:style w:type="character" w:customStyle="1" w:styleId="63">
    <w:name w:val="副标题 Char"/>
    <w:link w:val="17"/>
    <w:autoRedefine/>
    <w:qFormat/>
    <w:uiPriority w:val="0"/>
    <w:rPr>
      <w:rFonts w:ascii="Cambria" w:hAnsi="Cambria"/>
      <w:b/>
      <w:bCs/>
      <w:kern w:val="28"/>
      <w:sz w:val="32"/>
      <w:szCs w:val="32"/>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884</Words>
  <Characters>994</Characters>
  <Lines>14</Lines>
  <Paragraphs>4</Paragraphs>
  <TotalTime>22</TotalTime>
  <ScaleCrop>false</ScaleCrop>
  <LinksUpToDate>false</LinksUpToDate>
  <CharactersWithSpaces>994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2026-01-14T00:58:00Z</dcterms:created>
  <dc:creator>陈永辉</dc:creator>
  <cp:lastModifiedBy>水墨丹青</cp:lastModifiedBy>
  <cp:lastPrinted>2026-01-15T02:43:00Z</cp:lastPrinted>
  <dcterms:modified xsi:type="dcterms:W3CDTF">2026-09-16T08:03:52Z</dcterms:modified>
  <dc:title>1</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3C25B33CBFB14E08BC2C669BD79C687F_13</vt:lpwstr>
  </property>
  <property fmtid="{D5CDD505-2E9C-101B-9397-08002B2CF9AE}" pid="4" name="KSOTemplateDocerSaveRecord">
    <vt:lpwstr>eyJoZGlkIjoiM2ViZjA3Y2M2ZDg0ZjI5OGM3OGU1NGM5MDEyYjE0MmYiLCJ1c2VySWQiOiI5MzY5MDcxODAifQ==</vt:lpwstr>
  </property>
</Properties>
</file>