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3E3E4">
      <w:pPr>
        <w:widowControl w:val="0"/>
        <w:numPr>
          <w:ilvl w:val="0"/>
          <w:numId w:val="0"/>
        </w:numPr>
        <w:jc w:val="center"/>
        <w:rPr>
          <w:rFonts w:hint="default" w:ascii="新宋体" w:hAnsi="新宋体" w:eastAsia="新宋体" w:cs="新宋体"/>
          <w:sz w:val="32"/>
          <w:szCs w:val="40"/>
          <w:lang w:val="en-US" w:eastAsia="zh-CN"/>
        </w:rPr>
      </w:pPr>
      <w:r>
        <w:rPr>
          <w:rFonts w:hint="eastAsia" w:ascii="新宋体" w:hAnsi="新宋体" w:eastAsia="新宋体" w:cs="新宋体"/>
          <w:sz w:val="32"/>
          <w:szCs w:val="40"/>
          <w:lang w:val="en-US" w:eastAsia="zh-CN"/>
        </w:rPr>
        <w:t>广东省人民医院VPN设备升级替换项目需求</w:t>
      </w:r>
    </w:p>
    <w:p w14:paraId="7A184D13">
      <w:pPr>
        <w:widowControl w:val="0"/>
        <w:numPr>
          <w:ilvl w:val="0"/>
          <w:numId w:val="0"/>
        </w:numPr>
        <w:jc w:val="both"/>
      </w:pPr>
    </w:p>
    <w:p w14:paraId="29BFA376">
      <w:pPr>
        <w:ind w:firstLine="560" w:firstLineChars="200"/>
        <w:rPr>
          <w:rFonts w:hint="eastAsia" w:ascii="新宋体" w:hAnsi="新宋体" w:eastAsia="新宋体" w:cs="新宋体"/>
          <w:sz w:val="28"/>
          <w:szCs w:val="28"/>
        </w:rPr>
      </w:pPr>
      <w:r>
        <w:rPr>
          <w:rFonts w:hint="eastAsia" w:ascii="新宋体" w:hAnsi="新宋体" w:eastAsia="新宋体" w:cs="新宋体"/>
          <w:sz w:val="28"/>
          <w:szCs w:val="28"/>
          <w:lang w:val="en-US" w:eastAsia="zh-CN"/>
        </w:rPr>
        <w:t>拟采购一台零信任安全网关替换现有VPN设备，规避VPN端口暴露，为用户提供更灵活便捷的身份安全认证，实现接入终端动态安全检查、访问权限动态回收、访问审计溯源等功能，进一步保障医院业务系统安全。</w:t>
      </w:r>
      <w:r>
        <w:rPr>
          <w:rFonts w:hint="eastAsia" w:ascii="新宋体" w:hAnsi="新宋体" w:eastAsia="新宋体" w:cs="新宋体"/>
          <w:sz w:val="28"/>
          <w:szCs w:val="28"/>
        </w:rPr>
        <w:t>。</w:t>
      </w:r>
    </w:p>
    <w:p w14:paraId="31E3C985">
      <w:pPr>
        <w:rPr>
          <w:sz w:val="28"/>
          <w:szCs w:val="28"/>
        </w:rPr>
      </w:pPr>
      <w:r>
        <w:rPr>
          <w:rFonts w:hint="eastAsia"/>
          <w:sz w:val="28"/>
          <w:szCs w:val="28"/>
        </w:rPr>
        <w:t>一、项目名称</w:t>
      </w:r>
    </w:p>
    <w:p w14:paraId="292E0684">
      <w:pPr>
        <w:ind w:firstLine="560" w:firstLineChars="200"/>
        <w:rPr>
          <w:rFonts w:hint="default"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项目名称：VPN设备升级替换项目</w:t>
      </w:r>
    </w:p>
    <w:p w14:paraId="29C89BDB">
      <w:pPr>
        <w:rPr>
          <w:rFonts w:hint="eastAsia"/>
          <w:sz w:val="28"/>
          <w:szCs w:val="28"/>
        </w:rPr>
      </w:pPr>
      <w:r>
        <w:rPr>
          <w:rFonts w:hint="eastAsia"/>
          <w:sz w:val="28"/>
          <w:szCs w:val="28"/>
        </w:rPr>
        <w:t>二、采购清单</w:t>
      </w:r>
    </w:p>
    <w:p w14:paraId="54C54B01">
      <w:pPr>
        <w:ind w:firstLine="560" w:firstLineChars="200"/>
        <w:rPr>
          <w:rFonts w:hint="eastAsia" w:ascii="新宋体" w:hAnsi="新宋体" w:eastAsia="新宋体" w:cs="新宋体"/>
          <w:sz w:val="28"/>
        </w:rPr>
      </w:pPr>
      <w:r>
        <w:rPr>
          <w:rFonts w:hint="eastAsia" w:ascii="新宋体" w:hAnsi="新宋体" w:eastAsia="新宋体" w:cs="新宋体"/>
          <w:sz w:val="28"/>
        </w:rPr>
        <w:t>设备采购数量</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2"/>
        <w:gridCol w:w="3657"/>
        <w:gridCol w:w="2203"/>
      </w:tblGrid>
      <w:tr w14:paraId="5D692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1302" w:type="dxa"/>
            <w:noWrap w:val="0"/>
            <w:vAlign w:val="center"/>
          </w:tcPr>
          <w:p w14:paraId="1A132256">
            <w:pPr>
              <w:jc w:val="center"/>
              <w:rPr>
                <w:rFonts w:hint="eastAsia" w:ascii="新宋体" w:hAnsi="新宋体" w:eastAsia="新宋体" w:cs="新宋体"/>
                <w:sz w:val="28"/>
                <w:szCs w:val="28"/>
              </w:rPr>
            </w:pPr>
            <w:r>
              <w:rPr>
                <w:rFonts w:hint="eastAsia" w:ascii="新宋体" w:hAnsi="新宋体" w:eastAsia="新宋体" w:cs="新宋体"/>
                <w:sz w:val="28"/>
                <w:szCs w:val="28"/>
              </w:rPr>
              <w:t>序号</w:t>
            </w:r>
          </w:p>
        </w:tc>
        <w:tc>
          <w:tcPr>
            <w:tcW w:w="3657" w:type="dxa"/>
            <w:noWrap w:val="0"/>
            <w:vAlign w:val="center"/>
          </w:tcPr>
          <w:p w14:paraId="584CBC27">
            <w:pPr>
              <w:jc w:val="center"/>
              <w:rPr>
                <w:rFonts w:hint="eastAsia" w:ascii="新宋体" w:hAnsi="新宋体" w:eastAsia="新宋体" w:cs="新宋体"/>
                <w:sz w:val="28"/>
                <w:szCs w:val="28"/>
              </w:rPr>
            </w:pPr>
            <w:r>
              <w:rPr>
                <w:rFonts w:hint="eastAsia" w:ascii="新宋体" w:hAnsi="新宋体" w:eastAsia="新宋体" w:cs="新宋体"/>
                <w:sz w:val="28"/>
                <w:szCs w:val="28"/>
              </w:rPr>
              <w:t>采购产品</w:t>
            </w:r>
          </w:p>
        </w:tc>
        <w:tc>
          <w:tcPr>
            <w:tcW w:w="2203" w:type="dxa"/>
            <w:noWrap w:val="0"/>
            <w:vAlign w:val="center"/>
          </w:tcPr>
          <w:p w14:paraId="07C422D7">
            <w:pPr>
              <w:jc w:val="center"/>
              <w:rPr>
                <w:rFonts w:hint="eastAsia" w:ascii="新宋体" w:hAnsi="新宋体" w:eastAsia="新宋体" w:cs="新宋体"/>
                <w:sz w:val="28"/>
                <w:szCs w:val="28"/>
              </w:rPr>
            </w:pPr>
            <w:r>
              <w:rPr>
                <w:rFonts w:hint="eastAsia" w:ascii="新宋体" w:hAnsi="新宋体" w:eastAsia="新宋体" w:cs="新宋体"/>
                <w:sz w:val="28"/>
                <w:szCs w:val="28"/>
              </w:rPr>
              <w:t>数量</w:t>
            </w:r>
          </w:p>
        </w:tc>
      </w:tr>
      <w:tr w14:paraId="3CED4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1302" w:type="dxa"/>
            <w:noWrap w:val="0"/>
            <w:vAlign w:val="center"/>
          </w:tcPr>
          <w:p w14:paraId="41D52281">
            <w:pPr>
              <w:jc w:val="center"/>
              <w:rPr>
                <w:rFonts w:hint="eastAsia" w:ascii="新宋体" w:hAnsi="新宋体" w:eastAsia="新宋体" w:cs="新宋体"/>
                <w:sz w:val="28"/>
                <w:szCs w:val="28"/>
              </w:rPr>
            </w:pPr>
            <w:r>
              <w:rPr>
                <w:rFonts w:hint="eastAsia" w:ascii="新宋体" w:hAnsi="新宋体" w:eastAsia="新宋体" w:cs="新宋体"/>
                <w:sz w:val="28"/>
                <w:szCs w:val="28"/>
              </w:rPr>
              <w:t>1</w:t>
            </w:r>
          </w:p>
        </w:tc>
        <w:tc>
          <w:tcPr>
            <w:tcW w:w="3657" w:type="dxa"/>
            <w:noWrap w:val="0"/>
            <w:vAlign w:val="center"/>
          </w:tcPr>
          <w:p w14:paraId="58BEF32B">
            <w:pPr>
              <w:jc w:val="center"/>
              <w:rPr>
                <w:rFonts w:hint="default" w:ascii="新宋体" w:hAnsi="新宋体" w:eastAsia="新宋体" w:cs="新宋体"/>
                <w:sz w:val="28"/>
                <w:szCs w:val="28"/>
                <w:lang w:val="en-US" w:eastAsia="zh-CN"/>
              </w:rPr>
            </w:pPr>
            <w:r>
              <w:rPr>
                <w:rFonts w:hint="eastAsia" w:ascii="宋体" w:hAnsi="宋体" w:eastAsia="宋体"/>
                <w:sz w:val="28"/>
                <w:szCs w:val="18"/>
              </w:rPr>
              <w:t>零信任控制中心</w:t>
            </w:r>
          </w:p>
        </w:tc>
        <w:tc>
          <w:tcPr>
            <w:tcW w:w="2203" w:type="dxa"/>
            <w:noWrap w:val="0"/>
            <w:vAlign w:val="center"/>
          </w:tcPr>
          <w:p w14:paraId="619DA710">
            <w:pPr>
              <w:jc w:val="center"/>
              <w:rPr>
                <w:rFonts w:hint="default"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1</w:t>
            </w:r>
          </w:p>
        </w:tc>
      </w:tr>
      <w:tr w14:paraId="5E2B3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1302" w:type="dxa"/>
            <w:noWrap w:val="0"/>
            <w:vAlign w:val="center"/>
          </w:tcPr>
          <w:p w14:paraId="79AC5DD5">
            <w:pPr>
              <w:jc w:val="center"/>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2</w:t>
            </w:r>
          </w:p>
        </w:tc>
        <w:tc>
          <w:tcPr>
            <w:tcW w:w="3657" w:type="dxa"/>
            <w:noWrap w:val="0"/>
            <w:vAlign w:val="center"/>
          </w:tcPr>
          <w:p w14:paraId="061F6DF3">
            <w:pPr>
              <w:jc w:val="center"/>
              <w:rPr>
                <w:rFonts w:hint="eastAsia" w:ascii="新宋体" w:hAnsi="新宋体" w:eastAsia="新宋体" w:cs="新宋体"/>
                <w:sz w:val="28"/>
                <w:szCs w:val="28"/>
                <w:lang w:val="en-US" w:eastAsia="zh-CN"/>
              </w:rPr>
            </w:pPr>
            <w:r>
              <w:rPr>
                <w:rFonts w:hint="eastAsia" w:ascii="宋体" w:hAnsi="宋体" w:eastAsia="宋体"/>
                <w:sz w:val="28"/>
                <w:szCs w:val="18"/>
              </w:rPr>
              <w:t>零信任代理网关</w:t>
            </w:r>
          </w:p>
        </w:tc>
        <w:tc>
          <w:tcPr>
            <w:tcW w:w="2203" w:type="dxa"/>
            <w:noWrap w:val="0"/>
            <w:vAlign w:val="center"/>
          </w:tcPr>
          <w:p w14:paraId="3A2ECDC6">
            <w:pPr>
              <w:jc w:val="center"/>
              <w:rPr>
                <w:rFonts w:hint="default"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1</w:t>
            </w:r>
          </w:p>
        </w:tc>
      </w:tr>
    </w:tbl>
    <w:p w14:paraId="0DF11116">
      <w:pPr>
        <w:pStyle w:val="18"/>
        <w:keepNext/>
        <w:keepLines/>
        <w:numPr>
          <w:ilvl w:val="0"/>
          <w:numId w:val="1"/>
        </w:numPr>
        <w:spacing w:before="340" w:after="330" w:line="578" w:lineRule="auto"/>
        <w:ind w:firstLineChars="0"/>
        <w:outlineLvl w:val="0"/>
        <w:rPr>
          <w:rFonts w:hint="eastAsia" w:ascii="宋体" w:hAnsi="宋体" w:eastAsia="宋体"/>
          <w:b/>
          <w:bCs/>
          <w:vanish/>
          <w:kern w:val="44"/>
          <w:sz w:val="44"/>
          <w:szCs w:val="44"/>
        </w:rPr>
      </w:pPr>
    </w:p>
    <w:p w14:paraId="531D1B4D">
      <w:pPr>
        <w:pStyle w:val="18"/>
        <w:keepNext/>
        <w:keepLines/>
        <w:numPr>
          <w:ilvl w:val="0"/>
          <w:numId w:val="1"/>
        </w:numPr>
        <w:spacing w:before="340" w:after="330" w:line="578" w:lineRule="auto"/>
        <w:ind w:firstLineChars="0"/>
        <w:outlineLvl w:val="0"/>
        <w:rPr>
          <w:rFonts w:hint="eastAsia" w:ascii="宋体" w:hAnsi="宋体" w:eastAsia="宋体"/>
          <w:b/>
          <w:bCs/>
          <w:vanish/>
          <w:kern w:val="44"/>
          <w:sz w:val="44"/>
          <w:szCs w:val="44"/>
        </w:rPr>
      </w:pPr>
    </w:p>
    <w:p w14:paraId="38EEC217">
      <w:pPr>
        <w:pStyle w:val="18"/>
        <w:keepNext/>
        <w:keepLines/>
        <w:numPr>
          <w:ilvl w:val="0"/>
          <w:numId w:val="1"/>
        </w:numPr>
        <w:spacing w:before="340" w:after="330" w:line="578" w:lineRule="auto"/>
        <w:ind w:firstLineChars="0"/>
        <w:outlineLvl w:val="0"/>
        <w:rPr>
          <w:rFonts w:hint="eastAsia" w:ascii="宋体" w:hAnsi="宋体" w:eastAsia="宋体"/>
          <w:b/>
          <w:bCs/>
          <w:vanish/>
          <w:kern w:val="44"/>
          <w:sz w:val="44"/>
          <w:szCs w:val="44"/>
        </w:rPr>
      </w:pPr>
    </w:p>
    <w:p w14:paraId="37DDCDBD">
      <w:pPr>
        <w:pStyle w:val="18"/>
        <w:keepNext/>
        <w:keepLines/>
        <w:numPr>
          <w:ilvl w:val="1"/>
          <w:numId w:val="1"/>
        </w:numPr>
        <w:spacing w:before="340" w:after="330" w:line="578" w:lineRule="auto"/>
        <w:ind w:firstLineChars="0"/>
        <w:outlineLvl w:val="0"/>
        <w:rPr>
          <w:rFonts w:hint="eastAsia" w:ascii="宋体" w:hAnsi="宋体" w:eastAsia="宋体"/>
          <w:b/>
          <w:bCs/>
          <w:vanish/>
          <w:kern w:val="44"/>
          <w:sz w:val="44"/>
          <w:szCs w:val="44"/>
        </w:rPr>
      </w:pPr>
    </w:p>
    <w:p w14:paraId="46424A1A"/>
    <w:p w14:paraId="6A96D960">
      <w:pPr>
        <w:numPr>
          <w:ilvl w:val="0"/>
          <w:numId w:val="2"/>
        </w:numPr>
        <w:rPr>
          <w:rFonts w:hint="eastAsia"/>
          <w:sz w:val="28"/>
          <w:szCs w:val="28"/>
        </w:rPr>
      </w:pPr>
      <w:r>
        <w:rPr>
          <w:rFonts w:hint="eastAsia"/>
          <w:sz w:val="28"/>
          <w:szCs w:val="28"/>
        </w:rPr>
        <w:t>采购需求</w:t>
      </w:r>
    </w:p>
    <w:p w14:paraId="6D970C80">
      <w:pPr>
        <w:pStyle w:val="2"/>
        <w:numPr>
          <w:ilvl w:val="0"/>
          <w:numId w:val="0"/>
        </w:numPr>
        <w:spacing w:before="20" w:after="20" w:line="360" w:lineRule="auto"/>
        <w:ind w:left="425" w:hanging="425"/>
        <w:rPr>
          <w:rFonts w:ascii="宋体" w:hAnsi="宋体" w:eastAsia="宋体"/>
          <w:sz w:val="28"/>
          <w:szCs w:val="18"/>
        </w:rPr>
      </w:pPr>
      <w:r>
        <w:rPr>
          <w:rFonts w:hint="eastAsia" w:ascii="宋体" w:hAnsi="宋体" w:eastAsia="宋体"/>
          <w:sz w:val="28"/>
          <w:szCs w:val="18"/>
        </w:rPr>
        <w:t>1、零信任控制中心</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1695"/>
        <w:gridCol w:w="6199"/>
      </w:tblGrid>
      <w:tr w14:paraId="562B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57D0485E">
            <w:pPr>
              <w:jc w:val="center"/>
              <w:rPr>
                <w:rFonts w:ascii="宋体" w:hAnsi="宋体" w:eastAsia="宋体" w:cs="仿宋"/>
                <w:b/>
                <w:bCs/>
                <w:szCs w:val="21"/>
              </w:rPr>
            </w:pPr>
            <w:r>
              <w:rPr>
                <w:rFonts w:hint="eastAsia" w:ascii="宋体" w:hAnsi="宋体" w:eastAsia="宋体" w:cs="仿宋"/>
                <w:b/>
                <w:bCs/>
                <w:szCs w:val="21"/>
              </w:rPr>
              <w:t>序号</w:t>
            </w:r>
          </w:p>
        </w:tc>
        <w:tc>
          <w:tcPr>
            <w:tcW w:w="995" w:type="pct"/>
            <w:tcBorders>
              <w:top w:val="single" w:color="auto" w:sz="4" w:space="0"/>
              <w:left w:val="single" w:color="auto" w:sz="4" w:space="0"/>
              <w:bottom w:val="single" w:color="auto" w:sz="4" w:space="0"/>
              <w:right w:val="single" w:color="auto" w:sz="4" w:space="0"/>
            </w:tcBorders>
            <w:vAlign w:val="center"/>
          </w:tcPr>
          <w:p w14:paraId="6E9F29E2">
            <w:pPr>
              <w:jc w:val="center"/>
              <w:rPr>
                <w:rFonts w:ascii="宋体" w:hAnsi="宋体" w:eastAsia="宋体" w:cs="仿宋"/>
                <w:b/>
                <w:bCs/>
                <w:szCs w:val="21"/>
              </w:rPr>
            </w:pPr>
            <w:r>
              <w:rPr>
                <w:rFonts w:hint="eastAsia" w:ascii="宋体" w:hAnsi="宋体" w:eastAsia="宋体" w:cs="仿宋"/>
                <w:b/>
                <w:bCs/>
                <w:szCs w:val="21"/>
              </w:rPr>
              <w:t>指标项</w:t>
            </w:r>
          </w:p>
        </w:tc>
        <w:tc>
          <w:tcPr>
            <w:tcW w:w="3638" w:type="pct"/>
            <w:tcBorders>
              <w:top w:val="single" w:color="auto" w:sz="4" w:space="0"/>
              <w:left w:val="single" w:color="auto" w:sz="4" w:space="0"/>
              <w:bottom w:val="single" w:color="auto" w:sz="4" w:space="0"/>
              <w:right w:val="single" w:color="auto" w:sz="4" w:space="0"/>
            </w:tcBorders>
            <w:vAlign w:val="center"/>
          </w:tcPr>
          <w:p w14:paraId="6760C69C">
            <w:pPr>
              <w:jc w:val="center"/>
              <w:rPr>
                <w:rFonts w:ascii="宋体" w:hAnsi="宋体" w:eastAsia="宋体" w:cs="仿宋"/>
                <w:b/>
                <w:bCs/>
                <w:szCs w:val="21"/>
              </w:rPr>
            </w:pPr>
            <w:r>
              <w:rPr>
                <w:rFonts w:hint="eastAsia" w:ascii="宋体" w:hAnsi="宋体" w:eastAsia="宋体" w:cs="仿宋"/>
                <w:b/>
                <w:bCs/>
                <w:szCs w:val="21"/>
              </w:rPr>
              <w:t>指标要求</w:t>
            </w:r>
          </w:p>
        </w:tc>
      </w:tr>
      <w:tr w14:paraId="17BA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0446BBF1">
            <w:pPr>
              <w:jc w:val="center"/>
              <w:rPr>
                <w:rFonts w:ascii="宋体" w:hAnsi="宋体" w:eastAsia="宋体" w:cs="仿宋"/>
                <w:szCs w:val="21"/>
              </w:rPr>
            </w:pPr>
            <w:r>
              <w:rPr>
                <w:rFonts w:hint="eastAsia" w:ascii="宋体" w:hAnsi="宋体" w:eastAsia="宋体" w:cs="仿宋"/>
                <w:szCs w:val="21"/>
              </w:rPr>
              <w:t>1</w:t>
            </w:r>
          </w:p>
        </w:tc>
        <w:tc>
          <w:tcPr>
            <w:tcW w:w="995" w:type="pct"/>
            <w:tcBorders>
              <w:top w:val="single" w:color="auto" w:sz="4" w:space="0"/>
              <w:left w:val="single" w:color="auto" w:sz="4" w:space="0"/>
              <w:bottom w:val="single" w:color="auto" w:sz="4" w:space="0"/>
              <w:right w:val="single" w:color="auto" w:sz="4" w:space="0"/>
            </w:tcBorders>
            <w:vAlign w:val="center"/>
          </w:tcPr>
          <w:p w14:paraId="7C6C543B">
            <w:pPr>
              <w:jc w:val="center"/>
              <w:rPr>
                <w:rFonts w:ascii="宋体" w:hAnsi="宋体" w:eastAsia="宋体" w:cs="仿宋"/>
                <w:szCs w:val="21"/>
              </w:rPr>
            </w:pPr>
            <w:r>
              <w:rPr>
                <w:rFonts w:hint="eastAsia" w:ascii="宋体" w:hAnsi="宋体" w:eastAsia="宋体" w:cs="仿宋"/>
                <w:szCs w:val="21"/>
              </w:rPr>
              <w:t>硬件要求</w:t>
            </w:r>
          </w:p>
        </w:tc>
        <w:tc>
          <w:tcPr>
            <w:tcW w:w="3638" w:type="pct"/>
            <w:tcBorders>
              <w:top w:val="single" w:color="auto" w:sz="4" w:space="0"/>
              <w:left w:val="single" w:color="auto" w:sz="4" w:space="0"/>
              <w:bottom w:val="single" w:color="auto" w:sz="4" w:space="0"/>
              <w:right w:val="single" w:color="auto" w:sz="4" w:space="0"/>
            </w:tcBorders>
            <w:vAlign w:val="center"/>
          </w:tcPr>
          <w:p w14:paraId="44036195">
            <w:pPr>
              <w:rPr>
                <w:rFonts w:ascii="宋体" w:hAnsi="宋体" w:eastAsia="宋体" w:cs="仿宋"/>
                <w:szCs w:val="21"/>
              </w:rPr>
            </w:pPr>
            <w:r>
              <w:rPr>
                <w:rFonts w:hint="eastAsia" w:ascii="宋体" w:hAnsi="宋体" w:eastAsia="宋体" w:cs="仿宋"/>
                <w:szCs w:val="21"/>
              </w:rPr>
              <w:t>提供不少于6个1000M以太网电口、4个千兆光口和2个万兆光口，内存≥16G，硬盘容量≥480</w:t>
            </w:r>
            <w:r>
              <w:rPr>
                <w:rFonts w:ascii="宋体" w:hAnsi="宋体" w:eastAsia="宋体" w:cs="仿宋"/>
                <w:szCs w:val="21"/>
              </w:rPr>
              <w:t>G</w:t>
            </w:r>
            <w:r>
              <w:rPr>
                <w:rFonts w:hint="eastAsia" w:ascii="宋体" w:hAnsi="宋体" w:eastAsia="宋体" w:cs="仿宋"/>
                <w:szCs w:val="21"/>
              </w:rPr>
              <w:t xml:space="preserve"> SSD ，配置国产处理器。要求设备内置符合中国商用密码标准的加密卡，支持国家密码管理局颁布的SM1、SM2、SM3、SM4密码算法及其协议，符合国家商用密码标准。</w:t>
            </w:r>
          </w:p>
        </w:tc>
      </w:tr>
      <w:tr w14:paraId="3C6D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5617F9D1">
            <w:pPr>
              <w:jc w:val="center"/>
              <w:rPr>
                <w:rFonts w:ascii="宋体" w:hAnsi="宋体" w:eastAsia="宋体" w:cs="仿宋"/>
                <w:szCs w:val="21"/>
              </w:rPr>
            </w:pPr>
            <w:r>
              <w:rPr>
                <w:rFonts w:hint="eastAsia" w:ascii="宋体" w:hAnsi="宋体" w:eastAsia="宋体" w:cs="仿宋"/>
                <w:szCs w:val="21"/>
              </w:rPr>
              <w:t>2</w:t>
            </w:r>
          </w:p>
        </w:tc>
        <w:tc>
          <w:tcPr>
            <w:tcW w:w="995" w:type="pct"/>
            <w:tcBorders>
              <w:top w:val="single" w:color="auto" w:sz="4" w:space="0"/>
              <w:left w:val="single" w:color="auto" w:sz="4" w:space="0"/>
              <w:bottom w:val="single" w:color="auto" w:sz="4" w:space="0"/>
              <w:right w:val="single" w:color="auto" w:sz="4" w:space="0"/>
            </w:tcBorders>
            <w:vAlign w:val="center"/>
          </w:tcPr>
          <w:p w14:paraId="02FDAFE1">
            <w:pPr>
              <w:jc w:val="center"/>
              <w:rPr>
                <w:rFonts w:ascii="宋体" w:hAnsi="宋体" w:eastAsia="宋体" w:cs="仿宋"/>
                <w:szCs w:val="21"/>
              </w:rPr>
            </w:pPr>
            <w:r>
              <w:rPr>
                <w:rFonts w:hint="eastAsia" w:ascii="宋体" w:hAnsi="宋体" w:eastAsia="宋体" w:cs="仿宋"/>
                <w:szCs w:val="21"/>
              </w:rPr>
              <w:t>性能要求</w:t>
            </w:r>
          </w:p>
        </w:tc>
        <w:tc>
          <w:tcPr>
            <w:tcW w:w="3638" w:type="pct"/>
            <w:tcBorders>
              <w:top w:val="single" w:color="auto" w:sz="4" w:space="0"/>
              <w:left w:val="single" w:color="auto" w:sz="4" w:space="0"/>
              <w:bottom w:val="single" w:color="auto" w:sz="4" w:space="0"/>
              <w:right w:val="single" w:color="auto" w:sz="4" w:space="0"/>
            </w:tcBorders>
            <w:vAlign w:val="center"/>
          </w:tcPr>
          <w:p w14:paraId="5AA94568">
            <w:pPr>
              <w:rPr>
                <w:rFonts w:ascii="宋体" w:hAnsi="宋体" w:eastAsia="宋体" w:cs="仿宋"/>
                <w:szCs w:val="21"/>
              </w:rPr>
            </w:pPr>
            <w:r>
              <w:rPr>
                <w:rFonts w:hint="eastAsia" w:ascii="宋体" w:hAnsi="宋体" w:eastAsia="宋体" w:cs="仿宋"/>
                <w:szCs w:val="21"/>
              </w:rPr>
              <w:t>最大并发用户数≥60</w:t>
            </w:r>
            <w:r>
              <w:rPr>
                <w:rFonts w:ascii="宋体" w:hAnsi="宋体" w:eastAsia="宋体" w:cs="仿宋"/>
                <w:szCs w:val="21"/>
              </w:rPr>
              <w:t>00</w:t>
            </w:r>
            <w:r>
              <w:rPr>
                <w:rFonts w:hint="eastAsia" w:ascii="宋体" w:hAnsi="宋体" w:eastAsia="宋体" w:cs="仿宋"/>
                <w:szCs w:val="21"/>
              </w:rPr>
              <w:t>，本次提供不少于</w:t>
            </w:r>
            <w:r>
              <w:rPr>
                <w:rFonts w:hint="eastAsia" w:ascii="宋体" w:hAnsi="宋体" w:eastAsia="宋体" w:cs="仿宋"/>
                <w:color w:val="000000" w:themeColor="text1"/>
                <w:szCs w:val="21"/>
                <w14:textFill>
                  <w14:solidFill>
                    <w14:schemeClr w14:val="tx1"/>
                  </w14:solidFill>
                </w14:textFill>
              </w:rPr>
              <w:t>400</w:t>
            </w:r>
            <w:r>
              <w:rPr>
                <w:rFonts w:hint="eastAsia" w:ascii="宋体" w:hAnsi="宋体" w:eastAsia="宋体" w:cs="仿宋"/>
                <w:szCs w:val="21"/>
              </w:rPr>
              <w:t>并发授权。</w:t>
            </w:r>
          </w:p>
        </w:tc>
      </w:tr>
      <w:tr w14:paraId="3730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413AAABA">
            <w:pPr>
              <w:jc w:val="center"/>
              <w:rPr>
                <w:rFonts w:ascii="宋体" w:hAnsi="宋体" w:eastAsia="宋体" w:cs="仿宋"/>
                <w:szCs w:val="21"/>
              </w:rPr>
            </w:pPr>
            <w:r>
              <w:rPr>
                <w:rFonts w:hint="eastAsia" w:ascii="宋体" w:hAnsi="宋体" w:eastAsia="宋体" w:cs="仿宋"/>
                <w:szCs w:val="21"/>
              </w:rPr>
              <w:t>3</w:t>
            </w:r>
          </w:p>
        </w:tc>
        <w:tc>
          <w:tcPr>
            <w:tcW w:w="995" w:type="pct"/>
            <w:tcBorders>
              <w:top w:val="single" w:color="auto" w:sz="4" w:space="0"/>
              <w:left w:val="single" w:color="auto" w:sz="4" w:space="0"/>
              <w:bottom w:val="single" w:color="auto" w:sz="4" w:space="0"/>
              <w:right w:val="single" w:color="auto" w:sz="4" w:space="0"/>
            </w:tcBorders>
            <w:vAlign w:val="center"/>
          </w:tcPr>
          <w:p w14:paraId="27B06D40">
            <w:pPr>
              <w:jc w:val="center"/>
              <w:rPr>
                <w:rFonts w:ascii="宋体" w:hAnsi="宋体" w:eastAsia="宋体" w:cs="仿宋"/>
                <w:szCs w:val="21"/>
              </w:rPr>
            </w:pPr>
            <w:r>
              <w:rPr>
                <w:rFonts w:hint="eastAsia" w:ascii="宋体" w:hAnsi="宋体" w:eastAsia="宋体" w:cs="仿宋"/>
                <w:szCs w:val="21"/>
              </w:rPr>
              <w:t>灵活部署</w:t>
            </w:r>
          </w:p>
        </w:tc>
        <w:tc>
          <w:tcPr>
            <w:tcW w:w="3638" w:type="pct"/>
            <w:tcBorders>
              <w:top w:val="single" w:color="auto" w:sz="4" w:space="0"/>
              <w:left w:val="single" w:color="auto" w:sz="4" w:space="0"/>
              <w:bottom w:val="single" w:color="auto" w:sz="4" w:space="0"/>
              <w:right w:val="single" w:color="auto" w:sz="4" w:space="0"/>
            </w:tcBorders>
            <w:vAlign w:val="center"/>
          </w:tcPr>
          <w:p w14:paraId="1D0907B3">
            <w:pPr>
              <w:rPr>
                <w:rFonts w:ascii="宋体" w:hAnsi="宋体" w:eastAsia="宋体" w:cs="仿宋"/>
                <w:szCs w:val="21"/>
              </w:rPr>
            </w:pPr>
            <w:r>
              <w:rPr>
                <w:rFonts w:hint="eastAsia" w:ascii="宋体" w:hAnsi="宋体" w:eastAsia="宋体" w:cs="仿宋"/>
                <w:szCs w:val="21"/>
              </w:rPr>
              <w:t>为了满足灵活部署的要求，产品应支持IPV4/IPV6双栈网络IP配置，可自主选择配置LAN口或WAN口。支持默认限制所有IP通过WAN口访问系统，支持通过配置IP白名单的方式来放通WAN口接入的特殊需求。</w:t>
            </w:r>
          </w:p>
        </w:tc>
      </w:tr>
      <w:tr w14:paraId="76A6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40226F35">
            <w:pPr>
              <w:jc w:val="center"/>
              <w:rPr>
                <w:rFonts w:ascii="宋体" w:hAnsi="宋体" w:eastAsia="宋体" w:cs="仿宋"/>
                <w:szCs w:val="21"/>
              </w:rPr>
            </w:pPr>
            <w:r>
              <w:rPr>
                <w:rFonts w:hint="eastAsia" w:ascii="宋体" w:hAnsi="宋体" w:eastAsia="宋体" w:cs="仿宋"/>
                <w:szCs w:val="21"/>
              </w:rPr>
              <w:t>4</w:t>
            </w:r>
          </w:p>
        </w:tc>
        <w:tc>
          <w:tcPr>
            <w:tcW w:w="995" w:type="pct"/>
            <w:tcBorders>
              <w:top w:val="single" w:color="auto" w:sz="4" w:space="0"/>
              <w:left w:val="single" w:color="auto" w:sz="4" w:space="0"/>
              <w:bottom w:val="single" w:color="auto" w:sz="4" w:space="0"/>
              <w:right w:val="single" w:color="auto" w:sz="4" w:space="0"/>
            </w:tcBorders>
            <w:vAlign w:val="center"/>
          </w:tcPr>
          <w:p w14:paraId="2C3B1D9B">
            <w:pPr>
              <w:jc w:val="center"/>
              <w:rPr>
                <w:rFonts w:ascii="宋体" w:hAnsi="宋体" w:eastAsia="宋体" w:cs="仿宋"/>
                <w:szCs w:val="21"/>
              </w:rPr>
            </w:pPr>
            <w:r>
              <w:rPr>
                <w:rFonts w:hint="eastAsia" w:ascii="宋体" w:hAnsi="宋体" w:eastAsia="宋体" w:cs="仿宋"/>
                <w:szCs w:val="21"/>
              </w:rPr>
              <w:t>隧道资源发布</w:t>
            </w:r>
          </w:p>
        </w:tc>
        <w:tc>
          <w:tcPr>
            <w:tcW w:w="3638" w:type="pct"/>
            <w:tcBorders>
              <w:top w:val="single" w:color="auto" w:sz="4" w:space="0"/>
              <w:left w:val="single" w:color="auto" w:sz="4" w:space="0"/>
              <w:bottom w:val="single" w:color="auto" w:sz="4" w:space="0"/>
              <w:right w:val="single" w:color="auto" w:sz="4" w:space="0"/>
            </w:tcBorders>
            <w:vAlign w:val="center"/>
          </w:tcPr>
          <w:p w14:paraId="31C16336">
            <w:pPr>
              <w:rPr>
                <w:rFonts w:ascii="宋体" w:hAnsi="宋体" w:eastAsia="宋体" w:cs="仿宋"/>
                <w:szCs w:val="21"/>
              </w:rPr>
            </w:pPr>
            <w:r>
              <w:rPr>
                <w:rFonts w:hint="eastAsia" w:ascii="宋体" w:hAnsi="宋体" w:eastAsia="宋体" w:cs="仿宋"/>
                <w:szCs w:val="21"/>
              </w:rPr>
              <w:t>支持通过隧道模式发布应用资源，可以基于TCP、UDP、ICMP等协议代理访问业务资源，支持发布IP、IP范围、IP段、具体域名及通配符域名等形式的服务器地址，满足常见办公业务的代理，收缩业务暴露面。为简化资源发布配置，隧道模式应支持同一个资源发布多个服务器地址；管理员还可基于业务的特殊性，自主选择优先使用长连接或短连接进行业务代理。</w:t>
            </w:r>
          </w:p>
        </w:tc>
      </w:tr>
      <w:tr w14:paraId="775A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1B14FBC9">
            <w:pPr>
              <w:jc w:val="center"/>
              <w:rPr>
                <w:rFonts w:ascii="宋体" w:hAnsi="宋体" w:eastAsia="宋体" w:cs="仿宋"/>
                <w:szCs w:val="21"/>
              </w:rPr>
            </w:pPr>
            <w:r>
              <w:rPr>
                <w:rFonts w:hint="eastAsia" w:ascii="宋体" w:hAnsi="宋体" w:eastAsia="宋体" w:cs="仿宋"/>
                <w:szCs w:val="21"/>
              </w:rPr>
              <w:t>5</w:t>
            </w:r>
          </w:p>
        </w:tc>
        <w:tc>
          <w:tcPr>
            <w:tcW w:w="995" w:type="pct"/>
            <w:tcBorders>
              <w:top w:val="single" w:color="auto" w:sz="4" w:space="0"/>
              <w:left w:val="single" w:color="auto" w:sz="4" w:space="0"/>
              <w:bottom w:val="single" w:color="auto" w:sz="4" w:space="0"/>
              <w:right w:val="single" w:color="auto" w:sz="4" w:space="0"/>
            </w:tcBorders>
            <w:vAlign w:val="center"/>
          </w:tcPr>
          <w:p w14:paraId="3AAF9262">
            <w:pPr>
              <w:jc w:val="center"/>
              <w:rPr>
                <w:rFonts w:ascii="宋体" w:hAnsi="宋体" w:eastAsia="宋体" w:cs="仿宋"/>
                <w:szCs w:val="21"/>
              </w:rPr>
            </w:pPr>
            <w:r>
              <w:rPr>
                <w:rFonts w:hint="eastAsia" w:ascii="宋体" w:hAnsi="宋体" w:eastAsia="宋体" w:cs="仿宋"/>
                <w:szCs w:val="21"/>
              </w:rPr>
              <w:t>Web资源发布</w:t>
            </w:r>
          </w:p>
        </w:tc>
        <w:tc>
          <w:tcPr>
            <w:tcW w:w="3638" w:type="pct"/>
            <w:tcBorders>
              <w:top w:val="single" w:color="auto" w:sz="4" w:space="0"/>
              <w:left w:val="single" w:color="auto" w:sz="4" w:space="0"/>
              <w:bottom w:val="single" w:color="auto" w:sz="4" w:space="0"/>
              <w:right w:val="single" w:color="auto" w:sz="4" w:space="0"/>
            </w:tcBorders>
            <w:vAlign w:val="center"/>
          </w:tcPr>
          <w:p w14:paraId="37ACB6C9">
            <w:pPr>
              <w:rPr>
                <w:rFonts w:ascii="宋体" w:hAnsi="宋体" w:eastAsia="宋体" w:cs="仿宋"/>
                <w:szCs w:val="21"/>
              </w:rPr>
            </w:pPr>
            <w:r>
              <w:rPr>
                <w:rFonts w:hint="eastAsia" w:ascii="宋体" w:hAnsi="宋体" w:eastAsia="宋体" w:cs="仿宋"/>
                <w:szCs w:val="21"/>
              </w:rPr>
              <w:t>支持通过WEB模式发布应用资源，可以基于http或https协议代理访问业务资源，支持发布IP或域名形式的后端服务器地址，可配置业务应用的具体访问URL路径。为了保持用户访问应用体验的一致性，后端服务器地址需支持多地址配置；为适应较复杂的内外网访问场景，WEB应用的前端访问地址应支持多地址访问。存在前置代理设备的场景，还应支持从XFF字段获取源IP。</w:t>
            </w:r>
          </w:p>
        </w:tc>
      </w:tr>
      <w:tr w14:paraId="37FC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4D677F94">
            <w:pPr>
              <w:jc w:val="center"/>
              <w:rPr>
                <w:rFonts w:ascii="宋体" w:hAnsi="宋体" w:eastAsia="宋体" w:cs="仿宋"/>
                <w:szCs w:val="21"/>
              </w:rPr>
            </w:pPr>
            <w:r>
              <w:rPr>
                <w:rFonts w:hint="eastAsia" w:ascii="宋体" w:hAnsi="宋体" w:eastAsia="宋体" w:cs="仿宋"/>
                <w:szCs w:val="21"/>
              </w:rPr>
              <w:t>6</w:t>
            </w:r>
          </w:p>
        </w:tc>
        <w:tc>
          <w:tcPr>
            <w:tcW w:w="995" w:type="pct"/>
            <w:tcBorders>
              <w:top w:val="single" w:color="auto" w:sz="4" w:space="0"/>
              <w:left w:val="single" w:color="auto" w:sz="4" w:space="0"/>
              <w:bottom w:val="single" w:color="auto" w:sz="4" w:space="0"/>
              <w:right w:val="single" w:color="auto" w:sz="4" w:space="0"/>
            </w:tcBorders>
            <w:vAlign w:val="center"/>
          </w:tcPr>
          <w:p w14:paraId="054DEDFB">
            <w:pPr>
              <w:jc w:val="center"/>
              <w:rPr>
                <w:rFonts w:ascii="宋体" w:hAnsi="宋体" w:eastAsia="宋体" w:cs="仿宋"/>
                <w:szCs w:val="21"/>
              </w:rPr>
            </w:pPr>
            <w:r>
              <w:rPr>
                <w:rFonts w:hint="eastAsia" w:ascii="宋体" w:hAnsi="宋体" w:eastAsia="宋体" w:cs="仿宋"/>
                <w:szCs w:val="21"/>
              </w:rPr>
              <w:t>桌面云资源发布</w:t>
            </w:r>
          </w:p>
        </w:tc>
        <w:tc>
          <w:tcPr>
            <w:tcW w:w="3638" w:type="pct"/>
            <w:tcBorders>
              <w:top w:val="single" w:color="auto" w:sz="4" w:space="0"/>
              <w:left w:val="single" w:color="auto" w:sz="4" w:space="0"/>
              <w:bottom w:val="single" w:color="auto" w:sz="4" w:space="0"/>
              <w:right w:val="single" w:color="auto" w:sz="4" w:space="0"/>
            </w:tcBorders>
            <w:vAlign w:val="center"/>
          </w:tcPr>
          <w:p w14:paraId="00ABA2C5">
            <w:pPr>
              <w:rPr>
                <w:rFonts w:ascii="宋体" w:hAnsi="宋体" w:eastAsia="宋体" w:cs="仿宋"/>
                <w:szCs w:val="21"/>
              </w:rPr>
            </w:pPr>
            <w:r>
              <w:rPr>
                <w:rFonts w:hint="eastAsia" w:ascii="宋体" w:hAnsi="宋体" w:eastAsia="宋体" w:cs="仿宋"/>
                <w:szCs w:val="21"/>
              </w:rPr>
              <w:t>支持将桌面云服务器发布成零信任的代理应用。</w:t>
            </w:r>
          </w:p>
        </w:tc>
      </w:tr>
      <w:tr w14:paraId="4546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449AB9C5">
            <w:pPr>
              <w:jc w:val="center"/>
              <w:rPr>
                <w:rFonts w:ascii="宋体" w:hAnsi="宋体" w:eastAsia="宋体" w:cs="仿宋"/>
                <w:szCs w:val="21"/>
              </w:rPr>
            </w:pPr>
            <w:r>
              <w:rPr>
                <w:rFonts w:hint="eastAsia" w:ascii="宋体" w:hAnsi="宋体" w:eastAsia="宋体" w:cs="仿宋"/>
                <w:szCs w:val="21"/>
              </w:rPr>
              <w:t>7</w:t>
            </w:r>
          </w:p>
        </w:tc>
        <w:tc>
          <w:tcPr>
            <w:tcW w:w="995" w:type="pct"/>
            <w:tcBorders>
              <w:top w:val="single" w:color="auto" w:sz="4" w:space="0"/>
              <w:left w:val="single" w:color="auto" w:sz="4" w:space="0"/>
              <w:bottom w:val="single" w:color="auto" w:sz="4" w:space="0"/>
              <w:right w:val="single" w:color="auto" w:sz="4" w:space="0"/>
            </w:tcBorders>
            <w:vAlign w:val="center"/>
          </w:tcPr>
          <w:p w14:paraId="2D6FC167">
            <w:pPr>
              <w:jc w:val="center"/>
              <w:rPr>
                <w:rFonts w:ascii="宋体" w:hAnsi="宋体" w:eastAsia="宋体" w:cs="仿宋"/>
                <w:szCs w:val="21"/>
              </w:rPr>
            </w:pPr>
            <w:r>
              <w:rPr>
                <w:rFonts w:hint="eastAsia" w:ascii="宋体" w:hAnsi="宋体" w:eastAsia="宋体" w:cs="仿宋"/>
                <w:szCs w:val="21"/>
              </w:rPr>
              <w:t>WEB页面安全</w:t>
            </w:r>
          </w:p>
        </w:tc>
        <w:tc>
          <w:tcPr>
            <w:tcW w:w="3638" w:type="pct"/>
            <w:tcBorders>
              <w:top w:val="single" w:color="auto" w:sz="4" w:space="0"/>
              <w:left w:val="single" w:color="auto" w:sz="4" w:space="0"/>
              <w:bottom w:val="single" w:color="auto" w:sz="4" w:space="0"/>
              <w:right w:val="single" w:color="auto" w:sz="4" w:space="0"/>
            </w:tcBorders>
            <w:vAlign w:val="center"/>
          </w:tcPr>
          <w:p w14:paraId="35796ECA">
            <w:pPr>
              <w:rPr>
                <w:rFonts w:ascii="宋体" w:hAnsi="宋体" w:eastAsia="宋体" w:cs="仿宋"/>
                <w:szCs w:val="21"/>
              </w:rPr>
            </w:pPr>
            <w:r>
              <w:rPr>
                <w:rFonts w:hint="eastAsia" w:ascii="宋体" w:hAnsi="宋体" w:eastAsia="宋体" w:cs="仿宋"/>
                <w:szCs w:val="21"/>
              </w:rPr>
              <w:t>为提升WEB业务的数据安全性，应支持对WEB应用禁止复制、禁止打印、禁止下载、禁止鼠标右键、禁止浏览器调试，以保护应用的数据安全。</w:t>
            </w:r>
          </w:p>
        </w:tc>
      </w:tr>
      <w:tr w14:paraId="4974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19D2C34F">
            <w:pPr>
              <w:jc w:val="center"/>
              <w:rPr>
                <w:rFonts w:ascii="宋体" w:hAnsi="宋体" w:eastAsia="宋体" w:cs="仿宋"/>
                <w:szCs w:val="21"/>
              </w:rPr>
            </w:pPr>
            <w:r>
              <w:rPr>
                <w:rFonts w:hint="eastAsia" w:ascii="宋体" w:hAnsi="宋体" w:eastAsia="宋体" w:cs="仿宋"/>
                <w:szCs w:val="21"/>
              </w:rPr>
              <w:t>8</w:t>
            </w:r>
          </w:p>
        </w:tc>
        <w:tc>
          <w:tcPr>
            <w:tcW w:w="995" w:type="pct"/>
            <w:tcBorders>
              <w:top w:val="single" w:color="auto" w:sz="4" w:space="0"/>
              <w:left w:val="single" w:color="auto" w:sz="4" w:space="0"/>
              <w:bottom w:val="single" w:color="auto" w:sz="4" w:space="0"/>
              <w:right w:val="single" w:color="auto" w:sz="4" w:space="0"/>
            </w:tcBorders>
            <w:vAlign w:val="center"/>
          </w:tcPr>
          <w:p w14:paraId="078E5FD3">
            <w:pPr>
              <w:jc w:val="center"/>
              <w:rPr>
                <w:rFonts w:ascii="宋体" w:hAnsi="宋体" w:eastAsia="宋体" w:cs="仿宋"/>
                <w:szCs w:val="21"/>
              </w:rPr>
            </w:pPr>
            <w:r>
              <w:rPr>
                <w:rFonts w:hint="eastAsia" w:ascii="宋体" w:hAnsi="宋体" w:eastAsia="宋体" w:cs="仿宋"/>
                <w:szCs w:val="21"/>
              </w:rPr>
              <w:t>访问速度优化</w:t>
            </w:r>
          </w:p>
        </w:tc>
        <w:tc>
          <w:tcPr>
            <w:tcW w:w="3638" w:type="pct"/>
            <w:tcBorders>
              <w:top w:val="single" w:color="auto" w:sz="4" w:space="0"/>
              <w:left w:val="single" w:color="auto" w:sz="4" w:space="0"/>
              <w:bottom w:val="single" w:color="auto" w:sz="4" w:space="0"/>
              <w:right w:val="single" w:color="auto" w:sz="4" w:space="0"/>
            </w:tcBorders>
            <w:vAlign w:val="center"/>
          </w:tcPr>
          <w:p w14:paraId="0CC27BC0">
            <w:pPr>
              <w:rPr>
                <w:rFonts w:ascii="宋体" w:hAnsi="宋体" w:eastAsia="宋体" w:cs="仿宋"/>
                <w:szCs w:val="21"/>
              </w:rPr>
            </w:pPr>
            <w:r>
              <w:rPr>
                <w:rFonts w:hint="eastAsia" w:ascii="宋体" w:hAnsi="宋体" w:eastAsia="宋体" w:cs="仿宋"/>
                <w:szCs w:val="21"/>
              </w:rPr>
              <w:t>为提升在弱网环境下访问体验，应支持优化TCP协议，增强隧道抗丢包、抗抖动特性，实现弱网环境的访问加速。</w:t>
            </w:r>
          </w:p>
        </w:tc>
      </w:tr>
      <w:tr w14:paraId="76B9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0A3B18DA">
            <w:pPr>
              <w:jc w:val="center"/>
              <w:rPr>
                <w:rFonts w:ascii="宋体" w:hAnsi="宋体" w:eastAsia="宋体" w:cs="仿宋"/>
                <w:szCs w:val="21"/>
              </w:rPr>
            </w:pPr>
            <w:r>
              <w:rPr>
                <w:rFonts w:hint="eastAsia" w:ascii="宋体" w:hAnsi="宋体" w:eastAsia="宋体" w:cs="仿宋"/>
                <w:szCs w:val="21"/>
              </w:rPr>
              <w:t>9</w:t>
            </w:r>
          </w:p>
        </w:tc>
        <w:tc>
          <w:tcPr>
            <w:tcW w:w="995" w:type="pct"/>
            <w:tcBorders>
              <w:top w:val="single" w:color="auto" w:sz="4" w:space="0"/>
              <w:left w:val="single" w:color="auto" w:sz="4" w:space="0"/>
              <w:bottom w:val="single" w:color="auto" w:sz="4" w:space="0"/>
              <w:right w:val="single" w:color="auto" w:sz="4" w:space="0"/>
            </w:tcBorders>
            <w:vAlign w:val="center"/>
          </w:tcPr>
          <w:p w14:paraId="25D4ECF5">
            <w:pPr>
              <w:jc w:val="center"/>
              <w:rPr>
                <w:rFonts w:ascii="宋体" w:hAnsi="宋体" w:eastAsia="宋体" w:cs="仿宋"/>
                <w:szCs w:val="21"/>
              </w:rPr>
            </w:pPr>
            <w:r>
              <w:rPr>
                <w:rFonts w:hint="eastAsia" w:ascii="宋体" w:hAnsi="宋体" w:eastAsia="宋体" w:cs="仿宋"/>
                <w:szCs w:val="21"/>
              </w:rPr>
              <w:t>终端管理</w:t>
            </w:r>
          </w:p>
        </w:tc>
        <w:tc>
          <w:tcPr>
            <w:tcW w:w="3638" w:type="pct"/>
            <w:tcBorders>
              <w:top w:val="single" w:color="auto" w:sz="4" w:space="0"/>
              <w:left w:val="single" w:color="auto" w:sz="4" w:space="0"/>
              <w:bottom w:val="single" w:color="auto" w:sz="4" w:space="0"/>
              <w:right w:val="single" w:color="auto" w:sz="4" w:space="0"/>
            </w:tcBorders>
            <w:vAlign w:val="center"/>
          </w:tcPr>
          <w:p w14:paraId="4CF67C2D">
            <w:pPr>
              <w:rPr>
                <w:rFonts w:ascii="宋体" w:hAnsi="宋体" w:eastAsia="宋体" w:cs="仿宋"/>
                <w:szCs w:val="21"/>
              </w:rPr>
            </w:pPr>
            <w:r>
              <w:rPr>
                <w:rFonts w:hint="eastAsia" w:ascii="宋体" w:hAnsi="宋体" w:eastAsia="宋体" w:cs="仿宋"/>
                <w:szCs w:val="21"/>
              </w:rPr>
              <w:t>支持不同平台的终端同时在线，管理员可分别设置可同时在线的PC或移动终端个数，配置范围不小于0-1000，当超过终端个数时，可以注销最早登录的终端，且被注销的终端有对应的注销提醒；管理员可设置允许终端在线数为0，以禁止用户通过此类终端接入访问。</w:t>
            </w:r>
          </w:p>
        </w:tc>
      </w:tr>
      <w:tr w14:paraId="1FDE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28A354EE">
            <w:pPr>
              <w:jc w:val="center"/>
              <w:rPr>
                <w:rFonts w:ascii="宋体" w:hAnsi="宋体" w:eastAsia="宋体" w:cs="仿宋"/>
                <w:szCs w:val="21"/>
              </w:rPr>
            </w:pPr>
            <w:r>
              <w:rPr>
                <w:rFonts w:hint="eastAsia" w:ascii="宋体" w:hAnsi="宋体" w:eastAsia="宋体" w:cs="仿宋"/>
                <w:szCs w:val="21"/>
              </w:rPr>
              <w:t>10</w:t>
            </w:r>
          </w:p>
        </w:tc>
        <w:tc>
          <w:tcPr>
            <w:tcW w:w="995" w:type="pct"/>
            <w:tcBorders>
              <w:top w:val="single" w:color="auto" w:sz="4" w:space="0"/>
              <w:left w:val="single" w:color="auto" w:sz="4" w:space="0"/>
              <w:bottom w:val="single" w:color="auto" w:sz="4" w:space="0"/>
              <w:right w:val="single" w:color="auto" w:sz="4" w:space="0"/>
            </w:tcBorders>
            <w:vAlign w:val="center"/>
          </w:tcPr>
          <w:p w14:paraId="57137261">
            <w:pPr>
              <w:jc w:val="center"/>
              <w:rPr>
                <w:rFonts w:ascii="宋体" w:hAnsi="宋体" w:eastAsia="宋体" w:cs="仿宋"/>
                <w:szCs w:val="21"/>
              </w:rPr>
            </w:pPr>
            <w:r>
              <w:rPr>
                <w:rFonts w:hint="eastAsia" w:ascii="宋体" w:hAnsi="宋体" w:eastAsia="宋体" w:cs="仿宋"/>
                <w:szCs w:val="21"/>
              </w:rPr>
              <w:t>企微对接</w:t>
            </w:r>
          </w:p>
        </w:tc>
        <w:tc>
          <w:tcPr>
            <w:tcW w:w="3638" w:type="pct"/>
            <w:tcBorders>
              <w:top w:val="single" w:color="auto" w:sz="4" w:space="0"/>
              <w:left w:val="single" w:color="auto" w:sz="4" w:space="0"/>
              <w:bottom w:val="single" w:color="auto" w:sz="4" w:space="0"/>
              <w:right w:val="single" w:color="auto" w:sz="4" w:space="0"/>
            </w:tcBorders>
            <w:vAlign w:val="center"/>
          </w:tcPr>
          <w:p w14:paraId="67CDDBEB">
            <w:pPr>
              <w:rPr>
                <w:rFonts w:ascii="宋体" w:hAnsi="宋体" w:eastAsia="宋体" w:cs="仿宋"/>
                <w:szCs w:val="21"/>
              </w:rPr>
            </w:pPr>
            <w:r>
              <w:rPr>
                <w:rFonts w:hint="eastAsia" w:ascii="宋体" w:hAnsi="宋体" w:eastAsia="宋体" w:cs="仿宋"/>
                <w:bCs/>
                <w:szCs w:val="21"/>
              </w:rPr>
              <w:t>在不需要额外搭建认证平台、认证组件的情况下支持与企业微信、钉钉、飞书结合实现扫码认证，支持通过企业微信号H5应用接入。</w:t>
            </w:r>
          </w:p>
        </w:tc>
      </w:tr>
      <w:tr w14:paraId="7756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1A1C531D">
            <w:pPr>
              <w:jc w:val="center"/>
              <w:rPr>
                <w:rFonts w:ascii="宋体" w:hAnsi="宋体" w:eastAsia="宋体" w:cs="仿宋"/>
                <w:szCs w:val="21"/>
              </w:rPr>
            </w:pPr>
            <w:r>
              <w:rPr>
                <w:rFonts w:hint="eastAsia" w:ascii="宋体" w:hAnsi="宋体" w:eastAsia="宋体" w:cs="仿宋"/>
                <w:szCs w:val="21"/>
              </w:rPr>
              <w:t>11</w:t>
            </w:r>
          </w:p>
        </w:tc>
        <w:tc>
          <w:tcPr>
            <w:tcW w:w="995" w:type="pct"/>
            <w:tcBorders>
              <w:top w:val="single" w:color="auto" w:sz="4" w:space="0"/>
              <w:left w:val="single" w:color="auto" w:sz="4" w:space="0"/>
              <w:bottom w:val="single" w:color="auto" w:sz="4" w:space="0"/>
              <w:right w:val="single" w:color="auto" w:sz="4" w:space="0"/>
            </w:tcBorders>
            <w:vAlign w:val="center"/>
          </w:tcPr>
          <w:p w14:paraId="15EA07F8">
            <w:pPr>
              <w:snapToGrid w:val="0"/>
              <w:spacing w:line="276" w:lineRule="auto"/>
              <w:jc w:val="center"/>
              <w:rPr>
                <w:rFonts w:ascii="宋体" w:hAnsi="宋体" w:eastAsia="宋体" w:cs="仿宋"/>
                <w:bCs/>
                <w:szCs w:val="21"/>
              </w:rPr>
            </w:pPr>
            <w:r>
              <w:rPr>
                <w:rFonts w:hint="eastAsia" w:ascii="宋体" w:hAnsi="宋体" w:eastAsia="宋体" w:cs="仿宋"/>
                <w:bCs/>
                <w:szCs w:val="21"/>
              </w:rPr>
              <w:t>弱密码库</w:t>
            </w:r>
          </w:p>
        </w:tc>
        <w:tc>
          <w:tcPr>
            <w:tcW w:w="3638" w:type="pct"/>
            <w:tcBorders>
              <w:top w:val="single" w:color="auto" w:sz="4" w:space="0"/>
              <w:left w:val="single" w:color="auto" w:sz="4" w:space="0"/>
              <w:bottom w:val="single" w:color="auto" w:sz="4" w:space="0"/>
              <w:right w:val="single" w:color="auto" w:sz="4" w:space="0"/>
            </w:tcBorders>
            <w:vAlign w:val="center"/>
          </w:tcPr>
          <w:p w14:paraId="3559C4CC">
            <w:pPr>
              <w:snapToGrid w:val="0"/>
              <w:spacing w:line="276" w:lineRule="auto"/>
              <w:rPr>
                <w:rFonts w:ascii="宋体" w:hAnsi="宋体" w:eastAsia="宋体" w:cs="仿宋"/>
                <w:bCs/>
                <w:szCs w:val="21"/>
              </w:rPr>
            </w:pPr>
            <w:r>
              <w:rPr>
                <w:rFonts w:hint="eastAsia" w:ascii="宋体" w:hAnsi="宋体" w:eastAsia="宋体" w:cs="仿宋"/>
                <w:bCs/>
                <w:szCs w:val="21"/>
              </w:rPr>
              <w:t>支持管理员自行配置单位的弱密码库，可配置不少于10W行的弱密码。</w:t>
            </w:r>
          </w:p>
        </w:tc>
      </w:tr>
      <w:tr w14:paraId="0C81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147D9CE2">
            <w:pPr>
              <w:jc w:val="center"/>
              <w:rPr>
                <w:rFonts w:ascii="宋体" w:hAnsi="宋体" w:eastAsia="宋体" w:cs="仿宋"/>
                <w:szCs w:val="21"/>
              </w:rPr>
            </w:pPr>
            <w:r>
              <w:rPr>
                <w:rFonts w:hint="eastAsia" w:ascii="宋体" w:hAnsi="宋体" w:eastAsia="宋体" w:cs="仿宋"/>
                <w:szCs w:val="21"/>
              </w:rPr>
              <w:t>12</w:t>
            </w:r>
          </w:p>
        </w:tc>
        <w:tc>
          <w:tcPr>
            <w:tcW w:w="995" w:type="pct"/>
            <w:tcBorders>
              <w:top w:val="single" w:color="auto" w:sz="4" w:space="0"/>
              <w:left w:val="single" w:color="auto" w:sz="4" w:space="0"/>
              <w:bottom w:val="single" w:color="auto" w:sz="4" w:space="0"/>
              <w:right w:val="single" w:color="auto" w:sz="4" w:space="0"/>
            </w:tcBorders>
            <w:vAlign w:val="center"/>
          </w:tcPr>
          <w:p w14:paraId="127E2887">
            <w:pPr>
              <w:jc w:val="center"/>
              <w:rPr>
                <w:rFonts w:ascii="宋体" w:hAnsi="宋体" w:eastAsia="宋体" w:cs="仿宋"/>
                <w:szCs w:val="21"/>
              </w:rPr>
            </w:pPr>
            <w:r>
              <w:rPr>
                <w:rFonts w:hint="eastAsia" w:ascii="宋体" w:hAnsi="宋体" w:eastAsia="宋体" w:cs="仿宋"/>
                <w:szCs w:val="21"/>
              </w:rPr>
              <w:t>访问加速</w:t>
            </w:r>
          </w:p>
        </w:tc>
        <w:tc>
          <w:tcPr>
            <w:tcW w:w="3638" w:type="pct"/>
            <w:tcBorders>
              <w:top w:val="single" w:color="auto" w:sz="4" w:space="0"/>
              <w:left w:val="single" w:color="auto" w:sz="4" w:space="0"/>
              <w:bottom w:val="single" w:color="auto" w:sz="4" w:space="0"/>
              <w:right w:val="single" w:color="auto" w:sz="4" w:space="0"/>
            </w:tcBorders>
            <w:vAlign w:val="center"/>
          </w:tcPr>
          <w:p w14:paraId="1D5E2887">
            <w:pPr>
              <w:rPr>
                <w:rFonts w:ascii="宋体" w:hAnsi="宋体" w:eastAsia="宋体" w:cs="仿宋"/>
                <w:szCs w:val="21"/>
              </w:rPr>
            </w:pPr>
            <w:r>
              <w:rPr>
                <w:rFonts w:hint="eastAsia" w:ascii="宋体" w:hAnsi="宋体" w:eastAsia="宋体" w:cs="仿宋"/>
                <w:szCs w:val="21"/>
              </w:rPr>
              <w:t>支持当客户端通过CDN加速等代理方式接入访问业务系统时，支持获取CDN加速前的访问IP，并在日志中记录此IP为客户端IP。</w:t>
            </w:r>
          </w:p>
        </w:tc>
      </w:tr>
      <w:tr w14:paraId="65F7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039EEFC6">
            <w:pPr>
              <w:jc w:val="center"/>
              <w:rPr>
                <w:rFonts w:ascii="宋体" w:hAnsi="宋体" w:eastAsia="宋体" w:cs="仿宋"/>
                <w:szCs w:val="21"/>
              </w:rPr>
            </w:pPr>
            <w:r>
              <w:rPr>
                <w:rFonts w:hint="eastAsia" w:ascii="宋体" w:hAnsi="宋体" w:eastAsia="宋体" w:cs="仿宋"/>
                <w:szCs w:val="21"/>
              </w:rPr>
              <w:t>13</w:t>
            </w:r>
          </w:p>
        </w:tc>
        <w:tc>
          <w:tcPr>
            <w:tcW w:w="995" w:type="pct"/>
            <w:tcBorders>
              <w:top w:val="single" w:color="auto" w:sz="4" w:space="0"/>
              <w:left w:val="single" w:color="auto" w:sz="4" w:space="0"/>
              <w:bottom w:val="single" w:color="auto" w:sz="4" w:space="0"/>
              <w:right w:val="single" w:color="auto" w:sz="4" w:space="0"/>
            </w:tcBorders>
            <w:vAlign w:val="center"/>
          </w:tcPr>
          <w:p w14:paraId="6B0CDD95">
            <w:pPr>
              <w:snapToGrid w:val="0"/>
              <w:spacing w:line="276" w:lineRule="auto"/>
              <w:jc w:val="center"/>
              <w:rPr>
                <w:rFonts w:ascii="宋体" w:hAnsi="宋体" w:eastAsia="宋体" w:cs="仿宋"/>
                <w:bCs/>
                <w:szCs w:val="21"/>
              </w:rPr>
            </w:pPr>
            <w:r>
              <w:rPr>
                <w:rFonts w:hint="eastAsia" w:ascii="宋体" w:hAnsi="宋体" w:eastAsia="宋体" w:cs="仿宋"/>
                <w:bCs/>
                <w:szCs w:val="21"/>
              </w:rPr>
              <w:t>开放性</w:t>
            </w:r>
          </w:p>
        </w:tc>
        <w:tc>
          <w:tcPr>
            <w:tcW w:w="3638" w:type="pct"/>
            <w:tcBorders>
              <w:top w:val="single" w:color="auto" w:sz="4" w:space="0"/>
              <w:left w:val="single" w:color="auto" w:sz="4" w:space="0"/>
              <w:bottom w:val="single" w:color="auto" w:sz="4" w:space="0"/>
              <w:right w:val="single" w:color="auto" w:sz="4" w:space="0"/>
            </w:tcBorders>
            <w:vAlign w:val="center"/>
          </w:tcPr>
          <w:p w14:paraId="4F63D994">
            <w:pPr>
              <w:snapToGrid w:val="0"/>
              <w:spacing w:line="276" w:lineRule="auto"/>
              <w:rPr>
                <w:rFonts w:ascii="宋体" w:hAnsi="宋体" w:eastAsia="宋体" w:cs="仿宋"/>
                <w:bCs/>
                <w:szCs w:val="21"/>
              </w:rPr>
            </w:pPr>
            <w:r>
              <w:rPr>
                <w:rFonts w:hint="eastAsia" w:ascii="宋体" w:hAnsi="宋体" w:eastAsia="宋体" w:cs="仿宋"/>
                <w:bCs/>
                <w:szCs w:val="21"/>
              </w:rPr>
              <w:t>支持提供开放的API，管理员可以在控制台创建API KEY，供第三方安全设备或单位自有安全分析平台对接，便于形成统一的安全体系。</w:t>
            </w:r>
          </w:p>
        </w:tc>
      </w:tr>
      <w:tr w14:paraId="1B35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5E63BAFA">
            <w:pPr>
              <w:jc w:val="center"/>
              <w:rPr>
                <w:rFonts w:ascii="宋体" w:hAnsi="宋体" w:eastAsia="宋体" w:cs="仿宋"/>
                <w:szCs w:val="21"/>
              </w:rPr>
            </w:pPr>
            <w:r>
              <w:rPr>
                <w:rFonts w:hint="eastAsia" w:ascii="宋体" w:hAnsi="宋体" w:eastAsia="宋体" w:cs="仿宋"/>
                <w:szCs w:val="21"/>
              </w:rPr>
              <w:t>14</w:t>
            </w:r>
          </w:p>
        </w:tc>
        <w:tc>
          <w:tcPr>
            <w:tcW w:w="995" w:type="pct"/>
            <w:tcBorders>
              <w:top w:val="single" w:color="auto" w:sz="4" w:space="0"/>
              <w:left w:val="single" w:color="auto" w:sz="4" w:space="0"/>
              <w:bottom w:val="single" w:color="auto" w:sz="4" w:space="0"/>
              <w:right w:val="single" w:color="auto" w:sz="4" w:space="0"/>
            </w:tcBorders>
            <w:vAlign w:val="center"/>
          </w:tcPr>
          <w:p w14:paraId="3333E4E1">
            <w:pPr>
              <w:snapToGrid w:val="0"/>
              <w:spacing w:line="276" w:lineRule="auto"/>
              <w:jc w:val="center"/>
              <w:rPr>
                <w:rFonts w:ascii="宋体" w:hAnsi="宋体" w:eastAsia="宋体" w:cs="仿宋"/>
                <w:bCs/>
                <w:szCs w:val="21"/>
              </w:rPr>
            </w:pPr>
            <w:r>
              <w:rPr>
                <w:rFonts w:hint="eastAsia" w:ascii="宋体" w:hAnsi="宋体" w:eastAsia="宋体" w:cs="仿宋"/>
                <w:bCs/>
                <w:szCs w:val="21"/>
              </w:rPr>
              <w:t>日志管理</w:t>
            </w:r>
          </w:p>
        </w:tc>
        <w:tc>
          <w:tcPr>
            <w:tcW w:w="3638" w:type="pct"/>
            <w:tcBorders>
              <w:top w:val="single" w:color="auto" w:sz="4" w:space="0"/>
              <w:left w:val="single" w:color="auto" w:sz="4" w:space="0"/>
              <w:bottom w:val="single" w:color="auto" w:sz="4" w:space="0"/>
              <w:right w:val="single" w:color="auto" w:sz="4" w:space="0"/>
            </w:tcBorders>
            <w:vAlign w:val="center"/>
          </w:tcPr>
          <w:p w14:paraId="0783533D">
            <w:pPr>
              <w:snapToGrid w:val="0"/>
              <w:spacing w:line="276" w:lineRule="auto"/>
              <w:rPr>
                <w:rFonts w:ascii="宋体" w:hAnsi="宋体" w:eastAsia="宋体" w:cs="仿宋"/>
                <w:bCs/>
                <w:szCs w:val="21"/>
              </w:rPr>
            </w:pPr>
            <w:r>
              <w:rPr>
                <w:rFonts w:hint="eastAsia" w:ascii="宋体" w:hAnsi="宋体" w:eastAsia="宋体" w:cs="仿宋"/>
                <w:szCs w:val="21"/>
              </w:rPr>
              <w:t>支持分别记录用户访问日志、管理员操作日志以及设备安全日志。</w:t>
            </w:r>
          </w:p>
        </w:tc>
      </w:tr>
      <w:tr w14:paraId="75D1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1C1E6A3B">
            <w:pPr>
              <w:jc w:val="center"/>
              <w:rPr>
                <w:rFonts w:ascii="宋体" w:hAnsi="宋体" w:eastAsia="宋体" w:cs="仿宋"/>
                <w:szCs w:val="21"/>
              </w:rPr>
            </w:pPr>
            <w:r>
              <w:rPr>
                <w:rFonts w:hint="eastAsia" w:ascii="宋体" w:hAnsi="宋体" w:eastAsia="宋体" w:cs="仿宋"/>
                <w:szCs w:val="21"/>
              </w:rPr>
              <w:t>15</w:t>
            </w:r>
          </w:p>
        </w:tc>
        <w:tc>
          <w:tcPr>
            <w:tcW w:w="995" w:type="pct"/>
            <w:tcBorders>
              <w:top w:val="single" w:color="auto" w:sz="4" w:space="0"/>
              <w:left w:val="single" w:color="auto" w:sz="4" w:space="0"/>
              <w:bottom w:val="single" w:color="auto" w:sz="4" w:space="0"/>
              <w:right w:val="single" w:color="auto" w:sz="4" w:space="0"/>
            </w:tcBorders>
            <w:vAlign w:val="center"/>
          </w:tcPr>
          <w:p w14:paraId="0016E4E8">
            <w:pPr>
              <w:snapToGrid w:val="0"/>
              <w:spacing w:line="276" w:lineRule="auto"/>
              <w:jc w:val="center"/>
              <w:rPr>
                <w:rFonts w:ascii="宋体" w:hAnsi="宋体" w:eastAsia="宋体" w:cs="仿宋"/>
                <w:bCs/>
                <w:szCs w:val="21"/>
              </w:rPr>
            </w:pPr>
            <w:r>
              <w:rPr>
                <w:rFonts w:hint="eastAsia" w:ascii="宋体" w:hAnsi="宋体" w:eastAsia="宋体" w:cs="仿宋"/>
                <w:bCs/>
                <w:szCs w:val="21"/>
              </w:rPr>
              <w:t>全局访问优化</w:t>
            </w:r>
          </w:p>
        </w:tc>
        <w:tc>
          <w:tcPr>
            <w:tcW w:w="3638" w:type="pct"/>
            <w:tcBorders>
              <w:top w:val="single" w:color="auto" w:sz="4" w:space="0"/>
              <w:left w:val="single" w:color="auto" w:sz="4" w:space="0"/>
              <w:bottom w:val="single" w:color="auto" w:sz="4" w:space="0"/>
              <w:right w:val="single" w:color="auto" w:sz="4" w:space="0"/>
            </w:tcBorders>
            <w:vAlign w:val="center"/>
          </w:tcPr>
          <w:p w14:paraId="2758A196">
            <w:pPr>
              <w:snapToGrid w:val="0"/>
              <w:spacing w:line="276" w:lineRule="auto"/>
              <w:rPr>
                <w:rFonts w:ascii="宋体" w:hAnsi="宋体" w:eastAsia="宋体" w:cs="仿宋"/>
                <w:bCs/>
                <w:szCs w:val="21"/>
              </w:rPr>
            </w:pPr>
            <w:r>
              <w:rPr>
                <w:rFonts w:ascii="宋体" w:hAnsi="宋体" w:eastAsia="宋体" w:cs="仿宋"/>
                <w:bCs/>
                <w:szCs w:val="21"/>
              </w:rPr>
              <w:t>为降低业务访问时延，提升访问体验，零信任在代理访问资源的时候具备时延优化能力，代理访问时时延不增加或极少增加访问时延，大幅降低业务访问的网络时延</w:t>
            </w:r>
            <w:r>
              <w:rPr>
                <w:rFonts w:hint="eastAsia" w:ascii="宋体" w:hAnsi="宋体" w:eastAsia="宋体" w:cs="仿宋"/>
                <w:bCs/>
                <w:szCs w:val="21"/>
              </w:rPr>
              <w:t>，</w:t>
            </w:r>
            <w:r>
              <w:rPr>
                <w:rFonts w:hint="eastAsia" w:ascii="宋体" w:hAnsi="宋体" w:eastAsia="宋体" w:cs="仿宋"/>
                <w:szCs w:val="21"/>
              </w:rPr>
              <w:t>提供</w:t>
            </w:r>
            <w:r>
              <w:rPr>
                <w:rFonts w:hint="eastAsia" w:ascii="宋体" w:hAnsi="宋体" w:eastAsia="宋体" w:cs="仿宋"/>
                <w:szCs w:val="21"/>
                <w:lang w:eastAsia="zh-CN"/>
              </w:rPr>
              <w:t>产品功能页面截图</w:t>
            </w:r>
            <w:r>
              <w:rPr>
                <w:rFonts w:hint="eastAsia" w:ascii="宋体" w:hAnsi="宋体" w:eastAsia="宋体" w:cs="仿宋"/>
                <w:szCs w:val="21"/>
              </w:rPr>
              <w:t>证明及具备CNAS或CMA标识的第三方检测报告复印件。</w:t>
            </w:r>
          </w:p>
        </w:tc>
      </w:tr>
      <w:tr w14:paraId="2F4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11B1E780">
            <w:pPr>
              <w:jc w:val="center"/>
              <w:rPr>
                <w:rFonts w:ascii="宋体" w:hAnsi="宋体" w:eastAsia="宋体" w:cs="仿宋"/>
                <w:szCs w:val="21"/>
              </w:rPr>
            </w:pPr>
            <w:r>
              <w:rPr>
                <w:rFonts w:hint="eastAsia" w:ascii="宋体" w:hAnsi="宋体" w:eastAsia="宋体" w:cs="仿宋"/>
                <w:szCs w:val="21"/>
              </w:rPr>
              <w:t>16</w:t>
            </w:r>
          </w:p>
        </w:tc>
        <w:tc>
          <w:tcPr>
            <w:tcW w:w="995" w:type="pct"/>
            <w:tcBorders>
              <w:top w:val="single" w:color="auto" w:sz="4" w:space="0"/>
              <w:left w:val="single" w:color="auto" w:sz="4" w:space="0"/>
              <w:bottom w:val="single" w:color="auto" w:sz="4" w:space="0"/>
              <w:right w:val="single" w:color="auto" w:sz="4" w:space="0"/>
            </w:tcBorders>
            <w:vAlign w:val="center"/>
          </w:tcPr>
          <w:p w14:paraId="7DAF4FBA">
            <w:pPr>
              <w:snapToGrid w:val="0"/>
              <w:spacing w:line="276" w:lineRule="auto"/>
              <w:jc w:val="center"/>
              <w:rPr>
                <w:rFonts w:ascii="宋体" w:hAnsi="宋体" w:eastAsia="宋体" w:cs="仿宋"/>
                <w:bCs/>
                <w:szCs w:val="21"/>
              </w:rPr>
            </w:pPr>
            <w:r>
              <w:rPr>
                <w:rFonts w:hint="eastAsia" w:ascii="宋体" w:hAnsi="宋体" w:eastAsia="宋体" w:cs="仿宋"/>
                <w:bCs/>
                <w:szCs w:val="21"/>
              </w:rPr>
              <w:t>设备巡检</w:t>
            </w:r>
          </w:p>
        </w:tc>
        <w:tc>
          <w:tcPr>
            <w:tcW w:w="3638" w:type="pct"/>
            <w:tcBorders>
              <w:top w:val="single" w:color="auto" w:sz="4" w:space="0"/>
              <w:left w:val="single" w:color="auto" w:sz="4" w:space="0"/>
              <w:bottom w:val="single" w:color="auto" w:sz="4" w:space="0"/>
              <w:right w:val="single" w:color="auto" w:sz="4" w:space="0"/>
            </w:tcBorders>
            <w:vAlign w:val="center"/>
          </w:tcPr>
          <w:p w14:paraId="59137DED">
            <w:pPr>
              <w:snapToGrid w:val="0"/>
              <w:spacing w:line="276" w:lineRule="auto"/>
              <w:rPr>
                <w:rFonts w:ascii="宋体" w:hAnsi="宋体" w:eastAsia="宋体" w:cs="仿宋"/>
                <w:bCs/>
                <w:szCs w:val="21"/>
              </w:rPr>
            </w:pPr>
            <w:r>
              <w:rPr>
                <w:rFonts w:hint="eastAsia" w:ascii="宋体" w:hAnsi="宋体" w:eastAsia="宋体" w:cs="仿宋"/>
                <w:bCs/>
                <w:szCs w:val="21"/>
              </w:rPr>
              <w:t>为方便管理员统筹查看管理零信任系统的整体运行状态，支持对设备自身的安全状态和策略配置进行巡检，对设备的整体状态进行打分，统计所有检查的正常项、异常项和告警项，并输出巡检报告；支持在设备上查看及下载巡检报告；报告应至少包含检测项、检查状态、存在的问题描述、建议改进措施等。</w:t>
            </w:r>
            <w:r>
              <w:rPr>
                <w:rFonts w:hint="eastAsia" w:ascii="宋体" w:hAnsi="宋体" w:eastAsia="宋体" w:cs="仿宋"/>
                <w:szCs w:val="21"/>
              </w:rPr>
              <w:t>提供</w:t>
            </w:r>
            <w:r>
              <w:rPr>
                <w:rFonts w:hint="eastAsia" w:ascii="宋体" w:hAnsi="宋体" w:eastAsia="宋体" w:cs="仿宋"/>
                <w:szCs w:val="21"/>
                <w:lang w:eastAsia="zh-CN"/>
              </w:rPr>
              <w:t>产品功能页面截图</w:t>
            </w:r>
            <w:r>
              <w:rPr>
                <w:rFonts w:hint="eastAsia" w:ascii="宋体" w:hAnsi="宋体" w:eastAsia="宋体" w:cs="仿宋"/>
                <w:szCs w:val="21"/>
              </w:rPr>
              <w:t>证明。</w:t>
            </w:r>
          </w:p>
        </w:tc>
      </w:tr>
      <w:tr w14:paraId="5C24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22DD8904">
            <w:pPr>
              <w:jc w:val="center"/>
              <w:rPr>
                <w:rFonts w:ascii="宋体" w:hAnsi="宋体" w:eastAsia="宋体" w:cs="仿宋"/>
                <w:szCs w:val="21"/>
              </w:rPr>
            </w:pPr>
            <w:r>
              <w:rPr>
                <w:rFonts w:hint="eastAsia" w:ascii="宋体" w:hAnsi="宋体" w:eastAsia="宋体" w:cs="仿宋"/>
                <w:szCs w:val="21"/>
              </w:rPr>
              <w:t>17</w:t>
            </w:r>
          </w:p>
        </w:tc>
        <w:tc>
          <w:tcPr>
            <w:tcW w:w="995" w:type="pct"/>
            <w:tcBorders>
              <w:top w:val="single" w:color="auto" w:sz="4" w:space="0"/>
              <w:left w:val="single" w:color="auto" w:sz="4" w:space="0"/>
              <w:bottom w:val="single" w:color="auto" w:sz="4" w:space="0"/>
              <w:right w:val="single" w:color="auto" w:sz="4" w:space="0"/>
            </w:tcBorders>
            <w:vAlign w:val="center"/>
          </w:tcPr>
          <w:p w14:paraId="33FBF512">
            <w:pPr>
              <w:snapToGrid w:val="0"/>
              <w:spacing w:line="276" w:lineRule="auto"/>
              <w:jc w:val="center"/>
              <w:rPr>
                <w:rFonts w:ascii="宋体" w:hAnsi="宋体" w:eastAsia="宋体" w:cs="仿宋"/>
                <w:bCs/>
                <w:szCs w:val="21"/>
              </w:rPr>
            </w:pPr>
            <w:r>
              <w:rPr>
                <w:rFonts w:hint="eastAsia" w:ascii="宋体" w:hAnsi="宋体" w:eastAsia="宋体" w:cs="仿宋"/>
                <w:bCs/>
                <w:szCs w:val="21"/>
              </w:rPr>
              <w:t>账号安全检查</w:t>
            </w:r>
          </w:p>
        </w:tc>
        <w:tc>
          <w:tcPr>
            <w:tcW w:w="3638" w:type="pct"/>
            <w:tcBorders>
              <w:top w:val="single" w:color="auto" w:sz="4" w:space="0"/>
              <w:left w:val="single" w:color="auto" w:sz="4" w:space="0"/>
              <w:bottom w:val="single" w:color="auto" w:sz="4" w:space="0"/>
              <w:right w:val="single" w:color="auto" w:sz="4" w:space="0"/>
            </w:tcBorders>
            <w:vAlign w:val="center"/>
          </w:tcPr>
          <w:p w14:paraId="1706A950">
            <w:pPr>
              <w:snapToGrid w:val="0"/>
              <w:spacing w:line="276" w:lineRule="auto"/>
              <w:rPr>
                <w:rFonts w:ascii="宋体" w:hAnsi="宋体" w:eastAsia="宋体" w:cs="仿宋"/>
                <w:bCs/>
                <w:szCs w:val="21"/>
              </w:rPr>
            </w:pPr>
            <w:r>
              <w:rPr>
                <w:rFonts w:hint="eastAsia" w:ascii="宋体" w:hAnsi="宋体" w:eastAsia="宋体" w:cs="仿宋"/>
                <w:szCs w:val="21"/>
              </w:rPr>
              <w:t>支持零信任账号安全检查，支持疑似管理员测试帐号的残留检查；支持是否开启找回密码功能检查；支持疑似用户测试账号的检查。提供产品功能</w:t>
            </w:r>
            <w:r>
              <w:rPr>
                <w:rFonts w:hint="eastAsia" w:ascii="宋体" w:hAnsi="宋体" w:eastAsia="宋体" w:cs="仿宋"/>
                <w:szCs w:val="21"/>
                <w:lang w:val="en-US" w:eastAsia="zh-CN"/>
              </w:rPr>
              <w:t>页面</w:t>
            </w:r>
            <w:r>
              <w:rPr>
                <w:rFonts w:hint="eastAsia" w:ascii="宋体" w:hAnsi="宋体" w:eastAsia="宋体" w:cs="仿宋"/>
                <w:szCs w:val="21"/>
              </w:rPr>
              <w:t>截图证明。</w:t>
            </w:r>
          </w:p>
        </w:tc>
      </w:tr>
      <w:tr w14:paraId="72EC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363D10C0">
            <w:pPr>
              <w:jc w:val="center"/>
              <w:rPr>
                <w:rFonts w:ascii="宋体" w:hAnsi="宋体" w:eastAsia="宋体" w:cs="仿宋"/>
                <w:szCs w:val="21"/>
              </w:rPr>
            </w:pPr>
            <w:r>
              <w:rPr>
                <w:rFonts w:hint="eastAsia" w:ascii="宋体" w:hAnsi="宋体" w:eastAsia="宋体" w:cs="仿宋"/>
                <w:szCs w:val="21"/>
              </w:rPr>
              <w:t>18</w:t>
            </w:r>
          </w:p>
        </w:tc>
        <w:tc>
          <w:tcPr>
            <w:tcW w:w="995" w:type="pct"/>
            <w:tcBorders>
              <w:top w:val="single" w:color="auto" w:sz="4" w:space="0"/>
              <w:left w:val="single" w:color="auto" w:sz="4" w:space="0"/>
              <w:bottom w:val="single" w:color="auto" w:sz="4" w:space="0"/>
              <w:right w:val="single" w:color="auto" w:sz="4" w:space="0"/>
            </w:tcBorders>
            <w:vAlign w:val="center"/>
          </w:tcPr>
          <w:p w14:paraId="6517A67D">
            <w:pPr>
              <w:snapToGrid w:val="0"/>
              <w:spacing w:line="276" w:lineRule="auto"/>
              <w:jc w:val="center"/>
              <w:rPr>
                <w:rFonts w:ascii="宋体" w:hAnsi="宋体" w:eastAsia="宋体" w:cs="仿宋"/>
                <w:bCs/>
                <w:szCs w:val="21"/>
              </w:rPr>
            </w:pPr>
            <w:r>
              <w:rPr>
                <w:rFonts w:hint="eastAsia" w:ascii="宋体" w:hAnsi="宋体" w:eastAsia="宋体" w:cs="仿宋"/>
                <w:bCs/>
                <w:szCs w:val="21"/>
              </w:rPr>
              <w:t>隧道原生吞吐</w:t>
            </w:r>
          </w:p>
        </w:tc>
        <w:tc>
          <w:tcPr>
            <w:tcW w:w="3638" w:type="pct"/>
            <w:tcBorders>
              <w:top w:val="single" w:color="auto" w:sz="4" w:space="0"/>
              <w:left w:val="single" w:color="auto" w:sz="4" w:space="0"/>
              <w:bottom w:val="single" w:color="auto" w:sz="4" w:space="0"/>
              <w:right w:val="single" w:color="auto" w:sz="4" w:space="0"/>
            </w:tcBorders>
            <w:vAlign w:val="center"/>
          </w:tcPr>
          <w:p w14:paraId="27F6E596">
            <w:pPr>
              <w:snapToGrid w:val="0"/>
              <w:spacing w:line="276" w:lineRule="auto"/>
              <w:rPr>
                <w:rFonts w:ascii="宋体" w:hAnsi="宋体" w:eastAsia="宋体" w:cs="仿宋"/>
                <w:bCs/>
                <w:szCs w:val="21"/>
              </w:rPr>
            </w:pPr>
            <w:r>
              <w:rPr>
                <w:rFonts w:hint="eastAsia" w:ascii="宋体" w:hAnsi="宋体" w:eastAsia="宋体" w:cs="仿宋"/>
                <w:bCs/>
                <w:szCs w:val="21"/>
              </w:rPr>
              <w:t>在 PC 端全平台（Windows/Mac/Linux），通过零信任隧道代理后的传输速度可以达到无隧道时原生网卡直连服务器吞吐速度的 90%及以上</w:t>
            </w:r>
          </w:p>
        </w:tc>
      </w:tr>
      <w:tr w14:paraId="7DF7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23C61081">
            <w:pPr>
              <w:jc w:val="center"/>
              <w:rPr>
                <w:rFonts w:ascii="宋体" w:hAnsi="宋体" w:eastAsia="宋体" w:cs="仿宋"/>
                <w:szCs w:val="21"/>
              </w:rPr>
            </w:pPr>
            <w:r>
              <w:rPr>
                <w:rFonts w:hint="eastAsia" w:ascii="宋体" w:hAnsi="宋体" w:eastAsia="宋体" w:cs="仿宋"/>
                <w:szCs w:val="21"/>
              </w:rPr>
              <w:t>19</w:t>
            </w:r>
          </w:p>
        </w:tc>
        <w:tc>
          <w:tcPr>
            <w:tcW w:w="995" w:type="pct"/>
            <w:tcBorders>
              <w:top w:val="single" w:color="auto" w:sz="4" w:space="0"/>
              <w:left w:val="single" w:color="auto" w:sz="4" w:space="0"/>
              <w:bottom w:val="single" w:color="auto" w:sz="4" w:space="0"/>
              <w:right w:val="single" w:color="auto" w:sz="4" w:space="0"/>
            </w:tcBorders>
            <w:vAlign w:val="center"/>
          </w:tcPr>
          <w:p w14:paraId="1CE13070">
            <w:pPr>
              <w:jc w:val="center"/>
              <w:rPr>
                <w:rFonts w:ascii="宋体" w:hAnsi="宋体" w:eastAsia="宋体" w:cs="仿宋"/>
                <w:szCs w:val="21"/>
              </w:rPr>
            </w:pPr>
            <w:r>
              <w:rPr>
                <w:rFonts w:hint="eastAsia" w:ascii="宋体" w:hAnsi="宋体" w:eastAsia="宋体" w:cs="仿宋"/>
                <w:szCs w:val="21"/>
              </w:rPr>
              <w:t>售后服务</w:t>
            </w:r>
          </w:p>
        </w:tc>
        <w:tc>
          <w:tcPr>
            <w:tcW w:w="3638" w:type="pct"/>
            <w:tcBorders>
              <w:top w:val="single" w:color="auto" w:sz="4" w:space="0"/>
              <w:left w:val="single" w:color="auto" w:sz="4" w:space="0"/>
              <w:bottom w:val="single" w:color="auto" w:sz="4" w:space="0"/>
              <w:right w:val="single" w:color="auto" w:sz="4" w:space="0"/>
            </w:tcBorders>
            <w:vAlign w:val="center"/>
          </w:tcPr>
          <w:p w14:paraId="1490B7BE">
            <w:pPr>
              <w:rPr>
                <w:rFonts w:ascii="宋体" w:hAnsi="宋体" w:eastAsia="宋体" w:cs="仿宋"/>
                <w:szCs w:val="21"/>
              </w:rPr>
            </w:pPr>
            <w:r>
              <w:rPr>
                <w:rFonts w:hint="eastAsia" w:ascii="宋体" w:hAnsi="宋体" w:eastAsia="宋体" w:cs="仿宋"/>
                <w:szCs w:val="21"/>
                <w:lang w:val="en-US" w:eastAsia="zh-CN"/>
              </w:rPr>
              <w:t>三年原厂保修（含配件+人力），</w:t>
            </w:r>
            <w:r>
              <w:rPr>
                <w:rFonts w:hint="eastAsia" w:ascii="宋体" w:hAnsi="宋体" w:eastAsia="宋体" w:cs="仿宋"/>
                <w:szCs w:val="21"/>
              </w:rPr>
              <w:t>提供3年产品系统升级授权。</w:t>
            </w:r>
          </w:p>
        </w:tc>
      </w:tr>
      <w:tr w14:paraId="40EF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03046A25">
            <w:pPr>
              <w:jc w:val="center"/>
              <w:rPr>
                <w:rFonts w:ascii="宋体" w:hAnsi="宋体" w:eastAsia="宋体" w:cs="仿宋"/>
                <w:szCs w:val="21"/>
              </w:rPr>
            </w:pPr>
            <w:r>
              <w:rPr>
                <w:rFonts w:hint="eastAsia" w:ascii="宋体" w:hAnsi="宋体" w:eastAsia="宋体" w:cs="仿宋"/>
                <w:szCs w:val="21"/>
              </w:rPr>
              <w:t>20</w:t>
            </w:r>
          </w:p>
        </w:tc>
        <w:tc>
          <w:tcPr>
            <w:tcW w:w="995" w:type="pct"/>
            <w:tcBorders>
              <w:top w:val="single" w:color="auto" w:sz="4" w:space="0"/>
              <w:left w:val="single" w:color="auto" w:sz="4" w:space="0"/>
              <w:bottom w:val="single" w:color="auto" w:sz="4" w:space="0"/>
              <w:right w:val="single" w:color="auto" w:sz="4" w:space="0"/>
            </w:tcBorders>
            <w:vAlign w:val="center"/>
          </w:tcPr>
          <w:p w14:paraId="456DDCA2">
            <w:pPr>
              <w:jc w:val="center"/>
              <w:rPr>
                <w:rFonts w:ascii="宋体" w:hAnsi="宋体" w:eastAsia="宋体" w:cs="仿宋"/>
                <w:szCs w:val="21"/>
              </w:rPr>
            </w:pPr>
            <w:r>
              <w:rPr>
                <w:rFonts w:hint="eastAsia" w:ascii="宋体" w:hAnsi="宋体" w:eastAsia="宋体" w:cs="仿宋"/>
                <w:szCs w:val="21"/>
              </w:rPr>
              <w:t>商密合规</w:t>
            </w:r>
          </w:p>
        </w:tc>
        <w:tc>
          <w:tcPr>
            <w:tcW w:w="3638" w:type="pct"/>
            <w:tcBorders>
              <w:top w:val="single" w:color="auto" w:sz="4" w:space="0"/>
              <w:left w:val="single" w:color="auto" w:sz="4" w:space="0"/>
              <w:bottom w:val="single" w:color="auto" w:sz="4" w:space="0"/>
              <w:right w:val="single" w:color="auto" w:sz="4" w:space="0"/>
            </w:tcBorders>
            <w:vAlign w:val="center"/>
          </w:tcPr>
          <w:p w14:paraId="746AE309">
            <w:pPr>
              <w:rPr>
                <w:rFonts w:ascii="宋体" w:hAnsi="宋体" w:eastAsia="宋体" w:cs="仿宋"/>
                <w:szCs w:val="21"/>
              </w:rPr>
            </w:pPr>
            <w:r>
              <w:rPr>
                <w:rFonts w:hint="eastAsia" w:ascii="宋体" w:hAnsi="宋体" w:eastAsia="宋体" w:cs="仿宋"/>
                <w:szCs w:val="21"/>
              </w:rPr>
              <w:t>产品应具备并提供国家密码管理局商用密码检测中心出具的含有“访问控制系统”或“SDP”字样，符合GM/T 0024标准或GM/T 0025标准要求，以及符合GM/T 0028《密码模块安全技术要求》第二级</w:t>
            </w:r>
            <w:r>
              <w:rPr>
                <w:rFonts w:hint="eastAsia" w:ascii="宋体" w:hAnsi="宋体" w:eastAsia="宋体" w:cs="仿宋"/>
                <w:szCs w:val="21"/>
                <w:lang w:val="en-US" w:eastAsia="zh-CN"/>
              </w:rPr>
              <w:t>或以上</w:t>
            </w:r>
            <w:r>
              <w:rPr>
                <w:rFonts w:hint="eastAsia" w:ascii="宋体" w:hAnsi="宋体" w:eastAsia="宋体" w:cs="仿宋"/>
                <w:szCs w:val="21"/>
              </w:rPr>
              <w:t>的《商用密码产品认证证书》。</w:t>
            </w:r>
          </w:p>
        </w:tc>
      </w:tr>
      <w:tr w14:paraId="1D96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1A17CD23">
            <w:pPr>
              <w:jc w:val="center"/>
              <w:rPr>
                <w:rFonts w:ascii="宋体" w:hAnsi="宋体" w:eastAsia="宋体" w:cs="仿宋"/>
                <w:szCs w:val="21"/>
              </w:rPr>
            </w:pPr>
            <w:r>
              <w:rPr>
                <w:rFonts w:hint="eastAsia" w:ascii="宋体" w:hAnsi="宋体" w:eastAsia="宋体" w:cs="仿宋"/>
                <w:szCs w:val="21"/>
              </w:rPr>
              <w:t>21</w:t>
            </w:r>
          </w:p>
        </w:tc>
        <w:tc>
          <w:tcPr>
            <w:tcW w:w="995" w:type="pct"/>
            <w:tcBorders>
              <w:top w:val="single" w:color="auto" w:sz="4" w:space="0"/>
              <w:left w:val="single" w:color="auto" w:sz="4" w:space="0"/>
              <w:bottom w:val="single" w:color="auto" w:sz="4" w:space="0"/>
              <w:right w:val="single" w:color="auto" w:sz="4" w:space="0"/>
            </w:tcBorders>
            <w:vAlign w:val="center"/>
          </w:tcPr>
          <w:p w14:paraId="250AB4DC">
            <w:pPr>
              <w:jc w:val="center"/>
              <w:rPr>
                <w:rFonts w:ascii="宋体" w:hAnsi="宋体" w:eastAsia="宋体" w:cs="仿宋"/>
                <w:szCs w:val="21"/>
              </w:rPr>
            </w:pPr>
            <w:r>
              <w:rPr>
                <w:rFonts w:hint="eastAsia" w:ascii="宋体" w:hAnsi="宋体" w:eastAsia="宋体" w:cs="仿宋"/>
                <w:szCs w:val="21"/>
              </w:rPr>
              <w:t>产品资质</w:t>
            </w:r>
          </w:p>
        </w:tc>
        <w:tc>
          <w:tcPr>
            <w:tcW w:w="3638" w:type="pct"/>
            <w:tcBorders>
              <w:top w:val="single" w:color="auto" w:sz="4" w:space="0"/>
              <w:left w:val="single" w:color="auto" w:sz="4" w:space="0"/>
              <w:bottom w:val="single" w:color="auto" w:sz="4" w:space="0"/>
              <w:right w:val="single" w:color="auto" w:sz="4" w:space="0"/>
            </w:tcBorders>
            <w:vAlign w:val="center"/>
          </w:tcPr>
          <w:p w14:paraId="2DFACEC3">
            <w:pPr>
              <w:rPr>
                <w:rFonts w:ascii="宋体" w:hAnsi="宋体" w:eastAsia="宋体" w:cs="仿宋"/>
                <w:szCs w:val="21"/>
              </w:rPr>
            </w:pPr>
            <w:r>
              <w:rPr>
                <w:rFonts w:hint="eastAsia" w:ascii="宋体" w:hAnsi="宋体" w:eastAsia="宋体" w:cs="仿宋"/>
                <w:szCs w:val="21"/>
              </w:rPr>
              <w:t>具备并提供国家网络与信息系统安全产品质量监督检验中心（公安部第三研究所）出具的《信息技术产品安全测试证书》</w:t>
            </w:r>
          </w:p>
        </w:tc>
      </w:tr>
    </w:tbl>
    <w:p w14:paraId="3FBF3ED7">
      <w:pPr>
        <w:rPr>
          <w:sz w:val="28"/>
          <w:szCs w:val="18"/>
        </w:rPr>
      </w:pPr>
    </w:p>
    <w:p w14:paraId="179A90A5">
      <w:pPr>
        <w:pStyle w:val="2"/>
        <w:numPr>
          <w:ilvl w:val="0"/>
          <w:numId w:val="0"/>
        </w:numPr>
        <w:spacing w:before="20" w:after="20" w:line="360" w:lineRule="auto"/>
        <w:ind w:left="425" w:hanging="425"/>
        <w:rPr>
          <w:rFonts w:ascii="宋体" w:hAnsi="宋体" w:eastAsia="宋体"/>
          <w:sz w:val="28"/>
          <w:szCs w:val="18"/>
        </w:rPr>
      </w:pPr>
      <w:r>
        <w:rPr>
          <w:rFonts w:hint="eastAsia" w:ascii="宋体" w:hAnsi="宋体" w:eastAsia="宋体"/>
          <w:sz w:val="28"/>
          <w:szCs w:val="18"/>
        </w:rPr>
        <w:t>2、零信任代理网关</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1696"/>
        <w:gridCol w:w="6196"/>
      </w:tblGrid>
      <w:tr w14:paraId="2ED9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0768A8C8">
            <w:pPr>
              <w:jc w:val="center"/>
              <w:rPr>
                <w:rFonts w:ascii="宋体" w:hAnsi="宋体" w:eastAsia="宋体" w:cs="仿宋"/>
                <w:b/>
                <w:bCs/>
                <w:szCs w:val="21"/>
              </w:rPr>
            </w:pPr>
            <w:r>
              <w:rPr>
                <w:rFonts w:hint="eastAsia" w:ascii="宋体" w:hAnsi="宋体" w:eastAsia="宋体" w:cs="仿宋"/>
                <w:b/>
                <w:bCs/>
                <w:szCs w:val="21"/>
              </w:rPr>
              <w:t>序号</w:t>
            </w:r>
          </w:p>
        </w:tc>
        <w:tc>
          <w:tcPr>
            <w:tcW w:w="995" w:type="pct"/>
            <w:tcBorders>
              <w:top w:val="single" w:color="auto" w:sz="4" w:space="0"/>
              <w:left w:val="single" w:color="auto" w:sz="4" w:space="0"/>
              <w:bottom w:val="single" w:color="auto" w:sz="4" w:space="0"/>
              <w:right w:val="single" w:color="auto" w:sz="4" w:space="0"/>
            </w:tcBorders>
            <w:vAlign w:val="center"/>
          </w:tcPr>
          <w:p w14:paraId="090A0506">
            <w:pPr>
              <w:jc w:val="center"/>
              <w:rPr>
                <w:rFonts w:ascii="宋体" w:hAnsi="宋体" w:eastAsia="宋体" w:cs="仿宋"/>
                <w:b/>
                <w:bCs/>
                <w:szCs w:val="21"/>
              </w:rPr>
            </w:pPr>
            <w:r>
              <w:rPr>
                <w:rFonts w:hint="eastAsia" w:ascii="宋体" w:hAnsi="宋体" w:eastAsia="宋体" w:cs="仿宋"/>
                <w:b/>
                <w:bCs/>
                <w:szCs w:val="21"/>
              </w:rPr>
              <w:t>指标项</w:t>
            </w:r>
          </w:p>
        </w:tc>
        <w:tc>
          <w:tcPr>
            <w:tcW w:w="3636" w:type="pct"/>
            <w:tcBorders>
              <w:top w:val="single" w:color="auto" w:sz="4" w:space="0"/>
              <w:left w:val="single" w:color="auto" w:sz="4" w:space="0"/>
              <w:bottom w:val="single" w:color="auto" w:sz="4" w:space="0"/>
              <w:right w:val="single" w:color="auto" w:sz="4" w:space="0"/>
            </w:tcBorders>
            <w:vAlign w:val="center"/>
          </w:tcPr>
          <w:p w14:paraId="284166D2">
            <w:pPr>
              <w:jc w:val="center"/>
              <w:rPr>
                <w:rFonts w:ascii="宋体" w:hAnsi="宋体" w:eastAsia="宋体" w:cs="仿宋"/>
                <w:b/>
                <w:bCs/>
                <w:szCs w:val="21"/>
              </w:rPr>
            </w:pPr>
            <w:r>
              <w:rPr>
                <w:rFonts w:hint="eastAsia" w:ascii="宋体" w:hAnsi="宋体" w:eastAsia="宋体" w:cs="仿宋"/>
                <w:b/>
                <w:bCs/>
                <w:szCs w:val="21"/>
              </w:rPr>
              <w:t>指标要求</w:t>
            </w:r>
          </w:p>
        </w:tc>
      </w:tr>
      <w:tr w14:paraId="4720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520F6800">
            <w:pPr>
              <w:jc w:val="center"/>
              <w:rPr>
                <w:rFonts w:ascii="宋体" w:hAnsi="宋体" w:eastAsia="宋体" w:cs="仿宋"/>
                <w:szCs w:val="21"/>
              </w:rPr>
            </w:pPr>
            <w:r>
              <w:rPr>
                <w:rFonts w:hint="eastAsia" w:ascii="宋体" w:hAnsi="宋体" w:eastAsia="宋体" w:cs="仿宋"/>
                <w:szCs w:val="21"/>
              </w:rPr>
              <w:t>1</w:t>
            </w:r>
          </w:p>
        </w:tc>
        <w:tc>
          <w:tcPr>
            <w:tcW w:w="995" w:type="pct"/>
            <w:tcBorders>
              <w:top w:val="single" w:color="auto" w:sz="4" w:space="0"/>
              <w:left w:val="single" w:color="auto" w:sz="4" w:space="0"/>
              <w:bottom w:val="single" w:color="auto" w:sz="4" w:space="0"/>
              <w:right w:val="single" w:color="auto" w:sz="4" w:space="0"/>
            </w:tcBorders>
            <w:vAlign w:val="center"/>
          </w:tcPr>
          <w:p w14:paraId="680B4F8C">
            <w:pPr>
              <w:jc w:val="center"/>
              <w:rPr>
                <w:rFonts w:ascii="宋体" w:hAnsi="宋体" w:eastAsia="宋体" w:cs="仿宋"/>
                <w:szCs w:val="21"/>
              </w:rPr>
            </w:pPr>
            <w:r>
              <w:rPr>
                <w:rFonts w:hint="eastAsia" w:ascii="宋体" w:hAnsi="宋体" w:eastAsia="宋体" w:cs="仿宋"/>
                <w:szCs w:val="21"/>
              </w:rPr>
              <w:t>硬件要求</w:t>
            </w:r>
          </w:p>
        </w:tc>
        <w:tc>
          <w:tcPr>
            <w:tcW w:w="3636" w:type="pct"/>
            <w:tcBorders>
              <w:top w:val="single" w:color="auto" w:sz="4" w:space="0"/>
              <w:left w:val="single" w:color="auto" w:sz="4" w:space="0"/>
              <w:bottom w:val="single" w:color="auto" w:sz="4" w:space="0"/>
              <w:right w:val="single" w:color="auto" w:sz="4" w:space="0"/>
            </w:tcBorders>
            <w:vAlign w:val="center"/>
          </w:tcPr>
          <w:p w14:paraId="3ECE5A68">
            <w:pPr>
              <w:rPr>
                <w:rFonts w:ascii="宋体" w:hAnsi="宋体" w:eastAsia="宋体" w:cs="仿宋"/>
                <w:szCs w:val="21"/>
              </w:rPr>
            </w:pPr>
            <w:r>
              <w:rPr>
                <w:rFonts w:hint="eastAsia" w:ascii="宋体" w:hAnsi="宋体" w:eastAsia="宋体" w:cs="仿宋"/>
                <w:szCs w:val="21"/>
              </w:rPr>
              <w:t>提供不少于6个1000M以太网电口和4个千兆光口，内存≥16G，硬盘容量≥128G SSD ，配置国产处理器。要求设备内置符合中国商用密码标准的加密卡，支持国家密码管理局颁布的SM1、SM2、SM3、SM4密码算法及其协议，符合国家商用密码标准。</w:t>
            </w:r>
          </w:p>
        </w:tc>
      </w:tr>
      <w:tr w14:paraId="2DA9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0E316DFA">
            <w:pPr>
              <w:jc w:val="center"/>
              <w:rPr>
                <w:rFonts w:ascii="宋体" w:hAnsi="宋体" w:eastAsia="宋体" w:cs="仿宋"/>
                <w:szCs w:val="21"/>
              </w:rPr>
            </w:pPr>
            <w:r>
              <w:rPr>
                <w:rFonts w:hint="eastAsia" w:ascii="宋体" w:hAnsi="宋体" w:eastAsia="宋体" w:cs="仿宋"/>
                <w:szCs w:val="21"/>
              </w:rPr>
              <w:t>2</w:t>
            </w:r>
          </w:p>
        </w:tc>
        <w:tc>
          <w:tcPr>
            <w:tcW w:w="995" w:type="pct"/>
            <w:tcBorders>
              <w:top w:val="single" w:color="auto" w:sz="4" w:space="0"/>
              <w:left w:val="single" w:color="auto" w:sz="4" w:space="0"/>
              <w:bottom w:val="single" w:color="auto" w:sz="4" w:space="0"/>
              <w:right w:val="single" w:color="auto" w:sz="4" w:space="0"/>
            </w:tcBorders>
            <w:vAlign w:val="center"/>
          </w:tcPr>
          <w:p w14:paraId="0F6AFB80">
            <w:pPr>
              <w:jc w:val="center"/>
              <w:rPr>
                <w:rFonts w:ascii="宋体" w:hAnsi="宋体" w:eastAsia="宋体" w:cs="仿宋"/>
                <w:szCs w:val="21"/>
              </w:rPr>
            </w:pPr>
            <w:r>
              <w:rPr>
                <w:rFonts w:hint="eastAsia" w:ascii="宋体" w:hAnsi="宋体" w:eastAsia="宋体" w:cs="仿宋"/>
                <w:szCs w:val="21"/>
              </w:rPr>
              <w:t>性能要求</w:t>
            </w:r>
          </w:p>
        </w:tc>
        <w:tc>
          <w:tcPr>
            <w:tcW w:w="3636" w:type="pct"/>
            <w:tcBorders>
              <w:top w:val="single" w:color="auto" w:sz="4" w:space="0"/>
              <w:left w:val="single" w:color="auto" w:sz="4" w:space="0"/>
              <w:bottom w:val="single" w:color="auto" w:sz="4" w:space="0"/>
              <w:right w:val="single" w:color="auto" w:sz="4" w:space="0"/>
            </w:tcBorders>
            <w:vAlign w:val="center"/>
          </w:tcPr>
          <w:p w14:paraId="3EAA6DC5">
            <w:pPr>
              <w:rPr>
                <w:rFonts w:ascii="宋体" w:hAnsi="宋体" w:eastAsia="宋体" w:cs="仿宋"/>
                <w:szCs w:val="21"/>
              </w:rPr>
            </w:pPr>
            <w:r>
              <w:rPr>
                <w:rFonts w:hint="eastAsia" w:ascii="宋体" w:hAnsi="宋体" w:eastAsia="宋体" w:cs="仿宋"/>
                <w:szCs w:val="21"/>
              </w:rPr>
              <w:t>最大加密流量≥</w:t>
            </w:r>
            <w:r>
              <w:rPr>
                <w:rFonts w:ascii="宋体" w:hAnsi="宋体" w:eastAsia="宋体" w:cs="仿宋"/>
                <w:szCs w:val="21"/>
              </w:rPr>
              <w:t>300</w:t>
            </w:r>
            <w:r>
              <w:rPr>
                <w:rFonts w:hint="eastAsia" w:ascii="宋体" w:hAnsi="宋体" w:eastAsia="宋体" w:cs="仿宋"/>
                <w:szCs w:val="21"/>
              </w:rPr>
              <w:t>Mbps，最大并发用户数≥</w:t>
            </w:r>
            <w:r>
              <w:rPr>
                <w:rFonts w:ascii="宋体" w:hAnsi="宋体" w:eastAsia="宋体" w:cs="仿宋"/>
                <w:szCs w:val="21"/>
              </w:rPr>
              <w:t>3000</w:t>
            </w:r>
            <w:r>
              <w:rPr>
                <w:rFonts w:hint="eastAsia" w:ascii="宋体" w:hAnsi="宋体" w:eastAsia="宋体" w:cs="仿宋"/>
                <w:szCs w:val="21"/>
              </w:rPr>
              <w:t>，最大https并发连接数≥</w:t>
            </w:r>
            <w:r>
              <w:rPr>
                <w:rFonts w:ascii="宋体" w:hAnsi="宋体" w:eastAsia="宋体" w:cs="仿宋"/>
                <w:szCs w:val="21"/>
              </w:rPr>
              <w:t>6</w:t>
            </w:r>
            <w:r>
              <w:rPr>
                <w:rFonts w:hint="eastAsia" w:ascii="宋体" w:hAnsi="宋体" w:eastAsia="宋体" w:cs="仿宋"/>
                <w:szCs w:val="21"/>
              </w:rPr>
              <w:t>万。</w:t>
            </w:r>
          </w:p>
        </w:tc>
      </w:tr>
      <w:tr w14:paraId="508E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65446207">
            <w:pPr>
              <w:jc w:val="center"/>
              <w:rPr>
                <w:rFonts w:ascii="宋体" w:hAnsi="宋体" w:eastAsia="宋体" w:cs="仿宋"/>
                <w:szCs w:val="21"/>
              </w:rPr>
            </w:pPr>
            <w:r>
              <w:rPr>
                <w:rFonts w:hint="eastAsia" w:ascii="宋体" w:hAnsi="宋体" w:eastAsia="宋体" w:cs="仿宋"/>
                <w:szCs w:val="21"/>
              </w:rPr>
              <w:t>3</w:t>
            </w:r>
          </w:p>
        </w:tc>
        <w:tc>
          <w:tcPr>
            <w:tcW w:w="995" w:type="pct"/>
            <w:tcBorders>
              <w:top w:val="single" w:color="auto" w:sz="4" w:space="0"/>
              <w:left w:val="single" w:color="auto" w:sz="4" w:space="0"/>
              <w:bottom w:val="single" w:color="auto" w:sz="4" w:space="0"/>
              <w:right w:val="single" w:color="auto" w:sz="4" w:space="0"/>
            </w:tcBorders>
            <w:vAlign w:val="center"/>
          </w:tcPr>
          <w:p w14:paraId="6965D3E2">
            <w:pPr>
              <w:jc w:val="center"/>
              <w:rPr>
                <w:rFonts w:ascii="宋体" w:hAnsi="宋体" w:eastAsia="宋体" w:cs="仿宋"/>
                <w:szCs w:val="21"/>
              </w:rPr>
            </w:pPr>
            <w:r>
              <w:rPr>
                <w:rFonts w:hint="eastAsia" w:ascii="宋体" w:hAnsi="宋体" w:eastAsia="宋体" w:cs="仿宋"/>
                <w:szCs w:val="21"/>
              </w:rPr>
              <w:t>主备模式</w:t>
            </w:r>
          </w:p>
        </w:tc>
        <w:tc>
          <w:tcPr>
            <w:tcW w:w="3636" w:type="pct"/>
            <w:tcBorders>
              <w:top w:val="single" w:color="auto" w:sz="4" w:space="0"/>
              <w:left w:val="single" w:color="auto" w:sz="4" w:space="0"/>
              <w:bottom w:val="single" w:color="auto" w:sz="4" w:space="0"/>
              <w:right w:val="single" w:color="auto" w:sz="4" w:space="0"/>
            </w:tcBorders>
            <w:vAlign w:val="center"/>
          </w:tcPr>
          <w:p w14:paraId="5AD56600">
            <w:pPr>
              <w:rPr>
                <w:rFonts w:ascii="宋体" w:hAnsi="宋体" w:eastAsia="宋体" w:cs="仿宋"/>
                <w:szCs w:val="21"/>
              </w:rPr>
            </w:pPr>
            <w:r>
              <w:rPr>
                <w:rFonts w:hint="eastAsia" w:ascii="宋体" w:hAnsi="宋体" w:eastAsia="宋体" w:cs="仿宋"/>
                <w:szCs w:val="21"/>
              </w:rPr>
              <w:t>支持双机主备部署。所有业务均由主控承载，备节点需实时同步状态和配置，无需承载业务。当主控发生故障时，支持业务切换到备设备，以实现灾备。</w:t>
            </w:r>
          </w:p>
        </w:tc>
      </w:tr>
      <w:tr w14:paraId="6118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31358DDB">
            <w:pPr>
              <w:jc w:val="center"/>
              <w:rPr>
                <w:rFonts w:ascii="宋体" w:hAnsi="宋体" w:eastAsia="宋体" w:cs="仿宋"/>
                <w:szCs w:val="21"/>
              </w:rPr>
            </w:pPr>
            <w:r>
              <w:rPr>
                <w:rFonts w:hint="eastAsia" w:ascii="宋体" w:hAnsi="宋体" w:eastAsia="宋体" w:cs="仿宋"/>
                <w:szCs w:val="21"/>
              </w:rPr>
              <w:t>4</w:t>
            </w:r>
          </w:p>
        </w:tc>
        <w:tc>
          <w:tcPr>
            <w:tcW w:w="995" w:type="pct"/>
            <w:tcBorders>
              <w:top w:val="single" w:color="auto" w:sz="4" w:space="0"/>
              <w:left w:val="single" w:color="auto" w:sz="4" w:space="0"/>
              <w:bottom w:val="single" w:color="auto" w:sz="4" w:space="0"/>
              <w:right w:val="single" w:color="auto" w:sz="4" w:space="0"/>
            </w:tcBorders>
            <w:vAlign w:val="center"/>
          </w:tcPr>
          <w:p w14:paraId="026A9F70">
            <w:pPr>
              <w:jc w:val="center"/>
              <w:rPr>
                <w:rFonts w:ascii="宋体" w:hAnsi="宋体" w:eastAsia="宋体" w:cs="仿宋"/>
                <w:szCs w:val="21"/>
              </w:rPr>
            </w:pPr>
            <w:r>
              <w:rPr>
                <w:rFonts w:hint="eastAsia" w:ascii="宋体" w:hAnsi="宋体" w:eastAsia="宋体" w:cs="仿宋"/>
                <w:szCs w:val="21"/>
              </w:rPr>
              <w:t>系统运维</w:t>
            </w:r>
          </w:p>
        </w:tc>
        <w:tc>
          <w:tcPr>
            <w:tcW w:w="3636" w:type="pct"/>
            <w:tcBorders>
              <w:top w:val="single" w:color="auto" w:sz="4" w:space="0"/>
              <w:left w:val="single" w:color="auto" w:sz="4" w:space="0"/>
              <w:bottom w:val="single" w:color="auto" w:sz="4" w:space="0"/>
              <w:right w:val="single" w:color="auto" w:sz="4" w:space="0"/>
            </w:tcBorders>
            <w:vAlign w:val="center"/>
          </w:tcPr>
          <w:p w14:paraId="6747AB86">
            <w:pPr>
              <w:rPr>
                <w:rFonts w:ascii="宋体" w:hAnsi="宋体" w:eastAsia="宋体" w:cs="仿宋"/>
                <w:szCs w:val="21"/>
              </w:rPr>
            </w:pPr>
            <w:r>
              <w:rPr>
                <w:rFonts w:hint="eastAsia" w:ascii="宋体" w:hAnsi="宋体" w:eastAsia="宋体" w:cs="仿宋"/>
                <w:szCs w:val="21"/>
              </w:rPr>
              <w:t>支持提供SNMP服务来对接运维监控设备，支持独立配置SNMP外发服务器地址。</w:t>
            </w:r>
          </w:p>
        </w:tc>
      </w:tr>
      <w:tr w14:paraId="4585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4D7BB451">
            <w:pPr>
              <w:jc w:val="center"/>
              <w:rPr>
                <w:rFonts w:ascii="宋体" w:hAnsi="宋体" w:eastAsia="宋体" w:cs="仿宋"/>
                <w:szCs w:val="21"/>
              </w:rPr>
            </w:pPr>
            <w:r>
              <w:rPr>
                <w:rFonts w:hint="eastAsia" w:ascii="宋体" w:hAnsi="宋体" w:eastAsia="宋体" w:cs="仿宋"/>
                <w:szCs w:val="21"/>
              </w:rPr>
              <w:t>5</w:t>
            </w:r>
          </w:p>
        </w:tc>
        <w:tc>
          <w:tcPr>
            <w:tcW w:w="995" w:type="pct"/>
            <w:tcBorders>
              <w:top w:val="single" w:color="auto" w:sz="4" w:space="0"/>
              <w:left w:val="single" w:color="auto" w:sz="4" w:space="0"/>
              <w:bottom w:val="single" w:color="auto" w:sz="4" w:space="0"/>
              <w:right w:val="single" w:color="auto" w:sz="4" w:space="0"/>
            </w:tcBorders>
            <w:vAlign w:val="center"/>
          </w:tcPr>
          <w:p w14:paraId="1B3ACE9A">
            <w:pPr>
              <w:jc w:val="center"/>
              <w:rPr>
                <w:rFonts w:ascii="宋体" w:hAnsi="宋体" w:eastAsia="宋体" w:cs="仿宋"/>
                <w:szCs w:val="21"/>
              </w:rPr>
            </w:pPr>
            <w:r>
              <w:rPr>
                <w:rFonts w:hint="eastAsia" w:ascii="宋体" w:hAnsi="宋体" w:eastAsia="宋体" w:cs="仿宋"/>
                <w:szCs w:val="21"/>
              </w:rPr>
              <w:t>流量镜像</w:t>
            </w:r>
          </w:p>
        </w:tc>
        <w:tc>
          <w:tcPr>
            <w:tcW w:w="3636" w:type="pct"/>
            <w:tcBorders>
              <w:top w:val="single" w:color="auto" w:sz="4" w:space="0"/>
              <w:left w:val="single" w:color="auto" w:sz="4" w:space="0"/>
              <w:bottom w:val="single" w:color="auto" w:sz="4" w:space="0"/>
              <w:right w:val="single" w:color="auto" w:sz="4" w:space="0"/>
            </w:tcBorders>
            <w:vAlign w:val="center"/>
          </w:tcPr>
          <w:p w14:paraId="56965478">
            <w:pPr>
              <w:rPr>
                <w:rFonts w:ascii="宋体" w:hAnsi="宋体" w:eastAsia="宋体" w:cs="仿宋"/>
                <w:szCs w:val="21"/>
              </w:rPr>
            </w:pPr>
            <w:r>
              <w:rPr>
                <w:rFonts w:hint="eastAsia" w:ascii="宋体" w:hAnsi="宋体" w:eastAsia="宋体" w:cs="仿宋"/>
                <w:szCs w:val="21"/>
              </w:rPr>
              <w:t>支持将经过零信任系统的https访问流量解密后镜像给医院现有的态势感知设备，以完善系统的用户行为审计溯源能力，提升设备自身的安全性，提供</w:t>
            </w:r>
            <w:r>
              <w:rPr>
                <w:rFonts w:hint="eastAsia" w:ascii="宋体" w:hAnsi="宋体" w:eastAsia="宋体" w:cs="仿宋"/>
                <w:szCs w:val="21"/>
                <w:lang w:eastAsia="zh-CN"/>
              </w:rPr>
              <w:t>产品功能页面截图</w:t>
            </w:r>
            <w:r>
              <w:rPr>
                <w:rFonts w:hint="eastAsia" w:ascii="宋体" w:hAnsi="宋体" w:eastAsia="宋体" w:cs="仿宋"/>
                <w:szCs w:val="21"/>
              </w:rPr>
              <w:t>证明。</w:t>
            </w:r>
          </w:p>
        </w:tc>
      </w:tr>
      <w:tr w14:paraId="3510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345C579C">
            <w:pPr>
              <w:jc w:val="center"/>
              <w:rPr>
                <w:rFonts w:ascii="宋体" w:hAnsi="宋体" w:eastAsia="宋体" w:cs="仿宋"/>
                <w:szCs w:val="21"/>
              </w:rPr>
            </w:pPr>
            <w:r>
              <w:rPr>
                <w:rFonts w:hint="eastAsia" w:ascii="宋体" w:hAnsi="宋体" w:eastAsia="宋体" w:cs="仿宋"/>
                <w:szCs w:val="21"/>
              </w:rPr>
              <w:t>6</w:t>
            </w:r>
          </w:p>
        </w:tc>
        <w:tc>
          <w:tcPr>
            <w:tcW w:w="995" w:type="pct"/>
            <w:tcBorders>
              <w:top w:val="single" w:color="auto" w:sz="4" w:space="0"/>
              <w:left w:val="single" w:color="auto" w:sz="4" w:space="0"/>
              <w:bottom w:val="single" w:color="auto" w:sz="4" w:space="0"/>
              <w:right w:val="single" w:color="auto" w:sz="4" w:space="0"/>
            </w:tcBorders>
            <w:vAlign w:val="center"/>
          </w:tcPr>
          <w:p w14:paraId="7CDF40FB">
            <w:pPr>
              <w:jc w:val="center"/>
              <w:rPr>
                <w:rFonts w:ascii="宋体" w:hAnsi="宋体" w:eastAsia="宋体" w:cs="仿宋"/>
                <w:szCs w:val="21"/>
              </w:rPr>
            </w:pPr>
            <w:r>
              <w:rPr>
                <w:rFonts w:hint="eastAsia" w:ascii="宋体" w:hAnsi="宋体" w:eastAsia="宋体" w:cs="仿宋"/>
                <w:szCs w:val="21"/>
              </w:rPr>
              <w:t>API防护检查</w:t>
            </w:r>
          </w:p>
        </w:tc>
        <w:tc>
          <w:tcPr>
            <w:tcW w:w="3636" w:type="pct"/>
            <w:tcBorders>
              <w:top w:val="single" w:color="auto" w:sz="4" w:space="0"/>
              <w:left w:val="single" w:color="auto" w:sz="4" w:space="0"/>
              <w:bottom w:val="single" w:color="auto" w:sz="4" w:space="0"/>
              <w:right w:val="single" w:color="auto" w:sz="4" w:space="0"/>
            </w:tcBorders>
            <w:vAlign w:val="center"/>
          </w:tcPr>
          <w:p w14:paraId="37A0ED29">
            <w:pPr>
              <w:rPr>
                <w:rFonts w:ascii="宋体" w:hAnsi="宋体" w:eastAsia="宋体" w:cs="仿宋"/>
                <w:szCs w:val="21"/>
              </w:rPr>
            </w:pPr>
            <w:r>
              <w:rPr>
                <w:rFonts w:hint="eastAsia" w:ascii="宋体" w:hAnsi="宋体" w:eastAsia="宋体" w:cs="仿宋"/>
                <w:szCs w:val="21"/>
              </w:rPr>
              <w:t>支持API接口爆破检查，支持API接口越权调用，支持API接口扫描，支持API Web Shell攻击。</w:t>
            </w:r>
          </w:p>
        </w:tc>
      </w:tr>
      <w:tr w14:paraId="0B69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1DF46ED2">
            <w:pPr>
              <w:jc w:val="center"/>
              <w:rPr>
                <w:rFonts w:ascii="宋体" w:hAnsi="宋体" w:eastAsia="宋体" w:cs="仿宋"/>
                <w:szCs w:val="21"/>
              </w:rPr>
            </w:pPr>
            <w:r>
              <w:rPr>
                <w:rFonts w:hint="eastAsia" w:ascii="宋体" w:hAnsi="宋体" w:eastAsia="宋体" w:cs="仿宋"/>
                <w:szCs w:val="21"/>
              </w:rPr>
              <w:t>7</w:t>
            </w:r>
          </w:p>
        </w:tc>
        <w:tc>
          <w:tcPr>
            <w:tcW w:w="995" w:type="pct"/>
            <w:tcBorders>
              <w:top w:val="single" w:color="auto" w:sz="4" w:space="0"/>
              <w:left w:val="single" w:color="auto" w:sz="4" w:space="0"/>
              <w:bottom w:val="single" w:color="auto" w:sz="4" w:space="0"/>
              <w:right w:val="single" w:color="auto" w:sz="4" w:space="0"/>
            </w:tcBorders>
            <w:vAlign w:val="center"/>
          </w:tcPr>
          <w:p w14:paraId="276A7ECF">
            <w:pPr>
              <w:jc w:val="center"/>
              <w:rPr>
                <w:rFonts w:ascii="宋体" w:hAnsi="宋体" w:eastAsia="宋体" w:cs="仿宋"/>
                <w:szCs w:val="21"/>
              </w:rPr>
            </w:pPr>
            <w:r>
              <w:rPr>
                <w:rFonts w:hint="eastAsia" w:ascii="宋体" w:hAnsi="宋体" w:eastAsia="宋体" w:cs="仿宋"/>
                <w:szCs w:val="21"/>
              </w:rPr>
              <w:t>业务告警</w:t>
            </w:r>
          </w:p>
        </w:tc>
        <w:tc>
          <w:tcPr>
            <w:tcW w:w="3636" w:type="pct"/>
            <w:tcBorders>
              <w:top w:val="single" w:color="auto" w:sz="4" w:space="0"/>
              <w:left w:val="single" w:color="auto" w:sz="4" w:space="0"/>
              <w:bottom w:val="single" w:color="auto" w:sz="4" w:space="0"/>
              <w:right w:val="single" w:color="auto" w:sz="4" w:space="0"/>
            </w:tcBorders>
            <w:vAlign w:val="center"/>
          </w:tcPr>
          <w:p w14:paraId="636C27A3">
            <w:pPr>
              <w:rPr>
                <w:rFonts w:ascii="宋体" w:hAnsi="宋体" w:eastAsia="宋体" w:cs="仿宋"/>
                <w:szCs w:val="21"/>
              </w:rPr>
            </w:pPr>
            <w:r>
              <w:rPr>
                <w:rFonts w:hint="eastAsia" w:ascii="宋体" w:hAnsi="宋体" w:eastAsia="宋体" w:cs="仿宋"/>
                <w:szCs w:val="21"/>
              </w:rPr>
              <w:t>支持告警信息设置，告警事件应包含但不限于： CPU使用率超过80%、内存使用率超过80%、磁盘占用率超过80%、本机网卡异常、序列号即将到期、控制中心连通异常、集群故障等。</w:t>
            </w:r>
          </w:p>
        </w:tc>
      </w:tr>
      <w:tr w14:paraId="225F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1DA9134C">
            <w:pPr>
              <w:jc w:val="center"/>
              <w:rPr>
                <w:rFonts w:ascii="宋体" w:hAnsi="宋体" w:eastAsia="宋体" w:cs="仿宋"/>
                <w:szCs w:val="21"/>
              </w:rPr>
            </w:pPr>
            <w:r>
              <w:rPr>
                <w:rFonts w:hint="eastAsia" w:ascii="宋体" w:hAnsi="宋体" w:eastAsia="宋体" w:cs="仿宋"/>
                <w:szCs w:val="21"/>
              </w:rPr>
              <w:t>8</w:t>
            </w:r>
          </w:p>
        </w:tc>
        <w:tc>
          <w:tcPr>
            <w:tcW w:w="995" w:type="pct"/>
            <w:tcBorders>
              <w:top w:val="single" w:color="auto" w:sz="4" w:space="0"/>
              <w:left w:val="single" w:color="auto" w:sz="4" w:space="0"/>
              <w:bottom w:val="single" w:color="auto" w:sz="4" w:space="0"/>
              <w:right w:val="single" w:color="auto" w:sz="4" w:space="0"/>
            </w:tcBorders>
            <w:vAlign w:val="center"/>
          </w:tcPr>
          <w:p w14:paraId="1EA89451">
            <w:pPr>
              <w:jc w:val="center"/>
              <w:rPr>
                <w:rFonts w:ascii="宋体" w:hAnsi="宋体" w:eastAsia="宋体" w:cs="仿宋"/>
                <w:szCs w:val="21"/>
              </w:rPr>
            </w:pPr>
            <w:r>
              <w:rPr>
                <w:rFonts w:hint="eastAsia" w:ascii="宋体" w:hAnsi="宋体" w:eastAsia="宋体" w:cs="仿宋"/>
                <w:szCs w:val="21"/>
              </w:rPr>
              <w:t>虚拟IP</w:t>
            </w:r>
          </w:p>
        </w:tc>
        <w:tc>
          <w:tcPr>
            <w:tcW w:w="3636" w:type="pct"/>
            <w:tcBorders>
              <w:top w:val="single" w:color="auto" w:sz="4" w:space="0"/>
              <w:left w:val="single" w:color="auto" w:sz="4" w:space="0"/>
              <w:bottom w:val="single" w:color="auto" w:sz="4" w:space="0"/>
              <w:right w:val="single" w:color="auto" w:sz="4" w:space="0"/>
            </w:tcBorders>
            <w:vAlign w:val="center"/>
          </w:tcPr>
          <w:p w14:paraId="321C4D12">
            <w:pPr>
              <w:rPr>
                <w:rFonts w:ascii="宋体" w:hAnsi="宋体" w:eastAsia="宋体" w:cs="仿宋"/>
                <w:szCs w:val="21"/>
              </w:rPr>
            </w:pPr>
            <w:r>
              <w:rPr>
                <w:rFonts w:hint="eastAsia" w:ascii="宋体" w:hAnsi="宋体" w:eastAsia="宋体" w:cs="仿宋"/>
                <w:bCs/>
                <w:szCs w:val="21"/>
              </w:rPr>
              <w:t>支持以虚拟IP方式访问真实的业务系统，通过为每个终端用户分配独有的虚拟IP，便于流量分析类设备进行流量分析和溯源，</w:t>
            </w:r>
            <w:r>
              <w:rPr>
                <w:rFonts w:hint="eastAsia" w:ascii="宋体" w:hAnsi="宋体" w:eastAsia="宋体" w:cs="仿宋"/>
                <w:szCs w:val="21"/>
              </w:rPr>
              <w:t>提供</w:t>
            </w:r>
            <w:r>
              <w:rPr>
                <w:rFonts w:hint="eastAsia" w:ascii="宋体" w:hAnsi="宋体" w:eastAsia="宋体" w:cs="仿宋"/>
                <w:szCs w:val="21"/>
                <w:lang w:eastAsia="zh-CN"/>
              </w:rPr>
              <w:t>产品功能页面截图</w:t>
            </w:r>
            <w:r>
              <w:rPr>
                <w:rFonts w:hint="eastAsia" w:ascii="宋体" w:hAnsi="宋体" w:eastAsia="宋体" w:cs="仿宋"/>
                <w:szCs w:val="21"/>
              </w:rPr>
              <w:t>证明及具备CNAS或CMA标识的第三方检测报告复印件。</w:t>
            </w:r>
          </w:p>
        </w:tc>
      </w:tr>
      <w:tr w14:paraId="47C0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47496381">
            <w:pPr>
              <w:jc w:val="center"/>
              <w:rPr>
                <w:rFonts w:ascii="宋体" w:hAnsi="宋体" w:eastAsia="宋体" w:cs="仿宋"/>
                <w:szCs w:val="21"/>
              </w:rPr>
            </w:pPr>
            <w:r>
              <w:rPr>
                <w:rFonts w:hint="eastAsia" w:ascii="宋体" w:hAnsi="宋体" w:eastAsia="宋体" w:cs="仿宋"/>
                <w:szCs w:val="21"/>
              </w:rPr>
              <w:t>9</w:t>
            </w:r>
          </w:p>
        </w:tc>
        <w:tc>
          <w:tcPr>
            <w:tcW w:w="995" w:type="pct"/>
            <w:tcBorders>
              <w:top w:val="single" w:color="auto" w:sz="4" w:space="0"/>
              <w:left w:val="single" w:color="auto" w:sz="4" w:space="0"/>
              <w:bottom w:val="single" w:color="auto" w:sz="4" w:space="0"/>
              <w:right w:val="single" w:color="auto" w:sz="4" w:space="0"/>
            </w:tcBorders>
            <w:vAlign w:val="center"/>
          </w:tcPr>
          <w:p w14:paraId="4535B400">
            <w:pPr>
              <w:jc w:val="center"/>
              <w:rPr>
                <w:rFonts w:ascii="宋体" w:hAnsi="宋体" w:eastAsia="宋体" w:cs="仿宋"/>
                <w:szCs w:val="21"/>
              </w:rPr>
            </w:pPr>
            <w:r>
              <w:rPr>
                <w:rFonts w:hint="eastAsia" w:ascii="宋体" w:hAnsi="宋体" w:eastAsia="宋体" w:cs="仿宋"/>
                <w:szCs w:val="21"/>
              </w:rPr>
              <w:t>密码卡管理</w:t>
            </w:r>
          </w:p>
        </w:tc>
        <w:tc>
          <w:tcPr>
            <w:tcW w:w="3636" w:type="pct"/>
            <w:tcBorders>
              <w:top w:val="single" w:color="auto" w:sz="4" w:space="0"/>
              <w:left w:val="single" w:color="auto" w:sz="4" w:space="0"/>
              <w:bottom w:val="single" w:color="auto" w:sz="4" w:space="0"/>
              <w:right w:val="single" w:color="auto" w:sz="4" w:space="0"/>
            </w:tcBorders>
            <w:vAlign w:val="center"/>
          </w:tcPr>
          <w:p w14:paraId="37A41F58">
            <w:pPr>
              <w:rPr>
                <w:rFonts w:ascii="宋体" w:hAnsi="宋体" w:eastAsia="宋体" w:cs="仿宋"/>
                <w:bCs/>
                <w:szCs w:val="21"/>
              </w:rPr>
            </w:pPr>
            <w:r>
              <w:rPr>
                <w:rFonts w:hint="eastAsia" w:ascii="宋体" w:hAnsi="宋体" w:eastAsia="宋体" w:cs="仿宋"/>
                <w:bCs/>
                <w:szCs w:val="21"/>
              </w:rPr>
              <w:t>支持使用商密密码卡进行加密，可以在产品控制台对密码卡进行管理（包括：激活、取消激活、密钥备份/恢复、管理KEY口令）。</w:t>
            </w:r>
          </w:p>
        </w:tc>
      </w:tr>
      <w:tr w14:paraId="2F87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32E08179">
            <w:pPr>
              <w:jc w:val="center"/>
              <w:rPr>
                <w:rFonts w:ascii="宋体" w:hAnsi="宋体" w:eastAsia="宋体" w:cs="仿宋"/>
                <w:szCs w:val="21"/>
              </w:rPr>
            </w:pPr>
            <w:r>
              <w:rPr>
                <w:rFonts w:hint="eastAsia" w:ascii="宋体" w:hAnsi="宋体" w:eastAsia="宋体" w:cs="仿宋"/>
                <w:szCs w:val="21"/>
              </w:rPr>
              <w:t>10</w:t>
            </w:r>
          </w:p>
        </w:tc>
        <w:tc>
          <w:tcPr>
            <w:tcW w:w="995" w:type="pct"/>
            <w:tcBorders>
              <w:top w:val="single" w:color="auto" w:sz="4" w:space="0"/>
              <w:left w:val="single" w:color="auto" w:sz="4" w:space="0"/>
              <w:bottom w:val="single" w:color="auto" w:sz="4" w:space="0"/>
              <w:right w:val="single" w:color="auto" w:sz="4" w:space="0"/>
            </w:tcBorders>
            <w:vAlign w:val="center"/>
          </w:tcPr>
          <w:p w14:paraId="6CF2FB6C">
            <w:pPr>
              <w:jc w:val="center"/>
              <w:rPr>
                <w:rFonts w:ascii="宋体" w:hAnsi="宋体" w:eastAsia="宋体" w:cs="仿宋"/>
                <w:szCs w:val="21"/>
              </w:rPr>
            </w:pPr>
            <w:r>
              <w:rPr>
                <w:rFonts w:hint="eastAsia" w:ascii="宋体" w:hAnsi="宋体" w:eastAsia="宋体" w:cs="仿宋"/>
                <w:szCs w:val="21"/>
              </w:rPr>
              <w:t>增强认证</w:t>
            </w:r>
          </w:p>
        </w:tc>
        <w:tc>
          <w:tcPr>
            <w:tcW w:w="3636" w:type="pct"/>
            <w:tcBorders>
              <w:top w:val="single" w:color="auto" w:sz="4" w:space="0"/>
              <w:left w:val="single" w:color="auto" w:sz="4" w:space="0"/>
              <w:bottom w:val="single" w:color="auto" w:sz="4" w:space="0"/>
              <w:right w:val="single" w:color="auto" w:sz="4" w:space="0"/>
            </w:tcBorders>
            <w:vAlign w:val="center"/>
          </w:tcPr>
          <w:p w14:paraId="60FD7533">
            <w:pPr>
              <w:rPr>
                <w:rFonts w:ascii="宋体" w:hAnsi="宋体" w:eastAsia="宋体" w:cs="仿宋"/>
                <w:bCs/>
                <w:szCs w:val="21"/>
              </w:rPr>
            </w:pPr>
            <w:r>
              <w:rPr>
                <w:rFonts w:hint="eastAsia" w:ascii="宋体" w:hAnsi="宋体" w:eastAsia="宋体" w:cs="仿宋"/>
                <w:bCs/>
                <w:szCs w:val="21"/>
              </w:rPr>
              <w:t>为强化系统认证安全性，可配置在触发异常环境的条件时，用户需完成增强认证才可登录。可配置的异常环境包括但不限于：帐号首次登录、帐号在该终端首次登录、账号在该地点首次登录、账号在新地点登录、账号在非常用地点登录、闲置帐号登录、弱密码登录、异常时间登录等，提供</w:t>
            </w:r>
            <w:r>
              <w:rPr>
                <w:rFonts w:hint="eastAsia" w:ascii="宋体" w:hAnsi="宋体" w:eastAsia="宋体" w:cs="仿宋"/>
                <w:bCs/>
                <w:szCs w:val="21"/>
                <w:lang w:eastAsia="zh-CN"/>
              </w:rPr>
              <w:t>产品功能页面截图</w:t>
            </w:r>
            <w:r>
              <w:rPr>
                <w:rFonts w:hint="eastAsia" w:ascii="宋体" w:hAnsi="宋体" w:eastAsia="宋体" w:cs="仿宋"/>
                <w:bCs/>
                <w:szCs w:val="21"/>
              </w:rPr>
              <w:t>。</w:t>
            </w:r>
          </w:p>
        </w:tc>
      </w:tr>
      <w:tr w14:paraId="348C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11C1E407">
            <w:pPr>
              <w:jc w:val="center"/>
              <w:rPr>
                <w:rFonts w:ascii="宋体" w:hAnsi="宋体" w:eastAsia="宋体" w:cs="仿宋"/>
                <w:szCs w:val="21"/>
              </w:rPr>
            </w:pPr>
            <w:r>
              <w:rPr>
                <w:rFonts w:hint="eastAsia" w:ascii="宋体" w:hAnsi="宋体" w:eastAsia="宋体" w:cs="仿宋"/>
                <w:szCs w:val="21"/>
              </w:rPr>
              <w:t>11</w:t>
            </w:r>
          </w:p>
        </w:tc>
        <w:tc>
          <w:tcPr>
            <w:tcW w:w="995" w:type="pct"/>
            <w:tcBorders>
              <w:top w:val="single" w:color="auto" w:sz="4" w:space="0"/>
              <w:left w:val="single" w:color="auto" w:sz="4" w:space="0"/>
              <w:bottom w:val="single" w:color="auto" w:sz="4" w:space="0"/>
              <w:right w:val="single" w:color="auto" w:sz="4" w:space="0"/>
            </w:tcBorders>
            <w:vAlign w:val="center"/>
          </w:tcPr>
          <w:p w14:paraId="56524848">
            <w:pPr>
              <w:jc w:val="center"/>
              <w:rPr>
                <w:rFonts w:ascii="宋体" w:hAnsi="宋体" w:eastAsia="宋体" w:cs="仿宋"/>
                <w:szCs w:val="21"/>
              </w:rPr>
            </w:pPr>
            <w:r>
              <w:rPr>
                <w:rFonts w:hint="eastAsia" w:ascii="宋体" w:hAnsi="宋体" w:eastAsia="宋体" w:cs="仿宋"/>
                <w:szCs w:val="21"/>
              </w:rPr>
              <w:t>售后服务</w:t>
            </w:r>
          </w:p>
        </w:tc>
        <w:tc>
          <w:tcPr>
            <w:tcW w:w="3636" w:type="pct"/>
            <w:tcBorders>
              <w:top w:val="single" w:color="auto" w:sz="4" w:space="0"/>
              <w:left w:val="single" w:color="auto" w:sz="4" w:space="0"/>
              <w:bottom w:val="single" w:color="auto" w:sz="4" w:space="0"/>
              <w:right w:val="single" w:color="auto" w:sz="4" w:space="0"/>
            </w:tcBorders>
            <w:vAlign w:val="center"/>
          </w:tcPr>
          <w:p w14:paraId="7244E515">
            <w:pPr>
              <w:rPr>
                <w:rFonts w:ascii="宋体" w:hAnsi="宋体" w:eastAsia="宋体" w:cs="仿宋"/>
                <w:szCs w:val="21"/>
              </w:rPr>
            </w:pPr>
            <w:r>
              <w:rPr>
                <w:rFonts w:hint="eastAsia" w:ascii="宋体" w:hAnsi="宋体" w:eastAsia="宋体" w:cs="仿宋"/>
                <w:szCs w:val="21"/>
                <w:lang w:val="en-US" w:eastAsia="zh-CN"/>
              </w:rPr>
              <w:t>三年原厂保修（含配件+人力），</w:t>
            </w:r>
            <w:r>
              <w:rPr>
                <w:rFonts w:hint="eastAsia" w:ascii="宋体" w:hAnsi="宋体" w:eastAsia="宋体" w:cs="仿宋"/>
                <w:szCs w:val="21"/>
              </w:rPr>
              <w:t>提供3年产品系统升级授权。</w:t>
            </w:r>
          </w:p>
        </w:tc>
      </w:tr>
      <w:tr w14:paraId="6BB6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42C26966">
            <w:pPr>
              <w:jc w:val="center"/>
              <w:rPr>
                <w:rFonts w:ascii="宋体" w:hAnsi="宋体" w:eastAsia="宋体" w:cs="仿宋"/>
                <w:szCs w:val="21"/>
              </w:rPr>
            </w:pPr>
            <w:r>
              <w:rPr>
                <w:rFonts w:hint="eastAsia" w:ascii="宋体" w:hAnsi="宋体" w:eastAsia="宋体" w:cs="仿宋"/>
                <w:szCs w:val="21"/>
              </w:rPr>
              <w:t>12</w:t>
            </w:r>
          </w:p>
        </w:tc>
        <w:tc>
          <w:tcPr>
            <w:tcW w:w="995" w:type="pct"/>
            <w:tcBorders>
              <w:top w:val="single" w:color="auto" w:sz="4" w:space="0"/>
              <w:left w:val="single" w:color="auto" w:sz="4" w:space="0"/>
              <w:bottom w:val="single" w:color="auto" w:sz="4" w:space="0"/>
              <w:right w:val="single" w:color="auto" w:sz="4" w:space="0"/>
            </w:tcBorders>
            <w:vAlign w:val="center"/>
          </w:tcPr>
          <w:p w14:paraId="7DDA4EB6">
            <w:pPr>
              <w:jc w:val="center"/>
              <w:rPr>
                <w:rFonts w:ascii="宋体" w:hAnsi="宋体" w:eastAsia="宋体" w:cs="仿宋"/>
                <w:szCs w:val="21"/>
              </w:rPr>
            </w:pPr>
            <w:r>
              <w:rPr>
                <w:rFonts w:hint="eastAsia" w:ascii="宋体" w:hAnsi="宋体" w:eastAsia="宋体" w:cs="仿宋"/>
                <w:szCs w:val="21"/>
              </w:rPr>
              <w:t>商密合规</w:t>
            </w:r>
          </w:p>
        </w:tc>
        <w:tc>
          <w:tcPr>
            <w:tcW w:w="3636" w:type="pct"/>
            <w:tcBorders>
              <w:top w:val="single" w:color="auto" w:sz="4" w:space="0"/>
              <w:left w:val="single" w:color="auto" w:sz="4" w:space="0"/>
              <w:bottom w:val="single" w:color="auto" w:sz="4" w:space="0"/>
              <w:right w:val="single" w:color="auto" w:sz="4" w:space="0"/>
            </w:tcBorders>
            <w:vAlign w:val="center"/>
          </w:tcPr>
          <w:p w14:paraId="727D2109">
            <w:pPr>
              <w:rPr>
                <w:rFonts w:ascii="宋体" w:hAnsi="宋体" w:eastAsia="宋体" w:cs="仿宋"/>
                <w:szCs w:val="21"/>
              </w:rPr>
            </w:pPr>
            <w:r>
              <w:rPr>
                <w:rFonts w:hint="eastAsia" w:ascii="宋体" w:hAnsi="宋体" w:eastAsia="宋体" w:cs="仿宋"/>
                <w:szCs w:val="21"/>
              </w:rPr>
              <w:t>产品应具备并提供国家密码管理局商用密码检测中心出具的含有“访问控制系统”或“SDP”字样，符合GM/T 0024标准或GM/T 0025标准要求，以及符合GM/T 0028《密码模块安全技术要求》第二级的《商用密码产品认证证书》。</w:t>
            </w:r>
          </w:p>
        </w:tc>
      </w:tr>
      <w:tr w14:paraId="5D08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8" w:type="pct"/>
            <w:tcBorders>
              <w:top w:val="single" w:color="auto" w:sz="4" w:space="0"/>
              <w:left w:val="single" w:color="auto" w:sz="4" w:space="0"/>
              <w:bottom w:val="single" w:color="auto" w:sz="4" w:space="0"/>
              <w:right w:val="single" w:color="auto" w:sz="4" w:space="0"/>
            </w:tcBorders>
            <w:vAlign w:val="center"/>
          </w:tcPr>
          <w:p w14:paraId="63477AA8">
            <w:pPr>
              <w:jc w:val="center"/>
              <w:rPr>
                <w:rFonts w:ascii="宋体" w:hAnsi="宋体" w:eastAsia="宋体" w:cs="仿宋"/>
                <w:szCs w:val="21"/>
              </w:rPr>
            </w:pPr>
            <w:r>
              <w:rPr>
                <w:rFonts w:hint="eastAsia" w:ascii="宋体" w:hAnsi="宋体" w:eastAsia="宋体" w:cs="仿宋"/>
                <w:szCs w:val="21"/>
              </w:rPr>
              <w:t>13</w:t>
            </w:r>
          </w:p>
        </w:tc>
        <w:tc>
          <w:tcPr>
            <w:tcW w:w="995" w:type="pct"/>
            <w:tcBorders>
              <w:top w:val="single" w:color="auto" w:sz="4" w:space="0"/>
              <w:left w:val="single" w:color="auto" w:sz="4" w:space="0"/>
              <w:bottom w:val="single" w:color="auto" w:sz="4" w:space="0"/>
              <w:right w:val="single" w:color="auto" w:sz="4" w:space="0"/>
            </w:tcBorders>
            <w:vAlign w:val="center"/>
          </w:tcPr>
          <w:p w14:paraId="6E8C2326">
            <w:pPr>
              <w:jc w:val="center"/>
              <w:rPr>
                <w:rFonts w:ascii="宋体" w:hAnsi="宋体" w:eastAsia="宋体" w:cs="仿宋"/>
                <w:szCs w:val="21"/>
              </w:rPr>
            </w:pPr>
            <w:r>
              <w:rPr>
                <w:rFonts w:hint="eastAsia" w:ascii="宋体" w:hAnsi="宋体" w:eastAsia="宋体" w:cs="仿宋"/>
                <w:szCs w:val="21"/>
              </w:rPr>
              <w:t>设备安全证明</w:t>
            </w:r>
          </w:p>
        </w:tc>
        <w:tc>
          <w:tcPr>
            <w:tcW w:w="3636" w:type="pct"/>
            <w:tcBorders>
              <w:top w:val="single" w:color="auto" w:sz="4" w:space="0"/>
              <w:left w:val="single" w:color="auto" w:sz="4" w:space="0"/>
              <w:bottom w:val="single" w:color="auto" w:sz="4" w:space="0"/>
              <w:right w:val="single" w:color="auto" w:sz="4" w:space="0"/>
            </w:tcBorders>
            <w:vAlign w:val="center"/>
          </w:tcPr>
          <w:p w14:paraId="03E05C4C">
            <w:pPr>
              <w:rPr>
                <w:rFonts w:hint="eastAsia" w:ascii="宋体" w:hAnsi="宋体" w:eastAsia="宋体" w:cs="仿宋"/>
                <w:szCs w:val="21"/>
                <w:lang w:val="en-US" w:eastAsia="zh-CN"/>
              </w:rPr>
            </w:pPr>
            <w:r>
              <w:rPr>
                <w:rFonts w:hint="eastAsia" w:ascii="宋体" w:hAnsi="宋体" w:eastAsia="宋体" w:cs="仿宋"/>
                <w:szCs w:val="21"/>
              </w:rPr>
              <w:t>具备并提供</w:t>
            </w:r>
            <w:r>
              <w:rPr>
                <w:rFonts w:hint="eastAsia" w:ascii="宋体" w:hAnsi="宋体" w:eastAsia="宋体" w:cs="仿宋"/>
                <w:szCs w:val="21"/>
                <w:lang w:val="en-US" w:eastAsia="zh-CN"/>
              </w:rPr>
              <w:t>以下两者材料之一：1.</w:t>
            </w:r>
            <w:r>
              <w:rPr>
                <w:rFonts w:hint="eastAsia" w:ascii="宋体" w:hAnsi="宋体" w:eastAsia="宋体" w:cs="仿宋"/>
                <w:szCs w:val="21"/>
              </w:rPr>
              <w:t>第三方权威机构出具的安全众测无漏洞证明文件</w:t>
            </w:r>
            <w:r>
              <w:rPr>
                <w:rFonts w:hint="eastAsia" w:ascii="宋体" w:hAnsi="宋体" w:eastAsia="宋体" w:cs="仿宋"/>
                <w:szCs w:val="21"/>
                <w:lang w:val="en-US" w:eastAsia="zh-CN"/>
              </w:rPr>
              <w:t>；</w:t>
            </w:r>
          </w:p>
          <w:p w14:paraId="717A0964">
            <w:pPr>
              <w:rPr>
                <w:rFonts w:hint="eastAsia" w:ascii="宋体" w:hAnsi="宋体" w:eastAsia="宋体" w:cs="仿宋"/>
                <w:szCs w:val="21"/>
                <w:lang w:val="en-US" w:eastAsia="zh-CN"/>
              </w:rPr>
            </w:pPr>
            <w:r>
              <w:rPr>
                <w:rFonts w:hint="eastAsia" w:ascii="宋体" w:hAnsi="宋体" w:eastAsia="宋体" w:cs="仿宋"/>
                <w:szCs w:val="21"/>
                <w:lang w:val="en-US" w:eastAsia="zh-CN"/>
              </w:rPr>
              <w:t>2.</w:t>
            </w:r>
            <w:r>
              <w:rPr>
                <w:rFonts w:hint="eastAsia" w:ascii="宋体" w:hAnsi="宋体" w:eastAsia="宋体" w:cs="仿宋"/>
                <w:szCs w:val="21"/>
              </w:rPr>
              <w:t>权威机构</w:t>
            </w:r>
            <w:r>
              <w:rPr>
                <w:rFonts w:hint="eastAsia" w:ascii="宋体" w:hAnsi="宋体" w:eastAsia="宋体" w:cs="仿宋"/>
                <w:szCs w:val="21"/>
                <w:lang w:val="en-US" w:eastAsia="zh-CN"/>
              </w:rPr>
              <w:t>出具的</w:t>
            </w:r>
            <w:r>
              <w:rPr>
                <w:rFonts w:hint="default" w:ascii="宋体" w:hAnsi="宋体" w:eastAsia="宋体" w:cs="仿宋"/>
                <w:szCs w:val="21"/>
              </w:rPr>
              <w:t>报告，明确标注“无中高风险漏洞”</w:t>
            </w:r>
            <w:r>
              <w:rPr>
                <w:rFonts w:hint="eastAsia" w:ascii="宋体" w:hAnsi="宋体" w:eastAsia="宋体" w:cs="仿宋"/>
                <w:szCs w:val="21"/>
                <w:lang w:eastAsia="zh-CN"/>
              </w:rPr>
              <w:t>。</w:t>
            </w:r>
          </w:p>
        </w:tc>
      </w:tr>
    </w:tbl>
    <w:p w14:paraId="662C6834"/>
    <w:p w14:paraId="7E283375">
      <w:bookmarkStart w:id="0" w:name="_GoBack"/>
      <w:bookmarkEnd w:id="0"/>
    </w:p>
    <w:p w14:paraId="0D8D3DF8"/>
    <w:p w14:paraId="7F8702EA">
      <w:pPr>
        <w:rPr>
          <w:rFonts w:hint="eastAsia" w:ascii="宋体" w:hAnsi="宋体" w:cs="宋体"/>
          <w:sz w:val="20"/>
          <w:szCs w:val="20"/>
        </w:rPr>
      </w:pPr>
      <w:r>
        <w:rPr>
          <w:rFonts w:hint="eastAsia" w:ascii="宋体" w:hAnsi="宋体" w:cs="宋体"/>
          <w:sz w:val="20"/>
          <w:szCs w:val="20"/>
        </w:rPr>
        <w:t>★采购人在合同签订前有权保留对</w:t>
      </w:r>
      <w:r>
        <w:rPr>
          <w:rFonts w:hint="eastAsia" w:ascii="宋体" w:hAnsi="宋体" w:cs="宋体"/>
          <w:sz w:val="20"/>
          <w:szCs w:val="20"/>
          <w:lang w:val="en-US" w:eastAsia="zh-CN"/>
        </w:rPr>
        <w:t>报价人</w:t>
      </w:r>
      <w:r>
        <w:rPr>
          <w:rFonts w:hint="eastAsia" w:ascii="宋体" w:hAnsi="宋体" w:cs="宋体"/>
          <w:sz w:val="20"/>
          <w:szCs w:val="20"/>
        </w:rPr>
        <w:t>所提供的</w:t>
      </w:r>
      <w:r>
        <w:rPr>
          <w:rFonts w:hint="eastAsia" w:ascii="宋体" w:hAnsi="宋体" w:cs="宋体"/>
          <w:sz w:val="20"/>
          <w:szCs w:val="20"/>
          <w:lang w:val="en-US" w:eastAsia="zh-CN"/>
        </w:rPr>
        <w:t>产品</w:t>
      </w:r>
      <w:r>
        <w:rPr>
          <w:rFonts w:hint="eastAsia" w:ascii="宋体" w:hAnsi="宋体" w:cs="宋体"/>
          <w:sz w:val="20"/>
          <w:szCs w:val="20"/>
        </w:rPr>
        <w:t>进行测试验证的权力，以确保采购人得到符合采购要求的产品，测试费用包含在投标总价中，采购人不再另行支付，如测试验证发现</w:t>
      </w:r>
      <w:r>
        <w:rPr>
          <w:rFonts w:hint="eastAsia" w:ascii="宋体" w:hAnsi="宋体" w:cs="宋体"/>
          <w:sz w:val="20"/>
          <w:szCs w:val="20"/>
          <w:lang w:val="en-US" w:eastAsia="zh-CN"/>
        </w:rPr>
        <w:t>报价</w:t>
      </w:r>
      <w:r>
        <w:rPr>
          <w:rFonts w:hint="eastAsia" w:ascii="宋体" w:hAnsi="宋体" w:cs="宋体"/>
          <w:sz w:val="20"/>
          <w:szCs w:val="20"/>
        </w:rPr>
        <w:t>人所提供</w:t>
      </w:r>
      <w:r>
        <w:rPr>
          <w:rFonts w:hint="eastAsia" w:ascii="宋体" w:hAnsi="宋体" w:cs="宋体"/>
          <w:sz w:val="20"/>
          <w:szCs w:val="20"/>
          <w:lang w:val="en-US" w:eastAsia="zh-CN"/>
        </w:rPr>
        <w:t>的产品</w:t>
      </w:r>
      <w:r>
        <w:rPr>
          <w:rFonts w:hint="eastAsia" w:ascii="宋体" w:hAnsi="宋体" w:cs="宋体"/>
          <w:sz w:val="20"/>
          <w:szCs w:val="20"/>
        </w:rPr>
        <w:t>不满足</w:t>
      </w:r>
      <w:r>
        <w:rPr>
          <w:rFonts w:hint="eastAsia" w:ascii="宋体" w:hAnsi="宋体" w:cs="宋体"/>
          <w:sz w:val="20"/>
          <w:szCs w:val="20"/>
          <w:lang w:val="en-US" w:eastAsia="zh-CN"/>
        </w:rPr>
        <w:t>采购</w:t>
      </w:r>
      <w:r>
        <w:rPr>
          <w:rFonts w:hint="eastAsia" w:ascii="宋体" w:hAnsi="宋体" w:cs="宋体"/>
          <w:sz w:val="20"/>
          <w:szCs w:val="20"/>
        </w:rPr>
        <w:t>文件要求，采购人有权</w:t>
      </w:r>
      <w:r>
        <w:rPr>
          <w:rFonts w:hint="eastAsia" w:ascii="宋体" w:hAnsi="宋体" w:cs="宋体"/>
          <w:sz w:val="20"/>
          <w:szCs w:val="20"/>
          <w:lang w:val="en-US" w:eastAsia="zh-CN"/>
        </w:rPr>
        <w:t>将报价人列入黑名单</w:t>
      </w:r>
      <w:r>
        <w:rPr>
          <w:rFonts w:hint="eastAsia" w:ascii="宋体" w:hAnsi="宋体" w:cs="宋体"/>
          <w:sz w:val="20"/>
          <w:szCs w:val="20"/>
        </w:rPr>
        <w:t>。</w:t>
      </w:r>
    </w:p>
    <w:p w14:paraId="2D820A54">
      <w:pPr>
        <w:rPr>
          <w:rFonts w:hint="eastAsia" w:ascii="宋体" w:hAnsi="宋体" w:cs="宋体"/>
          <w:sz w:val="20"/>
          <w:szCs w:val="20"/>
        </w:rPr>
      </w:pPr>
    </w:p>
    <w:p w14:paraId="6D1E12DB">
      <w:pPr>
        <w:numPr>
          <w:ilvl w:val="0"/>
          <w:numId w:val="2"/>
        </w:numPr>
        <w:ind w:left="0" w:leftChars="0" w:firstLine="0" w:firstLineChars="0"/>
        <w:rPr>
          <w:rFonts w:hint="eastAsia" w:ascii="宋体" w:hAnsi="宋体" w:eastAsia="宋体" w:cs="宋体"/>
          <w:i w:val="0"/>
          <w:iCs w:val="0"/>
          <w:color w:val="000000"/>
          <w:spacing w:val="6"/>
          <w:kern w:val="0"/>
          <w:sz w:val="20"/>
          <w:szCs w:val="20"/>
          <w:u w:val="none"/>
          <w:lang w:val="en-US" w:eastAsia="zh-CN" w:bidi="ar"/>
        </w:rPr>
      </w:pPr>
      <w:r>
        <w:rPr>
          <w:rFonts w:hint="eastAsia" w:ascii="宋体" w:hAnsi="宋体" w:eastAsia="宋体" w:cs="宋体"/>
          <w:i w:val="0"/>
          <w:iCs w:val="0"/>
          <w:color w:val="000000"/>
          <w:spacing w:val="6"/>
          <w:kern w:val="0"/>
          <w:sz w:val="20"/>
          <w:szCs w:val="20"/>
          <w:u w:val="none"/>
          <w:lang w:val="en-US" w:eastAsia="zh-CN" w:bidi="ar"/>
        </w:rPr>
        <w:t>安装要求</w:t>
      </w:r>
    </w:p>
    <w:p w14:paraId="09FA8C47">
      <w:pPr>
        <w:spacing w:line="360" w:lineRule="auto"/>
        <w:rPr>
          <w:szCs w:val="21"/>
        </w:rPr>
      </w:pPr>
      <w:r>
        <w:rPr>
          <w:rFonts w:hint="eastAsia"/>
          <w:szCs w:val="21"/>
        </w:rPr>
        <w:t>1</w:t>
      </w:r>
      <w:r>
        <w:rPr>
          <w:rFonts w:hint="eastAsia"/>
          <w:szCs w:val="21"/>
          <w:lang w:eastAsia="zh-CN"/>
        </w:rPr>
        <w:t>、</w:t>
      </w:r>
      <w:r>
        <w:rPr>
          <w:rFonts w:hint="eastAsia"/>
          <w:szCs w:val="21"/>
        </w:rPr>
        <w:t xml:space="preserve">此次采购的软硬件系统，供应商须承诺提供原厂商的部署实施服务 </w:t>
      </w:r>
    </w:p>
    <w:p w14:paraId="4A57DC19">
      <w:pPr>
        <w:numPr>
          <w:ilvl w:val="0"/>
          <w:numId w:val="0"/>
        </w:numPr>
        <w:ind w:leftChars="0"/>
        <w:rPr>
          <w:rFonts w:hint="eastAsia"/>
          <w:szCs w:val="21"/>
        </w:rPr>
      </w:pPr>
      <w:r>
        <w:rPr>
          <w:rFonts w:hint="eastAsia"/>
          <w:szCs w:val="21"/>
        </w:rPr>
        <w:t>2</w:t>
      </w:r>
      <w:r>
        <w:rPr>
          <w:rFonts w:hint="eastAsia"/>
          <w:szCs w:val="21"/>
          <w:lang w:eastAsia="zh-CN"/>
        </w:rPr>
        <w:t>、</w:t>
      </w:r>
      <w:r>
        <w:rPr>
          <w:rFonts w:hint="eastAsia"/>
          <w:szCs w:val="21"/>
        </w:rPr>
        <w:t>供应商应组织完成本项目的部署实施工作，组织完成集成、安装、调试，并完成与院方现有软、硬件系统之间的联调工作。</w:t>
      </w:r>
    </w:p>
    <w:p w14:paraId="151E1D70">
      <w:pPr>
        <w:numPr>
          <w:ilvl w:val="0"/>
          <w:numId w:val="0"/>
        </w:numPr>
        <w:ind w:leftChars="0"/>
        <w:rPr>
          <w:rFonts w:hint="eastAsia"/>
          <w:szCs w:val="21"/>
        </w:rPr>
      </w:pPr>
      <w:r>
        <w:rPr>
          <w:rFonts w:hint="eastAsia"/>
          <w:szCs w:val="21"/>
          <w:lang w:val="en-US" w:eastAsia="zh-CN"/>
        </w:rPr>
        <w:t>3、</w:t>
      </w:r>
      <w:r>
        <w:rPr>
          <w:rFonts w:hint="eastAsia"/>
          <w:szCs w:val="21"/>
        </w:rPr>
        <w:t>全部设备皆采用220V电源，50Hz。供应商应提供厂商原装、完整、全新的、符合国家及采购人提出的有关质量标准的设备及部件。</w:t>
      </w:r>
    </w:p>
    <w:p w14:paraId="71E8E9CB">
      <w:pPr>
        <w:numPr>
          <w:ilvl w:val="0"/>
          <w:numId w:val="0"/>
        </w:numPr>
        <w:ind w:leftChars="0"/>
        <w:rPr>
          <w:rFonts w:hint="eastAsia"/>
          <w:szCs w:val="21"/>
        </w:rPr>
      </w:pPr>
      <w:r>
        <w:rPr>
          <w:rFonts w:hint="eastAsia"/>
          <w:szCs w:val="21"/>
          <w:lang w:val="en-US" w:eastAsia="zh-CN"/>
        </w:rPr>
        <w:t>4、</w:t>
      </w:r>
      <w:r>
        <w:rPr>
          <w:rFonts w:hint="eastAsia"/>
          <w:szCs w:val="21"/>
        </w:rPr>
        <w:t>要求对全部设备、产品、型号、规格、数量、外型、外观、包装及资料、文件（如装箱单、保修单、随箱介质等）的检查。供应商报价中应已经包含设备连接并构成完整运行环境所必要的配件、辅件、配线、许可。</w:t>
      </w:r>
    </w:p>
    <w:p w14:paraId="3B96E6F4">
      <w:pPr>
        <w:numPr>
          <w:ilvl w:val="0"/>
          <w:numId w:val="0"/>
        </w:numPr>
        <w:ind w:leftChars="0"/>
        <w:rPr>
          <w:rFonts w:hint="eastAsia"/>
          <w:szCs w:val="21"/>
        </w:rPr>
      </w:pPr>
      <w:r>
        <w:rPr>
          <w:rFonts w:hint="eastAsia"/>
          <w:szCs w:val="21"/>
          <w:lang w:val="en-US" w:eastAsia="zh-CN"/>
        </w:rPr>
        <w:t>5、</w:t>
      </w:r>
      <w:r>
        <w:rPr>
          <w:rFonts w:hint="eastAsia"/>
          <w:szCs w:val="21"/>
        </w:rPr>
        <w:t>凡列入《中华人民共和国实施强制性产品认证的产品目录》的产品在检查时出具CCC认证证书复印件，并以在产品外部加施认证标志作为验收依据之一。</w:t>
      </w:r>
    </w:p>
    <w:p w14:paraId="53636A80">
      <w:pPr>
        <w:numPr>
          <w:ilvl w:val="0"/>
          <w:numId w:val="0"/>
        </w:numPr>
        <w:ind w:leftChars="0"/>
        <w:rPr>
          <w:rFonts w:hint="eastAsia"/>
          <w:szCs w:val="21"/>
        </w:rPr>
      </w:pPr>
      <w:r>
        <w:rPr>
          <w:rFonts w:hint="eastAsia"/>
          <w:szCs w:val="21"/>
          <w:lang w:val="en-US" w:eastAsia="zh-CN"/>
        </w:rPr>
        <w:t>6、</w:t>
      </w:r>
      <w:r>
        <w:rPr>
          <w:rFonts w:hint="eastAsia"/>
          <w:szCs w:val="21"/>
        </w:rPr>
        <w:t>供应商应负责在项目验收时，将系统的全部有关产品说明书、原厂家安装手册、技术文件、资料、及安装、验收报告等文档汇集成册交付设备使用单位。</w:t>
      </w:r>
    </w:p>
    <w:p w14:paraId="0EC7D0BC">
      <w:pPr>
        <w:numPr>
          <w:ilvl w:val="0"/>
          <w:numId w:val="0"/>
        </w:numPr>
        <w:ind w:leftChars="0"/>
        <w:rPr>
          <w:rFonts w:hint="eastAsia"/>
          <w:szCs w:val="21"/>
        </w:rPr>
      </w:pPr>
      <w:r>
        <w:rPr>
          <w:rFonts w:hint="eastAsia"/>
          <w:szCs w:val="21"/>
          <w:lang w:val="en-US" w:eastAsia="zh-CN"/>
        </w:rPr>
        <w:t>7、</w:t>
      </w:r>
      <w:r>
        <w:rPr>
          <w:rFonts w:hint="eastAsia"/>
          <w:szCs w:val="21"/>
        </w:rPr>
        <w:t>所有设备、器材在开箱时须完好，无破损。配置与装箱单相符。数量、质量及性能不低于合同要求。</w:t>
      </w:r>
    </w:p>
    <w:p w14:paraId="3F9D5F0D">
      <w:pPr>
        <w:numPr>
          <w:ilvl w:val="0"/>
          <w:numId w:val="0"/>
        </w:numPr>
        <w:ind w:leftChars="0"/>
        <w:rPr>
          <w:rFonts w:hint="eastAsia"/>
          <w:szCs w:val="21"/>
        </w:rPr>
      </w:pPr>
      <w:r>
        <w:rPr>
          <w:rFonts w:hint="eastAsia"/>
          <w:szCs w:val="21"/>
          <w:lang w:val="en-US" w:eastAsia="zh-CN"/>
        </w:rPr>
        <w:t>8、</w:t>
      </w:r>
      <w:r>
        <w:rPr>
          <w:rFonts w:hint="eastAsia"/>
          <w:szCs w:val="21"/>
        </w:rPr>
        <w:t>拆箱后，供应商应对其全部产品、零件、配件、用户许可证书、资料、介质造册登记，并与装箱单对比，如有出入应立即书面记录，由供货商解决，如影响安装则按合同有关条款处理。</w:t>
      </w:r>
    </w:p>
    <w:p w14:paraId="1AE638DA">
      <w:pPr>
        <w:numPr>
          <w:ilvl w:val="0"/>
          <w:numId w:val="0"/>
        </w:numPr>
        <w:ind w:leftChars="0"/>
        <w:rPr>
          <w:rFonts w:hint="eastAsia" w:eastAsiaTheme="minorEastAsia"/>
          <w:szCs w:val="21"/>
          <w:lang w:val="en-US" w:eastAsia="zh-CN"/>
        </w:rPr>
      </w:pPr>
      <w:r>
        <w:rPr>
          <w:rFonts w:hint="eastAsia"/>
          <w:szCs w:val="21"/>
          <w:lang w:val="en-US" w:eastAsia="zh-CN"/>
        </w:rPr>
        <w:t>9、设备部署所需的任何线材、辅件等由报价人提供，项目不再不支付任何额外的费用</w:t>
      </w:r>
    </w:p>
    <w:p w14:paraId="1BE1D42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auto"/>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15205"/>
    <w:multiLevelType w:val="multilevel"/>
    <w:tmpl w:val="29015205"/>
    <w:lvl w:ilvl="0" w:tentative="0">
      <w:start w:val="1"/>
      <w:numFmt w:val="decimal"/>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lvlText w:val="5.1.1.%4"/>
      <w:lvlJc w:val="left"/>
      <w:pPr>
        <w:ind w:left="864" w:hanging="864"/>
      </w:pPr>
      <w:rPr>
        <w:rFonts w:hint="eastAsia"/>
      </w:rPr>
    </w:lvl>
    <w:lvl w:ilvl="4" w:tentative="0">
      <w:start w:val="1"/>
      <w:numFmt w:val="decimal"/>
      <w:lvlText w:val="5.1.1.1.%5"/>
      <w:lvlJc w:val="left"/>
      <w:pPr>
        <w:ind w:left="2142"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
    <w:nsid w:val="5747450B"/>
    <w:multiLevelType w:val="singleLevel"/>
    <w:tmpl w:val="5747450B"/>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376296"/>
    <w:rsid w:val="00121AC3"/>
    <w:rsid w:val="00153576"/>
    <w:rsid w:val="001F31F9"/>
    <w:rsid w:val="001F54EA"/>
    <w:rsid w:val="00262FFB"/>
    <w:rsid w:val="0047393A"/>
    <w:rsid w:val="00893EBB"/>
    <w:rsid w:val="00BE2DFF"/>
    <w:rsid w:val="02A87A9D"/>
    <w:rsid w:val="05281663"/>
    <w:rsid w:val="0AF03523"/>
    <w:rsid w:val="0D25591E"/>
    <w:rsid w:val="14DD0A4E"/>
    <w:rsid w:val="1E7321CA"/>
    <w:rsid w:val="21B56B7B"/>
    <w:rsid w:val="22061653"/>
    <w:rsid w:val="227F7259"/>
    <w:rsid w:val="27661BA9"/>
    <w:rsid w:val="2816415B"/>
    <w:rsid w:val="2A1243CB"/>
    <w:rsid w:val="2AA42601"/>
    <w:rsid w:val="2B0E42B7"/>
    <w:rsid w:val="2E684941"/>
    <w:rsid w:val="31964884"/>
    <w:rsid w:val="33C565E9"/>
    <w:rsid w:val="3DB33C4D"/>
    <w:rsid w:val="3EBF3A09"/>
    <w:rsid w:val="40585F20"/>
    <w:rsid w:val="456F4189"/>
    <w:rsid w:val="477008FD"/>
    <w:rsid w:val="48917477"/>
    <w:rsid w:val="48995346"/>
    <w:rsid w:val="4F4E18EC"/>
    <w:rsid w:val="51E732EF"/>
    <w:rsid w:val="55AE77F0"/>
    <w:rsid w:val="5E452E5B"/>
    <w:rsid w:val="5E9807BF"/>
    <w:rsid w:val="67AA451F"/>
    <w:rsid w:val="6D161E0E"/>
    <w:rsid w:val="6E944B31"/>
    <w:rsid w:val="75CC0B50"/>
    <w:rsid w:val="76667FDF"/>
    <w:rsid w:val="77EE068E"/>
    <w:rsid w:val="787F24BF"/>
    <w:rsid w:val="7A0F67AD"/>
    <w:rsid w:val="7D8FCFDF"/>
    <w:rsid w:val="7E5C0A47"/>
    <w:rsid w:val="7F7F7C2C"/>
    <w:rsid w:val="DFFB5693"/>
    <w:rsid w:val="F7DFF65A"/>
    <w:rsid w:val="FBBF2C9B"/>
    <w:rsid w:val="FD376296"/>
    <w:rsid w:val="FF9E3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outlineLvl w:val="0"/>
    </w:pPr>
    <w:rPr>
      <w:rFonts w:eastAsia="微软雅黑"/>
      <w:b/>
      <w:kern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spacing w:before="120" w:beforeLines="50" w:line="360" w:lineRule="auto"/>
      <w:ind w:firstLine="512" w:firstLineChars="200"/>
    </w:pPr>
    <w:rPr>
      <w:spacing w:val="8"/>
      <w:sz w:val="24"/>
      <w:szCs w:val="20"/>
    </w:rPr>
  </w:style>
  <w:style w:type="paragraph" w:styleId="4">
    <w:name w:val="Body Text"/>
    <w:basedOn w:val="1"/>
    <w:next w:val="1"/>
    <w:qFormat/>
    <w:uiPriority w:val="0"/>
    <w:pPr>
      <w:spacing w:after="120"/>
    </w:p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font81"/>
    <w:basedOn w:val="7"/>
    <w:qFormat/>
    <w:uiPriority w:val="0"/>
    <w:rPr>
      <w:rFonts w:hint="default" w:ascii="微软雅黑" w:hAnsi="微软雅黑" w:eastAsia="微软雅黑" w:cs="微软雅黑"/>
      <w:color w:val="000000"/>
      <w:sz w:val="18"/>
      <w:szCs w:val="18"/>
      <w:u w:val="none"/>
    </w:rPr>
  </w:style>
  <w:style w:type="character" w:customStyle="1" w:styleId="10">
    <w:name w:val="font91"/>
    <w:basedOn w:val="7"/>
    <w:qFormat/>
    <w:uiPriority w:val="0"/>
    <w:rPr>
      <w:rFonts w:hint="default" w:ascii="等线" w:hAnsi="等线" w:eastAsia="等线" w:cs="等线"/>
      <w:color w:val="FF0000"/>
      <w:sz w:val="18"/>
      <w:szCs w:val="18"/>
      <w:u w:val="single"/>
    </w:rPr>
  </w:style>
  <w:style w:type="character" w:customStyle="1" w:styleId="11">
    <w:name w:val="font51"/>
    <w:basedOn w:val="7"/>
    <w:qFormat/>
    <w:uiPriority w:val="0"/>
    <w:rPr>
      <w:rFonts w:hint="default" w:ascii="微软雅黑" w:hAnsi="微软雅黑" w:eastAsia="微软雅黑" w:cs="微软雅黑"/>
      <w:color w:val="FF0000"/>
      <w:sz w:val="20"/>
      <w:szCs w:val="20"/>
      <w:u w:val="single"/>
    </w:rPr>
  </w:style>
  <w:style w:type="character" w:customStyle="1" w:styleId="12">
    <w:name w:val="font41"/>
    <w:basedOn w:val="7"/>
    <w:qFormat/>
    <w:uiPriority w:val="0"/>
    <w:rPr>
      <w:rFonts w:hint="default" w:ascii="微软雅黑" w:hAnsi="微软雅黑" w:eastAsia="微软雅黑" w:cs="微软雅黑"/>
      <w:color w:val="000000"/>
      <w:sz w:val="20"/>
      <w:szCs w:val="20"/>
      <w:u w:val="none"/>
    </w:rPr>
  </w:style>
  <w:style w:type="character" w:customStyle="1" w:styleId="13">
    <w:name w:val="font61"/>
    <w:basedOn w:val="7"/>
    <w:qFormat/>
    <w:uiPriority w:val="0"/>
    <w:rPr>
      <w:rFonts w:hint="default" w:ascii="微软雅黑" w:hAnsi="微软雅黑" w:eastAsia="微软雅黑" w:cs="微软雅黑"/>
      <w:color w:val="FF0000"/>
      <w:sz w:val="20"/>
      <w:szCs w:val="20"/>
      <w:u w:val="none"/>
    </w:rPr>
  </w:style>
  <w:style w:type="character" w:customStyle="1" w:styleId="14">
    <w:name w:val="font31"/>
    <w:basedOn w:val="7"/>
    <w:qFormat/>
    <w:uiPriority w:val="0"/>
    <w:rPr>
      <w:rFonts w:hint="eastAsia" w:ascii="宋体" w:hAnsi="宋体" w:eastAsia="宋体" w:cs="宋体"/>
      <w:color w:val="000000"/>
      <w:sz w:val="21"/>
      <w:szCs w:val="21"/>
      <w:u w:val="none"/>
    </w:rPr>
  </w:style>
  <w:style w:type="character" w:customStyle="1" w:styleId="15">
    <w:name w:val="font11"/>
    <w:basedOn w:val="7"/>
    <w:qFormat/>
    <w:uiPriority w:val="0"/>
    <w:rPr>
      <w:rFonts w:hint="eastAsia" w:ascii="宋体" w:hAnsi="宋体" w:eastAsia="宋体" w:cs="宋体"/>
      <w:color w:val="000000"/>
      <w:sz w:val="21"/>
      <w:szCs w:val="21"/>
      <w:u w:val="none"/>
    </w:rPr>
  </w:style>
  <w:style w:type="paragraph" w:customStyle="1" w:styleId="16">
    <w:name w:val="列表段落1"/>
    <w:basedOn w:val="1"/>
    <w:qFormat/>
    <w:uiPriority w:val="34"/>
    <w:pPr>
      <w:ind w:firstLine="420" w:firstLineChars="200"/>
    </w:pPr>
  </w:style>
  <w:style w:type="character" w:customStyle="1" w:styleId="17">
    <w:name w:val="font21"/>
    <w:basedOn w:val="7"/>
    <w:qFormat/>
    <w:uiPriority w:val="0"/>
    <w:rPr>
      <w:rFonts w:hint="eastAsia" w:ascii="微软雅黑" w:hAnsi="微软雅黑" w:eastAsia="微软雅黑" w:cs="微软雅黑"/>
      <w:color w:val="000000"/>
      <w:sz w:val="18"/>
      <w:szCs w:val="18"/>
      <w:u w:val="none"/>
    </w:rPr>
  </w:style>
  <w:style w:type="paragraph" w:styleId="1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1991</Words>
  <Characters>2176</Characters>
  <Lines>18</Lines>
  <Paragraphs>5</Paragraphs>
  <TotalTime>3</TotalTime>
  <ScaleCrop>false</ScaleCrop>
  <LinksUpToDate>false</LinksUpToDate>
  <CharactersWithSpaces>2187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2026-03-02T10:00:00Z</dcterms:created>
  <dc:creator>admin</dc:creator>
  <cp:lastModifiedBy>潘天祥</cp:lastModifiedBy>
  <dcterms:modified xsi:type="dcterms:W3CDTF">2026-10-09T08:15:22Z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2C6490DEDA41417D9ABC97DEA7DE7879_13</vt:lpwstr>
  </property>
  <property fmtid="{D5CDD505-2E9C-101B-9397-08002B2CF9AE}" pid="4" name="KSOTemplateDocerSaveRecord">
    <vt:lpwstr>eyJoZGlkIjoiYThhYjEyNWZhZGZhNGVjOTYzZTIxMjgzN2JiZjI4YjUiLCJ1c2VySWQiOiIxNzY2MTAwMTE4In0=</vt:lpwstr>
  </property>
</Properties>
</file>