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BAEDB">
      <w:pPr>
        <w:spacing w:before="480" w:after="480" w:line="288" w:lineRule="auto"/>
        <w:ind w:left="0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固定资产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盘点</w:t>
      </w:r>
      <w:r>
        <w:rPr>
          <w:rFonts w:hint="eastAsia" w:ascii="仿宋" w:hAnsi="仿宋" w:eastAsia="仿宋" w:cs="仿宋"/>
          <w:b/>
          <w:sz w:val="44"/>
          <w:szCs w:val="44"/>
        </w:rPr>
        <w:t>项目需求</w:t>
      </w:r>
    </w:p>
    <w:p w14:paraId="0D2E7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240" w:lineRule="auto"/>
        <w:ind w:left="11" w:firstLine="602" w:firstLineChars="200"/>
        <w:jc w:val="both"/>
        <w:textAlignment w:val="auto"/>
        <w:outlineLvl w:val="1"/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</w:pPr>
      <w:bookmarkStart w:id="0" w:name="heading_0"/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  <w:t>一、盘点目的</w:t>
      </w:r>
      <w:bookmarkEnd w:id="0"/>
    </w:p>
    <w:p w14:paraId="270F4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准确反映医院固定资产真实情况，明晰资产实际数量、存放位置、使用状态及完好情况，全面摸清全院资产底数。进一步规范医院固定资产全流程管理，解决账实不符、资产归属不清、管理松散等问题。</w:t>
      </w:r>
    </w:p>
    <w:p w14:paraId="42C14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240" w:lineRule="auto"/>
        <w:ind w:left="11" w:firstLine="602" w:firstLineChars="200"/>
        <w:jc w:val="both"/>
        <w:textAlignment w:val="auto"/>
        <w:outlineLvl w:val="1"/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</w:pPr>
      <w:bookmarkStart w:id="1" w:name="heading_1"/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  <w:t>二、盘点范围</w:t>
      </w:r>
      <w:bookmarkEnd w:id="1"/>
    </w:p>
    <w:p w14:paraId="2E3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盘点范围涵盖东川路总院、惠福分院、合群门诊、平洲院区、院外各处租赁物业及宿舍，所有归口管理部门为总务处物资科管理的固定资产。资产范围包含但不限于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63595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项资产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家具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类、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通用设备、专用设备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），覆盖全院4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69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个使用科室，实现全院固定资产盘点无死角、无遗漏。盘点品类覆盖全部在册固定资产，含在用、闲置、报废、调拨等各类状态资产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。</w:t>
      </w:r>
    </w:p>
    <w:p w14:paraId="3325DA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240" w:lineRule="auto"/>
        <w:ind w:left="28" w:leftChars="0" w:firstLine="602" w:firstLineChars="0"/>
        <w:jc w:val="both"/>
        <w:textAlignment w:val="auto"/>
        <w:outlineLvl w:val="1"/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</w:pPr>
      <w:bookmarkStart w:id="2" w:name="heading_2"/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  <w:t>盘点计划</w:t>
      </w:r>
      <w:bookmarkEnd w:id="2"/>
    </w:p>
    <w:p w14:paraId="6957E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【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正式盘点实施工作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】</w:t>
      </w:r>
    </w:p>
    <w:p w14:paraId="10F5A62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本次资产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设置两年度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基准日，分别为2026年12月31日、2027年12月31日。乙方全程负责统筹落实全部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工作，具体工作内容如下：制定专项盘点实施方案、整理编制全套盘点清单、开展全院现场实地盘点、打印资产条形码标签（条形码标签打印机及打印耗材由院方提供）、完成资产标签张贴、补贴及错误标签调整工作。针对破损、脱落、信息变更、老旧模糊的资产标签进行全面更换与补贴，确保全院资产标签统一、规范、清晰。</w:t>
      </w:r>
    </w:p>
    <w:p w14:paraId="69028EC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12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乙方需按院方管理要求，全面补充、修正资产系统内资产存放地点、使用科室、使用人、购置信息、设备状态等明细数据，逐项校对盘点数据、修正台账差异，汇总整理全部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资料，最终出具合规完整的资产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报告。同时按甲方常态化管理要求，全程协助处理各类临时性资产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核查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、台账整理、资料上报、数据答疑等相关工作，保障医院资产管理常态化有序推进。</w:t>
      </w:r>
    </w:p>
    <w:p w14:paraId="79507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【前置常态化筹备工作】</w:t>
      </w:r>
    </w:p>
    <w:p w14:paraId="2680FA8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乙方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需建立季度常态化驻院服务机制，每季度进驻本院开展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不少于两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星期专项资产梳理工作。重点完成当期新增入账资产的收集、核对、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张贴资产标签、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整理归档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，对全院科室之间、院区之间近期调拨流转的资产进行逐一对账核实，同步更换老旧、破损、信息不符的资产标签，动态更新资产基础台账，提前排查账实不符问题，为两年度基准日正式资产盘点工作做好充分铺垫，保障年度盘点高效、精准落地。</w:t>
      </w:r>
    </w:p>
    <w:p w14:paraId="40B1B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240" w:lineRule="auto"/>
        <w:ind w:left="11" w:firstLine="602" w:firstLineChars="200"/>
        <w:jc w:val="both"/>
        <w:textAlignment w:val="auto"/>
        <w:outlineLvl w:val="1"/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</w:pPr>
      <w:bookmarkStart w:id="3" w:name="heading_3"/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  <w:t>四、工作要求</w:t>
      </w:r>
      <w:bookmarkEnd w:id="3"/>
    </w:p>
    <w:p w14:paraId="54E3B84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人员配置要求：本项目专项盘点团队人数不少于10人，其中配置1名专职项目经理统筹项目全盘工作。盘点全程及季度前置筹备工作期间，项目经理必须全程驻点本院，全权对接院方工作、统筹项目进度、处理各类盘点问题，未经甲方书面同意，不得随意变更项目经理及核心项目工作人员。</w:t>
      </w:r>
    </w:p>
    <w:p w14:paraId="20279ED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人员资质要求：所有进场开展盘点作业的工作人员，需提前向甲方提供有效参保证明、身份备案信息，确保人员合规在岗、可溯源，杜绝无证、兼职临时人员进场作业。</w:t>
      </w:r>
    </w:p>
    <w:p w14:paraId="743767A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项目工期要求：本项目自正式盘点进场之日起，全部盘点、数据整改、系统更新、报告出具、资料归档等工作，需在4个月内全部完成验收。季度前置筹备工作需持续跟进，直至项目整体验收交付完毕。</w:t>
      </w:r>
    </w:p>
    <w:p w14:paraId="6DF10D1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现场作业管理要求：项目团队需严格遵守医院院区管理、科室诊疗管理相关规定，文明作业、规范操作，不得干扰医院正常诊疗、办公及后勤工作秩序。现场盘点、标签张贴、信息核查等工作需服从总务处物资科统一调度，严格按照医院资产管理制度及国有资产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eastAsia="zh-CN"/>
        </w:rPr>
        <w:t>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规范执行。</w:t>
      </w:r>
    </w:p>
    <w:p w14:paraId="5ABA69D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数据质量要求：所有盘点数据必须真实、准确、完整，严禁漏盘、错盘、虚盘、重复盘点。对盘点发现的盘盈、盘亏、账实不符、资产状态异常等问题，需逐项登记造册、溯源核查，形成问题台账，主动对接院方核实整改。</w:t>
      </w:r>
    </w:p>
    <w:p w14:paraId="4696AB4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保密管理要求：乙方需对盘点过程中获取的医院资产数据、科室信息、医疗设备参数、台账资料及内部管理信息严格保密，严禁私自拷贝、泄露、外传、商用，承担全程保密责任。</w:t>
      </w:r>
    </w:p>
    <w:p w14:paraId="0414C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240" w:lineRule="auto"/>
        <w:ind w:left="11" w:firstLine="602" w:firstLineChars="200"/>
        <w:jc w:val="both"/>
        <w:textAlignment w:val="auto"/>
        <w:outlineLvl w:val="1"/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</w:pPr>
      <w:bookmarkStart w:id="4" w:name="heading_5"/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i w:val="0"/>
          <w:strike w:val="0"/>
          <w:color w:val="auto"/>
          <w:sz w:val="30"/>
          <w:szCs w:val="30"/>
          <w:u w:val="none"/>
        </w:rPr>
        <w:t>、报价要求</w:t>
      </w:r>
      <w:bookmarkEnd w:id="4"/>
    </w:p>
    <w:p w14:paraId="7E56E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360" w:lineRule="auto"/>
        <w:ind w:left="11" w:leftChars="0" w:firstLine="600" w:firstLineChars="200"/>
        <w:jc w:val="both"/>
        <w:textAlignment w:val="auto"/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乙方报价需为项目全流程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总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价，报价文件中需清晰列明拟投入本项目的工作人员数量、人员职称、岗位职责、</w:t>
      </w:r>
      <w:bookmarkStart w:id="5" w:name="_GoBack"/>
      <w:bookmarkEnd w:id="5"/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驻场排班安排、详细项目实施周期、整体服务方案及保障措施。报价需涵盖季度常态化驻院服务、双年度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  <w:t>资产盘点</w:t>
      </w:r>
      <w:r>
        <w:rPr>
          <w:rFonts w:hint="eastAsia" w:ascii="仿宋" w:hAnsi="仿宋" w:eastAsia="仿宋" w:cs="仿宋"/>
          <w:b w:val="0"/>
          <w:i w:val="0"/>
          <w:strike w:val="0"/>
          <w:color w:val="auto"/>
          <w:sz w:val="30"/>
          <w:szCs w:val="30"/>
          <w:u w:val="none"/>
        </w:rPr>
        <w:t>作业、标签制作张贴、数据整改、系统优化、报告编制、资料归档现场作业等全部项目费用。</w:t>
      </w:r>
    </w:p>
    <w:sectPr>
      <w:headerReference r:id="rId3" w:type="default"/>
      <w:footerReference r:id="rId4" w:type="default"/>
      <w:pgSz w:w="11905" w:h="16840"/>
      <w:pgMar w:top="1440" w:right="1417" w:bottom="1440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76DE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DEC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136B6F"/>
    <w:multiLevelType w:val="singleLevel"/>
    <w:tmpl w:val="93136B6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DF45A3F8"/>
    <w:multiLevelType w:val="singleLevel"/>
    <w:tmpl w:val="DF45A3F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FB166275"/>
    <w:multiLevelType w:val="singleLevel"/>
    <w:tmpl w:val="FB166275"/>
    <w:lvl w:ilvl="0" w:tentative="0">
      <w:start w:val="3"/>
      <w:numFmt w:val="chineseCounting"/>
      <w:suff w:val="nothing"/>
      <w:lvlText w:val="%1、"/>
      <w:lvlJc w:val="left"/>
      <w:pPr>
        <w:ind w:left="17"/>
      </w:pPr>
      <w:rPr>
        <w:rFonts w:hint="eastAsia"/>
      </w:rPr>
    </w:lvl>
  </w:abstractNum>
  <w:abstractNum w:abstractNumId="3">
    <w:nsid w:val="FC4AF2E2"/>
    <w:multiLevelType w:val="singleLevel"/>
    <w:tmpl w:val="FC4AF2E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3634"/>
    <w:rsid w:val="06B156A8"/>
    <w:rsid w:val="07F27CD7"/>
    <w:rsid w:val="08B84ACC"/>
    <w:rsid w:val="09BF1E8A"/>
    <w:rsid w:val="18301ACB"/>
    <w:rsid w:val="1F9A4AD4"/>
    <w:rsid w:val="1F9B6D2D"/>
    <w:rsid w:val="2702368A"/>
    <w:rsid w:val="285A12A4"/>
    <w:rsid w:val="30F1253A"/>
    <w:rsid w:val="362D2BBD"/>
    <w:rsid w:val="3A1C460B"/>
    <w:rsid w:val="3CBC3E83"/>
    <w:rsid w:val="3EDF36A1"/>
    <w:rsid w:val="430A0B7A"/>
    <w:rsid w:val="4C7B3413"/>
    <w:rsid w:val="502968EC"/>
    <w:rsid w:val="5A33532D"/>
    <w:rsid w:val="5CF8460C"/>
    <w:rsid w:val="60BC3F42"/>
    <w:rsid w:val="610710AA"/>
    <w:rsid w:val="69BD4C13"/>
    <w:rsid w:val="6AC51E4F"/>
    <w:rsid w:val="6E0A56ED"/>
    <w:rsid w:val="748354C7"/>
    <w:rsid w:val="76896E93"/>
    <w:rsid w:val="76C33714"/>
    <w:rsid w:val="793622EC"/>
    <w:rsid w:val="7A4D5B40"/>
    <w:rsid w:val="7C727A8F"/>
    <w:rsid w:val="7F8A51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637</Words>
  <Characters>653</Characters>
  <TotalTime>1</TotalTime>
  <ScaleCrop>false</ScaleCrop>
  <LinksUpToDate>false</LinksUpToDate>
  <CharactersWithSpaces>653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2026-09-26T12:45:00Z</dcterms:created>
  <dc:creator>Apache POI</dc:creator>
  <cp:lastModifiedBy>大豆芽菜</cp:lastModifiedBy>
  <dcterms:modified xsi:type="dcterms:W3CDTF">2026-10-23T02:38:37Z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{"Label":"1","ContentProducer":"001191110102MACQD9K64010000","ProduceID":"7689824275192941775","ReservedCode1":"","ContentPropagator":"","PropagateID":"","ReservedCode2":""}</vt:lpwstr>
  </property>
  <property fmtid="{D5CDD505-2E9C-101B-9397-08002B2CF9AE}" pid="3" name="KSOTemplateDocerSaveRecord">
    <vt:lpwstr>eyJoZGlkIjoiZDk0YjQzZGNhNGFmZDI3Y2JmMzUzZWUwYWFhYTNlNWMiLCJ1c2VySWQiOiI2NzU5MDAxMTYifQ==</vt:lpwstr>
  </property>
  <property fmtid="{D5CDD505-2E9C-101B-9397-08002B2CF9AE}" pid="4" name="KSOProductBuildVer">
    <vt:lpwstr>2052-12.1.0.28505</vt:lpwstr>
  </property>
  <property fmtid="{D5CDD505-2E9C-101B-9397-08002B2CF9AE}" pid="5" name="ICV">
    <vt:lpwstr>D9CA13244E204F3FB815EAEA81145C3F_13</vt:lpwstr>
  </property>
</Properties>
</file>