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7CB50">
      <w:pPr>
        <w:spacing w:before="624" w:beforeLines="200" w:after="312" w:afterLines="100"/>
        <w:ind w:left="1440" w:leftChars="600" w:right="1440" w:rightChars="600"/>
        <w:jc w:val="center"/>
        <w:rPr>
          <w:rFonts w:hint="default" w:eastAsia="宋体" w:cs="宋体"/>
          <w:b/>
          <w:sz w:val="44"/>
          <w:szCs w:val="30"/>
          <w:lang w:val="en-US" w:eastAsia="zh-CN"/>
        </w:rPr>
      </w:pPr>
      <w:r>
        <w:rPr>
          <w:rFonts w:hint="eastAsia" w:cs="宋体"/>
          <w:b/>
          <w:sz w:val="44"/>
          <w:szCs w:val="30"/>
          <w:lang w:val="en-US" w:eastAsia="zh-CN"/>
        </w:rPr>
        <w:t>放射科科研</w:t>
      </w:r>
      <w:r>
        <w:rPr>
          <w:rFonts w:cs="宋体"/>
          <w:b/>
          <w:sz w:val="44"/>
          <w:szCs w:val="30"/>
        </w:rPr>
        <w:t>服务器维保服务</w:t>
      </w:r>
      <w:r>
        <w:rPr>
          <w:rFonts w:hint="eastAsia" w:cs="宋体"/>
          <w:b/>
          <w:sz w:val="44"/>
          <w:szCs w:val="30"/>
        </w:rPr>
        <w:t>项目</w:t>
      </w:r>
      <w:r>
        <w:rPr>
          <w:rFonts w:hint="eastAsia" w:cs="宋体"/>
          <w:b/>
          <w:sz w:val="44"/>
          <w:szCs w:val="30"/>
          <w:lang w:eastAsia="zh-CN"/>
        </w:rPr>
        <w:t>（</w:t>
      </w:r>
      <w:r>
        <w:rPr>
          <w:rFonts w:hint="eastAsia" w:cs="宋体"/>
          <w:b/>
          <w:sz w:val="44"/>
          <w:szCs w:val="30"/>
          <w:lang w:val="en-US" w:eastAsia="zh-CN"/>
        </w:rPr>
        <w:t>2026</w:t>
      </w:r>
      <w:r>
        <w:rPr>
          <w:rFonts w:hint="eastAsia" w:cs="宋体"/>
          <w:b/>
          <w:sz w:val="44"/>
          <w:szCs w:val="30"/>
          <w:lang w:eastAsia="zh-CN"/>
        </w:rPr>
        <w:t>）</w:t>
      </w:r>
      <w:r>
        <w:rPr>
          <w:rFonts w:hint="eastAsia" w:cs="宋体"/>
          <w:b/>
          <w:sz w:val="44"/>
          <w:szCs w:val="30"/>
        </w:rPr>
        <w:t>需求</w:t>
      </w:r>
    </w:p>
    <w:p w14:paraId="68DFB525">
      <w:pPr>
        <w:pStyle w:val="2"/>
        <w:numPr>
          <w:ilvl w:val="0"/>
          <w:numId w:val="3"/>
        </w:numPr>
        <w:spacing w:before="0" w:after="0"/>
        <w:rPr>
          <w:rFonts w:hint="eastAsia" w:cs="宋体"/>
          <w:sz w:val="32"/>
          <w:szCs w:val="32"/>
        </w:rPr>
      </w:pPr>
      <w:r>
        <w:rPr>
          <w:rFonts w:hint="eastAsia" w:cs="宋体"/>
          <w:sz w:val="32"/>
          <w:szCs w:val="32"/>
        </w:rPr>
        <w:t>项目名称</w:t>
      </w:r>
    </w:p>
    <w:p w14:paraId="69353AA9">
      <w:pPr>
        <w:ind w:left="432"/>
        <w:rPr>
          <w:rFonts w:hint="eastAsia" w:eastAsia="宋体" w:cs="宋体"/>
          <w:lang w:eastAsia="zh-CN"/>
        </w:rPr>
      </w:pPr>
      <w:r>
        <w:rPr>
          <w:rFonts w:hint="eastAsia" w:cs="宋体"/>
        </w:rPr>
        <w:t>项目名称：</w:t>
      </w:r>
      <w:r>
        <w:rPr>
          <w:rFonts w:hint="eastAsia" w:cs="宋体"/>
          <w:lang w:val="en-US" w:eastAsia="zh-CN"/>
        </w:rPr>
        <w:t>放射科</w:t>
      </w:r>
      <w:r>
        <w:rPr>
          <w:rFonts w:cs="宋体"/>
        </w:rPr>
        <w:t>科研服务器维保服务</w:t>
      </w:r>
      <w:r>
        <w:rPr>
          <w:rFonts w:hint="eastAsia" w:cs="宋体"/>
        </w:rPr>
        <w:t>项目</w:t>
      </w:r>
      <w:r>
        <w:rPr>
          <w:rFonts w:hint="eastAsia" w:cs="宋体"/>
          <w:lang w:eastAsia="zh-CN"/>
        </w:rPr>
        <w:t>（</w:t>
      </w:r>
      <w:r>
        <w:rPr>
          <w:rFonts w:hint="eastAsia" w:cs="宋体"/>
          <w:lang w:val="en-US" w:eastAsia="zh-CN"/>
        </w:rPr>
        <w:t>2026</w:t>
      </w:r>
      <w:r>
        <w:rPr>
          <w:rFonts w:hint="eastAsia" w:cs="宋体"/>
          <w:lang w:eastAsia="zh-CN"/>
        </w:rPr>
        <w:t>）</w:t>
      </w:r>
    </w:p>
    <w:p w14:paraId="3A1846A7">
      <w:pPr>
        <w:ind w:left="432"/>
        <w:rPr>
          <w:rFonts w:hint="eastAsia" w:cs="宋体"/>
          <w:sz w:val="22"/>
        </w:rPr>
      </w:pPr>
      <w:bookmarkStart w:id="3" w:name="_GoBack"/>
      <w:bookmarkEnd w:id="3"/>
    </w:p>
    <w:p w14:paraId="505B45AA">
      <w:pPr>
        <w:pStyle w:val="2"/>
        <w:numPr>
          <w:ilvl w:val="0"/>
          <w:numId w:val="3"/>
        </w:numPr>
        <w:spacing w:before="0" w:after="0"/>
        <w:rPr>
          <w:rFonts w:hint="eastAsia" w:cs="宋体"/>
          <w:vanish/>
          <w:szCs w:val="21"/>
        </w:rPr>
      </w:pPr>
      <w:r>
        <w:rPr>
          <w:rFonts w:hint="eastAsia" w:cs="宋体"/>
          <w:sz w:val="32"/>
          <w:szCs w:val="32"/>
          <w:lang w:val="en-US"/>
        </w:rPr>
        <w:t>项目背景</w:t>
      </w:r>
    </w:p>
    <w:p w14:paraId="588C7228">
      <w:pPr>
        <w:rPr>
          <w:rFonts w:hint="eastAsia" w:cs="宋体"/>
        </w:rPr>
      </w:pPr>
    </w:p>
    <w:p w14:paraId="7C6EE206">
      <w:pPr>
        <w:ind w:firstLine="420"/>
        <w:rPr>
          <w:rFonts w:hint="default" w:cs="宋体"/>
          <w:kern w:val="0"/>
          <w:szCs w:val="21"/>
          <w:lang w:val="en-US" w:eastAsia="zh-CN"/>
        </w:rPr>
      </w:pPr>
      <w:r>
        <w:rPr>
          <w:rFonts w:hint="eastAsia" w:cs="宋体"/>
          <w:kern w:val="0"/>
          <w:szCs w:val="21"/>
        </w:rPr>
        <w:t>目前</w:t>
      </w:r>
      <w:r>
        <w:rPr>
          <w:rFonts w:hint="eastAsia" w:cs="宋体"/>
          <w:kern w:val="0"/>
          <w:szCs w:val="21"/>
          <w:lang w:val="en-US" w:eastAsia="zh-CN"/>
        </w:rPr>
        <w:t>放射科计算集群平台工包含6台浪潮GPU计算服务器、3台浪潮存储服务器和相关交换机、防火墙设备。该计算平台主要面向放射科和医学影像智能分析与应用重点实验室成员，主要研究方向包括自然语言处理、医学影像、生物信息等。</w:t>
      </w:r>
    </w:p>
    <w:p w14:paraId="05445C37">
      <w:pPr>
        <w:ind w:firstLine="420"/>
        <w:rPr>
          <w:rFonts w:hint="eastAsia" w:cs="宋体"/>
          <w:kern w:val="0"/>
          <w:szCs w:val="21"/>
        </w:rPr>
      </w:pPr>
      <w:r>
        <w:rPr>
          <w:rFonts w:hint="eastAsia" w:cs="宋体"/>
          <w:kern w:val="0"/>
          <w:szCs w:val="21"/>
        </w:rPr>
        <w:t>为保障</w:t>
      </w:r>
      <w:r>
        <w:rPr>
          <w:rFonts w:hint="eastAsia" w:cs="宋体"/>
          <w:kern w:val="0"/>
          <w:szCs w:val="21"/>
          <w:lang w:val="en-US" w:eastAsia="zh-CN"/>
        </w:rPr>
        <w:t>计算集群</w:t>
      </w:r>
      <w:r>
        <w:rPr>
          <w:rFonts w:hint="eastAsia" w:cs="宋体"/>
          <w:kern w:val="0"/>
          <w:szCs w:val="21"/>
        </w:rPr>
        <w:t>平台</w:t>
      </w:r>
      <w:r>
        <w:rPr>
          <w:rFonts w:hint="eastAsia" w:cs="宋体"/>
          <w:kern w:val="0"/>
          <w:szCs w:val="21"/>
          <w:lang w:val="en-US" w:eastAsia="zh-CN"/>
        </w:rPr>
        <w:t>上述设备</w:t>
      </w:r>
      <w:r>
        <w:rPr>
          <w:rFonts w:hint="eastAsia" w:cs="宋体"/>
          <w:kern w:val="0"/>
          <w:szCs w:val="21"/>
        </w:rPr>
        <w:t>持续稳定运行，拟计划采购202</w:t>
      </w:r>
      <w:r>
        <w:rPr>
          <w:rFonts w:hint="eastAsia" w:cs="宋体"/>
          <w:kern w:val="0"/>
          <w:szCs w:val="21"/>
          <w:lang w:val="en-US" w:eastAsia="zh-CN"/>
        </w:rPr>
        <w:t>6</w:t>
      </w:r>
      <w:r>
        <w:rPr>
          <w:rFonts w:hint="eastAsia" w:cs="宋体"/>
          <w:kern w:val="0"/>
          <w:szCs w:val="21"/>
        </w:rPr>
        <w:t>-202</w:t>
      </w:r>
      <w:r>
        <w:rPr>
          <w:rFonts w:hint="eastAsia" w:cs="宋体"/>
          <w:kern w:val="0"/>
          <w:szCs w:val="21"/>
          <w:lang w:val="en-US" w:eastAsia="zh-CN"/>
        </w:rPr>
        <w:t>9</w:t>
      </w:r>
      <w:r>
        <w:rPr>
          <w:rFonts w:hint="eastAsia" w:cs="宋体"/>
          <w:kern w:val="0"/>
          <w:szCs w:val="21"/>
        </w:rPr>
        <w:t>共</w:t>
      </w:r>
      <w:r>
        <w:rPr>
          <w:rFonts w:hint="eastAsia" w:cs="宋体"/>
          <w:kern w:val="0"/>
          <w:szCs w:val="21"/>
          <w:lang w:val="en-US" w:eastAsia="zh-CN"/>
        </w:rPr>
        <w:t>3</w:t>
      </w:r>
      <w:r>
        <w:rPr>
          <w:rFonts w:hint="eastAsia" w:cs="宋体"/>
          <w:kern w:val="0"/>
          <w:szCs w:val="21"/>
        </w:rPr>
        <w:t>年度硬件维护服务，保障科研项目的顺利进行。维保服务期间，</w:t>
      </w:r>
      <w:r>
        <w:rPr>
          <w:rFonts w:hint="eastAsia" w:cs="宋体"/>
          <w:kern w:val="0"/>
          <w:szCs w:val="21"/>
          <w:lang w:val="en-US" w:eastAsia="zh-CN"/>
        </w:rPr>
        <w:t>需要对</w:t>
      </w:r>
      <w:r>
        <w:rPr>
          <w:rFonts w:hint="eastAsia" w:cs="宋体"/>
          <w:kern w:val="0"/>
          <w:szCs w:val="21"/>
        </w:rPr>
        <w:t>硬件的日常维护和优化，提供及时现场或远程技术支持，提高</w:t>
      </w:r>
      <w:r>
        <w:rPr>
          <w:rFonts w:hint="eastAsia" w:cs="宋体"/>
          <w:kern w:val="0"/>
          <w:szCs w:val="21"/>
          <w:lang w:val="en-US" w:eastAsia="zh-CN"/>
        </w:rPr>
        <w:t>硬件设备</w:t>
      </w:r>
      <w:r>
        <w:rPr>
          <w:rFonts w:hint="eastAsia" w:cs="宋体"/>
          <w:kern w:val="0"/>
          <w:szCs w:val="21"/>
        </w:rPr>
        <w:t>可用性。</w:t>
      </w:r>
    </w:p>
    <w:p w14:paraId="4EC44465">
      <w:pPr>
        <w:pStyle w:val="2"/>
        <w:numPr>
          <w:ilvl w:val="0"/>
          <w:numId w:val="3"/>
        </w:numPr>
        <w:spacing w:before="0" w:after="0"/>
        <w:rPr>
          <w:rFonts w:hint="eastAsia" w:cs="宋体"/>
          <w:sz w:val="32"/>
          <w:szCs w:val="32"/>
          <w:lang w:val="en-US"/>
        </w:rPr>
      </w:pPr>
      <w:r>
        <w:rPr>
          <w:rFonts w:hint="eastAsia" w:cs="宋体"/>
          <w:sz w:val="32"/>
          <w:szCs w:val="32"/>
          <w:lang w:val="en-US"/>
        </w:rPr>
        <w:t>维保清单</w:t>
      </w:r>
    </w:p>
    <w:tbl>
      <w:tblPr>
        <w:tblStyle w:val="24"/>
        <w:tblpPr w:leftFromText="180" w:rightFromText="180" w:vertAnchor="text" w:horzAnchor="page" w:tblpX="1484" w:tblpY="767"/>
        <w:tblOverlap w:val="never"/>
        <w:tblW w:w="4876" w:type="pct"/>
        <w:tblInd w:w="0" w:type="dxa"/>
        <w:tblLayout w:type="fixed"/>
        <w:tblCellMar>
          <w:top w:w="0" w:type="dxa"/>
          <w:left w:w="57" w:type="dxa"/>
          <w:bottom w:w="0" w:type="dxa"/>
          <w:right w:w="57" w:type="dxa"/>
        </w:tblCellMar>
      </w:tblPr>
      <w:tblGrid>
        <w:gridCol w:w="665"/>
        <w:gridCol w:w="1238"/>
        <w:gridCol w:w="909"/>
        <w:gridCol w:w="5286"/>
        <w:gridCol w:w="747"/>
      </w:tblGrid>
      <w:tr w14:paraId="5E3847B1">
        <w:tblPrEx>
          <w:tblCellMar>
            <w:top w:w="0" w:type="dxa"/>
            <w:left w:w="57" w:type="dxa"/>
            <w:bottom w:w="0" w:type="dxa"/>
            <w:right w:w="57" w:type="dxa"/>
          </w:tblCellMar>
        </w:tblPrEx>
        <w:trPr>
          <w:trHeight w:val="23" w:hRule="atLeast"/>
        </w:trPr>
        <w:tc>
          <w:tcPr>
            <w:tcW w:w="376" w:type="pct"/>
            <w:tcBorders>
              <w:top w:val="single" w:color="auto" w:sz="4" w:space="0"/>
              <w:left w:val="single" w:color="auto" w:sz="4" w:space="0"/>
              <w:bottom w:val="single" w:color="auto" w:sz="4" w:space="0"/>
              <w:right w:val="single" w:color="auto" w:sz="4" w:space="0"/>
            </w:tcBorders>
            <w:noWrap/>
            <w:vAlign w:val="center"/>
          </w:tcPr>
          <w:p w14:paraId="5014E80A">
            <w:pPr>
              <w:widowControl/>
              <w:spacing w:line="240" w:lineRule="auto"/>
              <w:jc w:val="center"/>
              <w:rPr>
                <w:rFonts w:hint="eastAsia" w:cs="宋体"/>
                <w:color w:val="000000"/>
                <w:kern w:val="0"/>
                <w:sz w:val="20"/>
                <w:szCs w:val="20"/>
              </w:rPr>
            </w:pPr>
            <w:r>
              <w:rPr>
                <w:rFonts w:hint="eastAsia" w:cs="宋体"/>
                <w:color w:val="000000"/>
                <w:kern w:val="0"/>
                <w:sz w:val="20"/>
                <w:szCs w:val="20"/>
              </w:rPr>
              <w:t>序号</w:t>
            </w:r>
          </w:p>
        </w:tc>
        <w:tc>
          <w:tcPr>
            <w:tcW w:w="700" w:type="pct"/>
            <w:tcBorders>
              <w:top w:val="single" w:color="auto" w:sz="4" w:space="0"/>
              <w:left w:val="nil"/>
              <w:bottom w:val="single" w:color="auto" w:sz="4" w:space="0"/>
              <w:right w:val="single" w:color="auto" w:sz="4" w:space="0"/>
            </w:tcBorders>
            <w:noWrap/>
            <w:vAlign w:val="center"/>
          </w:tcPr>
          <w:p w14:paraId="4D169A0E">
            <w:pPr>
              <w:widowControl/>
              <w:spacing w:line="240" w:lineRule="auto"/>
              <w:jc w:val="left"/>
              <w:rPr>
                <w:rFonts w:hint="eastAsia" w:cs="宋体"/>
                <w:color w:val="000000"/>
                <w:kern w:val="0"/>
                <w:sz w:val="20"/>
                <w:szCs w:val="20"/>
              </w:rPr>
            </w:pPr>
            <w:r>
              <w:rPr>
                <w:rFonts w:hint="eastAsia" w:cs="宋体"/>
                <w:color w:val="000000"/>
                <w:kern w:val="0"/>
                <w:sz w:val="20"/>
                <w:szCs w:val="20"/>
              </w:rPr>
              <w:t>产品名称</w:t>
            </w:r>
          </w:p>
        </w:tc>
        <w:tc>
          <w:tcPr>
            <w:tcW w:w="514" w:type="pct"/>
            <w:tcBorders>
              <w:top w:val="single" w:color="auto" w:sz="4" w:space="0"/>
              <w:left w:val="nil"/>
              <w:bottom w:val="single" w:color="auto" w:sz="4" w:space="0"/>
              <w:right w:val="single" w:color="auto" w:sz="4" w:space="0"/>
            </w:tcBorders>
            <w:noWrap/>
            <w:vAlign w:val="center"/>
          </w:tcPr>
          <w:p w14:paraId="7720DD6E">
            <w:pPr>
              <w:widowControl/>
              <w:spacing w:line="240" w:lineRule="auto"/>
              <w:jc w:val="center"/>
              <w:rPr>
                <w:rFonts w:hint="eastAsia" w:cs="宋体"/>
                <w:color w:val="000000"/>
                <w:kern w:val="0"/>
                <w:sz w:val="20"/>
                <w:szCs w:val="20"/>
              </w:rPr>
            </w:pPr>
            <w:r>
              <w:rPr>
                <w:rFonts w:hint="eastAsia" w:cs="宋体"/>
                <w:color w:val="000000"/>
                <w:kern w:val="0"/>
                <w:sz w:val="20"/>
                <w:szCs w:val="20"/>
              </w:rPr>
              <w:t>型号</w:t>
            </w:r>
          </w:p>
        </w:tc>
        <w:tc>
          <w:tcPr>
            <w:tcW w:w="2988" w:type="pct"/>
            <w:tcBorders>
              <w:top w:val="single" w:color="auto" w:sz="4" w:space="0"/>
              <w:left w:val="nil"/>
              <w:bottom w:val="single" w:color="auto" w:sz="4" w:space="0"/>
              <w:right w:val="single" w:color="auto" w:sz="4" w:space="0"/>
            </w:tcBorders>
            <w:noWrap/>
            <w:vAlign w:val="center"/>
          </w:tcPr>
          <w:p w14:paraId="42DBB6B4">
            <w:pPr>
              <w:widowControl/>
              <w:spacing w:line="240" w:lineRule="auto"/>
              <w:jc w:val="left"/>
              <w:rPr>
                <w:rFonts w:hint="eastAsia" w:cs="宋体"/>
                <w:color w:val="000000"/>
                <w:kern w:val="0"/>
                <w:sz w:val="20"/>
                <w:szCs w:val="20"/>
              </w:rPr>
            </w:pPr>
            <w:r>
              <w:rPr>
                <w:rFonts w:hint="eastAsia" w:cs="宋体"/>
                <w:color w:val="000000"/>
                <w:kern w:val="0"/>
                <w:sz w:val="20"/>
                <w:szCs w:val="20"/>
              </w:rPr>
              <w:t>描述</w:t>
            </w:r>
          </w:p>
        </w:tc>
        <w:tc>
          <w:tcPr>
            <w:tcW w:w="422" w:type="pct"/>
            <w:tcBorders>
              <w:top w:val="single" w:color="auto" w:sz="4" w:space="0"/>
              <w:left w:val="nil"/>
              <w:bottom w:val="single" w:color="auto" w:sz="4" w:space="0"/>
              <w:right w:val="single" w:color="auto" w:sz="4" w:space="0"/>
            </w:tcBorders>
            <w:noWrap/>
            <w:vAlign w:val="center"/>
          </w:tcPr>
          <w:p w14:paraId="01FCE70B">
            <w:pPr>
              <w:widowControl/>
              <w:spacing w:line="240" w:lineRule="auto"/>
              <w:jc w:val="left"/>
              <w:rPr>
                <w:rFonts w:hint="eastAsia" w:cs="宋体"/>
                <w:color w:val="000000"/>
                <w:kern w:val="0"/>
                <w:sz w:val="20"/>
                <w:szCs w:val="20"/>
              </w:rPr>
            </w:pPr>
            <w:r>
              <w:rPr>
                <w:rFonts w:hint="eastAsia" w:cs="宋体"/>
                <w:color w:val="000000"/>
                <w:kern w:val="0"/>
                <w:sz w:val="20"/>
                <w:szCs w:val="20"/>
              </w:rPr>
              <w:t>数量</w:t>
            </w:r>
          </w:p>
        </w:tc>
      </w:tr>
      <w:tr w14:paraId="4FC1F53F">
        <w:tblPrEx>
          <w:tblCellMar>
            <w:top w:w="0" w:type="dxa"/>
            <w:left w:w="57" w:type="dxa"/>
            <w:bottom w:w="0" w:type="dxa"/>
            <w:right w:w="57" w:type="dxa"/>
          </w:tblCellMar>
        </w:tblPrEx>
        <w:trPr>
          <w:trHeight w:val="23" w:hRule="atLeast"/>
        </w:trPr>
        <w:tc>
          <w:tcPr>
            <w:tcW w:w="376" w:type="pct"/>
            <w:tcBorders>
              <w:top w:val="nil"/>
              <w:left w:val="single" w:color="auto" w:sz="4" w:space="0"/>
              <w:bottom w:val="single" w:color="auto" w:sz="4" w:space="0"/>
              <w:right w:val="single" w:color="auto" w:sz="4" w:space="0"/>
            </w:tcBorders>
            <w:noWrap/>
            <w:vAlign w:val="center"/>
          </w:tcPr>
          <w:p w14:paraId="30234212">
            <w:pPr>
              <w:widowControl/>
              <w:spacing w:line="240" w:lineRule="auto"/>
              <w:jc w:val="center"/>
              <w:rPr>
                <w:rFonts w:hint="eastAsia" w:cs="宋体"/>
                <w:color w:val="000000"/>
                <w:kern w:val="0"/>
                <w:sz w:val="20"/>
                <w:szCs w:val="20"/>
              </w:rPr>
            </w:pPr>
            <w:r>
              <w:rPr>
                <w:rFonts w:hint="eastAsia" w:cs="宋体"/>
                <w:color w:val="000000"/>
                <w:kern w:val="0"/>
                <w:sz w:val="20"/>
                <w:szCs w:val="20"/>
              </w:rPr>
              <w:t>1</w:t>
            </w:r>
          </w:p>
        </w:tc>
        <w:tc>
          <w:tcPr>
            <w:tcW w:w="700" w:type="pct"/>
            <w:tcBorders>
              <w:top w:val="nil"/>
              <w:left w:val="nil"/>
              <w:bottom w:val="single" w:color="auto" w:sz="4" w:space="0"/>
              <w:right w:val="single" w:color="auto" w:sz="4" w:space="0"/>
            </w:tcBorders>
            <w:vAlign w:val="center"/>
          </w:tcPr>
          <w:p w14:paraId="53AA852E">
            <w:pPr>
              <w:widowControl/>
              <w:spacing w:line="240" w:lineRule="auto"/>
              <w:jc w:val="left"/>
              <w:rPr>
                <w:rFonts w:hint="eastAsia" w:cs="宋体"/>
                <w:color w:val="000000"/>
                <w:kern w:val="0"/>
                <w:sz w:val="20"/>
                <w:szCs w:val="20"/>
              </w:rPr>
            </w:pPr>
            <w:r>
              <w:rPr>
                <w:rFonts w:cs="宋体"/>
                <w:color w:val="000000"/>
                <w:kern w:val="0"/>
                <w:sz w:val="20"/>
                <w:szCs w:val="20"/>
              </w:rPr>
              <w:t>浪潮GPU服务器</w:t>
            </w:r>
          </w:p>
        </w:tc>
        <w:tc>
          <w:tcPr>
            <w:tcW w:w="514" w:type="pct"/>
            <w:tcBorders>
              <w:top w:val="nil"/>
              <w:left w:val="nil"/>
              <w:bottom w:val="single" w:color="auto" w:sz="4" w:space="0"/>
              <w:right w:val="single" w:color="auto" w:sz="4" w:space="0"/>
            </w:tcBorders>
            <w:noWrap/>
            <w:vAlign w:val="center"/>
          </w:tcPr>
          <w:p w14:paraId="2EE60DC9">
            <w:pPr>
              <w:widowControl/>
              <w:spacing w:line="240" w:lineRule="auto"/>
              <w:jc w:val="center"/>
              <w:rPr>
                <w:rFonts w:hint="eastAsia" w:cs="宋体"/>
                <w:color w:val="000000"/>
                <w:kern w:val="0"/>
                <w:sz w:val="20"/>
                <w:szCs w:val="20"/>
              </w:rPr>
            </w:pPr>
            <w:r>
              <w:rPr>
                <w:rFonts w:cs="宋体"/>
                <w:color w:val="000000"/>
                <w:kern w:val="0"/>
                <w:sz w:val="20"/>
                <w:szCs w:val="20"/>
              </w:rPr>
              <w:t>浪潮 NF5468 M6</w:t>
            </w:r>
          </w:p>
        </w:tc>
        <w:tc>
          <w:tcPr>
            <w:tcW w:w="2988" w:type="pct"/>
            <w:tcBorders>
              <w:top w:val="nil"/>
              <w:left w:val="nil"/>
              <w:bottom w:val="single" w:color="auto" w:sz="4" w:space="0"/>
              <w:right w:val="single" w:color="auto" w:sz="4" w:space="0"/>
            </w:tcBorders>
            <w:vAlign w:val="center"/>
          </w:tcPr>
          <w:p w14:paraId="4AABA040">
            <w:pPr>
              <w:widowControl/>
              <w:spacing w:line="240" w:lineRule="auto"/>
              <w:jc w:val="left"/>
              <w:rPr>
                <w:rFonts w:hint="eastAsia" w:cs="宋体"/>
                <w:color w:val="000000"/>
                <w:kern w:val="0"/>
                <w:sz w:val="20"/>
                <w:szCs w:val="20"/>
              </w:rPr>
            </w:pPr>
            <w:r>
              <w:rPr>
                <w:rFonts w:hint="eastAsia" w:cs="宋体"/>
                <w:color w:val="000000"/>
                <w:kern w:val="0"/>
                <w:sz w:val="20"/>
                <w:szCs w:val="20"/>
              </w:rPr>
              <w:t>CPU：</w:t>
            </w:r>
            <w:r>
              <w:rPr>
                <w:rFonts w:cs="宋体"/>
                <w:color w:val="000000"/>
                <w:kern w:val="0"/>
                <w:sz w:val="20"/>
                <w:szCs w:val="20"/>
              </w:rPr>
              <w:t>4316/2.3G*2</w:t>
            </w:r>
            <w:r>
              <w:rPr>
                <w:rFonts w:hint="eastAsia" w:cs="宋体"/>
                <w:color w:val="000000"/>
                <w:kern w:val="0"/>
                <w:sz w:val="20"/>
                <w:szCs w:val="20"/>
              </w:rPr>
              <w:t>；                                               内存：</w:t>
            </w:r>
            <w:r>
              <w:rPr>
                <w:rFonts w:cs="宋体"/>
                <w:color w:val="000000"/>
                <w:kern w:val="0"/>
                <w:sz w:val="20"/>
                <w:szCs w:val="20"/>
              </w:rPr>
              <w:t>32G/DDR4-3200ER*16</w:t>
            </w:r>
            <w:r>
              <w:rPr>
                <w:rFonts w:hint="eastAsia" w:cs="宋体"/>
                <w:color w:val="000000"/>
                <w:kern w:val="0"/>
                <w:sz w:val="20"/>
                <w:szCs w:val="20"/>
              </w:rPr>
              <w:t xml:space="preserve">；                      </w:t>
            </w:r>
          </w:p>
          <w:p w14:paraId="3D364357">
            <w:pPr>
              <w:widowControl/>
              <w:spacing w:line="240" w:lineRule="auto"/>
              <w:jc w:val="left"/>
              <w:rPr>
                <w:rFonts w:hint="eastAsia" w:cs="宋体"/>
                <w:color w:val="000000"/>
                <w:kern w:val="0"/>
                <w:sz w:val="20"/>
                <w:szCs w:val="20"/>
              </w:rPr>
            </w:pPr>
            <w:r>
              <w:rPr>
                <w:rFonts w:cs="宋体"/>
                <w:color w:val="000000"/>
                <w:kern w:val="0"/>
                <w:sz w:val="20"/>
                <w:szCs w:val="20"/>
              </w:rPr>
              <w:t>显卡：显卡Geforce_RTX309024G*4</w:t>
            </w:r>
            <w:r>
              <w:rPr>
                <w:rFonts w:hint="eastAsia" w:cs="宋体"/>
                <w:color w:val="000000"/>
                <w:kern w:val="0"/>
                <w:sz w:val="20"/>
                <w:szCs w:val="20"/>
              </w:rPr>
              <w:t>；</w:t>
            </w:r>
          </w:p>
          <w:p w14:paraId="3D2A735B">
            <w:pPr>
              <w:widowControl/>
              <w:spacing w:line="240" w:lineRule="auto"/>
              <w:jc w:val="left"/>
              <w:rPr>
                <w:rFonts w:hint="eastAsia" w:cs="宋体"/>
                <w:color w:val="000000"/>
                <w:kern w:val="0"/>
                <w:sz w:val="20"/>
                <w:szCs w:val="20"/>
              </w:rPr>
            </w:pPr>
            <w:r>
              <w:rPr>
                <w:rFonts w:cs="宋体"/>
                <w:color w:val="000000"/>
                <w:kern w:val="0"/>
                <w:sz w:val="20"/>
                <w:szCs w:val="20"/>
              </w:rPr>
              <w:t>电源模块：2200w*4</w:t>
            </w:r>
            <w:r>
              <w:rPr>
                <w:rFonts w:hint="eastAsia" w:cs="宋体"/>
                <w:color w:val="000000"/>
                <w:kern w:val="0"/>
                <w:sz w:val="20"/>
                <w:szCs w:val="20"/>
              </w:rPr>
              <w:t>；</w:t>
            </w:r>
          </w:p>
          <w:p w14:paraId="7EC414FE">
            <w:pPr>
              <w:widowControl/>
              <w:spacing w:line="240" w:lineRule="auto"/>
              <w:jc w:val="left"/>
              <w:rPr>
                <w:rFonts w:hint="eastAsia" w:cs="宋体"/>
                <w:color w:val="000000"/>
                <w:kern w:val="0"/>
                <w:sz w:val="20"/>
                <w:szCs w:val="20"/>
              </w:rPr>
            </w:pPr>
            <w:r>
              <w:rPr>
                <w:rFonts w:cs="宋体"/>
                <w:color w:val="000000"/>
                <w:kern w:val="0"/>
                <w:sz w:val="20"/>
                <w:szCs w:val="20"/>
              </w:rPr>
              <w:t>硬盘：4T/SATA/7.2K*4</w:t>
            </w:r>
            <w:r>
              <w:rPr>
                <w:rFonts w:hint="eastAsia" w:cs="宋体"/>
                <w:color w:val="000000"/>
                <w:kern w:val="0"/>
                <w:sz w:val="20"/>
                <w:szCs w:val="20"/>
              </w:rPr>
              <w:t>；</w:t>
            </w:r>
          </w:p>
          <w:p w14:paraId="52985FA9">
            <w:pPr>
              <w:widowControl/>
              <w:spacing w:line="240" w:lineRule="auto"/>
              <w:jc w:val="left"/>
              <w:rPr>
                <w:rFonts w:hint="eastAsia" w:cs="宋体"/>
                <w:color w:val="000000"/>
                <w:kern w:val="0"/>
                <w:sz w:val="20"/>
                <w:szCs w:val="20"/>
                <w:lang w:eastAsia="zh-CN"/>
              </w:rPr>
            </w:pPr>
            <w:r>
              <w:rPr>
                <w:rFonts w:cs="宋体"/>
                <w:color w:val="000000"/>
                <w:kern w:val="0"/>
                <w:sz w:val="20"/>
                <w:szCs w:val="20"/>
              </w:rPr>
              <w:t>硬盘：960G/SSD*2</w:t>
            </w:r>
            <w:r>
              <w:rPr>
                <w:rFonts w:hint="eastAsia" w:cs="宋体"/>
                <w:color w:val="000000"/>
                <w:kern w:val="0"/>
                <w:sz w:val="20"/>
                <w:szCs w:val="20"/>
                <w:lang w:eastAsia="zh-CN"/>
              </w:rPr>
              <w:t>；</w:t>
            </w:r>
          </w:p>
          <w:p w14:paraId="563B8DD1">
            <w:pPr>
              <w:widowControl/>
              <w:spacing w:line="240" w:lineRule="auto"/>
              <w:jc w:val="left"/>
              <w:rPr>
                <w:rFonts w:hint="default" w:eastAsia="宋体" w:cs="宋体"/>
                <w:color w:val="000000"/>
                <w:kern w:val="0"/>
                <w:sz w:val="20"/>
                <w:szCs w:val="20"/>
                <w:lang w:val="en-US" w:eastAsia="zh-CN"/>
              </w:rPr>
            </w:pPr>
            <w:r>
              <w:rPr>
                <w:rFonts w:hint="eastAsia" w:cs="宋体"/>
                <w:color w:val="000000"/>
                <w:kern w:val="0"/>
                <w:sz w:val="20"/>
                <w:szCs w:val="20"/>
                <w:lang w:val="en-US" w:eastAsia="zh-CN"/>
              </w:rPr>
              <w:t>网卡：IB网卡*2，4口1G网卡*1；</w:t>
            </w:r>
          </w:p>
          <w:p w14:paraId="352F94FC">
            <w:pPr>
              <w:widowControl/>
              <w:spacing w:line="240" w:lineRule="auto"/>
              <w:jc w:val="left"/>
              <w:rPr>
                <w:rFonts w:hint="eastAsia" w:cs="宋体"/>
                <w:color w:val="000000"/>
                <w:kern w:val="0"/>
                <w:sz w:val="20"/>
                <w:szCs w:val="20"/>
              </w:rPr>
            </w:pPr>
            <w:r>
              <w:rPr>
                <w:rFonts w:hint="eastAsia" w:cs="宋体"/>
                <w:color w:val="000000"/>
                <w:kern w:val="0"/>
                <w:sz w:val="20"/>
                <w:szCs w:val="20"/>
              </w:rPr>
              <w:t xml:space="preserve">                                                                                           </w:t>
            </w:r>
          </w:p>
        </w:tc>
        <w:tc>
          <w:tcPr>
            <w:tcW w:w="422" w:type="pct"/>
            <w:tcBorders>
              <w:top w:val="nil"/>
              <w:left w:val="nil"/>
              <w:bottom w:val="single" w:color="auto" w:sz="4" w:space="0"/>
              <w:right w:val="single" w:color="auto" w:sz="4" w:space="0"/>
            </w:tcBorders>
            <w:noWrap/>
            <w:vAlign w:val="center"/>
          </w:tcPr>
          <w:p w14:paraId="7D736A4D">
            <w:pPr>
              <w:widowControl/>
              <w:spacing w:line="240" w:lineRule="auto"/>
              <w:jc w:val="center"/>
              <w:rPr>
                <w:rFonts w:hint="eastAsia" w:cs="宋体"/>
                <w:color w:val="000000"/>
                <w:kern w:val="0"/>
                <w:sz w:val="20"/>
                <w:szCs w:val="20"/>
              </w:rPr>
            </w:pPr>
            <w:r>
              <w:rPr>
                <w:rFonts w:hint="eastAsia" w:cs="宋体"/>
                <w:color w:val="000000"/>
                <w:kern w:val="0"/>
                <w:sz w:val="20"/>
                <w:szCs w:val="20"/>
              </w:rPr>
              <w:t>6</w:t>
            </w:r>
          </w:p>
        </w:tc>
      </w:tr>
      <w:tr w14:paraId="2C046397">
        <w:tblPrEx>
          <w:tblCellMar>
            <w:top w:w="0" w:type="dxa"/>
            <w:left w:w="57" w:type="dxa"/>
            <w:bottom w:w="0" w:type="dxa"/>
            <w:right w:w="57" w:type="dxa"/>
          </w:tblCellMar>
        </w:tblPrEx>
        <w:trPr>
          <w:trHeight w:val="23" w:hRule="atLeast"/>
        </w:trPr>
        <w:tc>
          <w:tcPr>
            <w:tcW w:w="376" w:type="pct"/>
            <w:tcBorders>
              <w:top w:val="nil"/>
              <w:left w:val="single" w:color="auto" w:sz="4" w:space="0"/>
              <w:bottom w:val="single" w:color="auto" w:sz="4" w:space="0"/>
              <w:right w:val="single" w:color="auto" w:sz="4" w:space="0"/>
            </w:tcBorders>
            <w:noWrap/>
            <w:vAlign w:val="center"/>
          </w:tcPr>
          <w:p w14:paraId="5EEA53AB">
            <w:pPr>
              <w:widowControl/>
              <w:spacing w:line="240" w:lineRule="auto"/>
              <w:jc w:val="center"/>
              <w:rPr>
                <w:rFonts w:hint="eastAsia" w:cs="宋体"/>
                <w:color w:val="000000"/>
                <w:kern w:val="0"/>
                <w:sz w:val="20"/>
                <w:szCs w:val="20"/>
              </w:rPr>
            </w:pPr>
            <w:r>
              <w:rPr>
                <w:rFonts w:hint="eastAsia" w:cs="宋体"/>
                <w:color w:val="000000"/>
                <w:kern w:val="0"/>
                <w:sz w:val="20"/>
                <w:szCs w:val="20"/>
              </w:rPr>
              <w:t>2</w:t>
            </w:r>
          </w:p>
        </w:tc>
        <w:tc>
          <w:tcPr>
            <w:tcW w:w="700" w:type="pct"/>
            <w:tcBorders>
              <w:top w:val="nil"/>
              <w:left w:val="nil"/>
              <w:bottom w:val="single" w:color="auto" w:sz="4" w:space="0"/>
              <w:right w:val="single" w:color="auto" w:sz="4" w:space="0"/>
            </w:tcBorders>
            <w:vAlign w:val="center"/>
          </w:tcPr>
          <w:p w14:paraId="5E98A288">
            <w:pPr>
              <w:widowControl/>
              <w:spacing w:line="240" w:lineRule="auto"/>
              <w:jc w:val="left"/>
              <w:rPr>
                <w:rFonts w:hint="eastAsia" w:cs="宋体"/>
                <w:color w:val="000000"/>
                <w:kern w:val="0"/>
                <w:sz w:val="20"/>
                <w:szCs w:val="20"/>
              </w:rPr>
            </w:pPr>
            <w:r>
              <w:rPr>
                <w:rFonts w:cs="宋体"/>
                <w:color w:val="000000"/>
                <w:kern w:val="0"/>
                <w:sz w:val="20"/>
                <w:szCs w:val="20"/>
              </w:rPr>
              <w:t>浪潮存储服务器</w:t>
            </w:r>
          </w:p>
        </w:tc>
        <w:tc>
          <w:tcPr>
            <w:tcW w:w="514" w:type="pct"/>
            <w:tcBorders>
              <w:top w:val="nil"/>
              <w:left w:val="nil"/>
              <w:bottom w:val="single" w:color="auto" w:sz="4" w:space="0"/>
              <w:right w:val="single" w:color="auto" w:sz="4" w:space="0"/>
            </w:tcBorders>
            <w:noWrap/>
            <w:vAlign w:val="center"/>
          </w:tcPr>
          <w:p w14:paraId="3BD13BBA">
            <w:pPr>
              <w:widowControl/>
              <w:spacing w:line="240" w:lineRule="auto"/>
              <w:jc w:val="center"/>
              <w:rPr>
                <w:rFonts w:hint="eastAsia" w:cs="宋体"/>
                <w:color w:val="000000"/>
                <w:kern w:val="0"/>
                <w:sz w:val="20"/>
                <w:szCs w:val="20"/>
              </w:rPr>
            </w:pPr>
            <w:r>
              <w:rPr>
                <w:rFonts w:cs="宋体"/>
                <w:color w:val="000000"/>
                <w:kern w:val="0"/>
                <w:sz w:val="20"/>
                <w:szCs w:val="20"/>
              </w:rPr>
              <w:t>浪潮 AS13000G5-M36</w:t>
            </w:r>
          </w:p>
        </w:tc>
        <w:tc>
          <w:tcPr>
            <w:tcW w:w="2988" w:type="pct"/>
            <w:tcBorders>
              <w:top w:val="nil"/>
              <w:left w:val="nil"/>
              <w:bottom w:val="single" w:color="auto" w:sz="4" w:space="0"/>
              <w:right w:val="single" w:color="auto" w:sz="4" w:space="0"/>
            </w:tcBorders>
            <w:vAlign w:val="center"/>
          </w:tcPr>
          <w:p w14:paraId="546354EA">
            <w:pPr>
              <w:widowControl/>
              <w:spacing w:line="240" w:lineRule="auto"/>
              <w:jc w:val="left"/>
              <w:rPr>
                <w:rFonts w:hint="eastAsia" w:cs="宋体"/>
                <w:color w:val="000000"/>
                <w:kern w:val="0"/>
                <w:sz w:val="20"/>
                <w:szCs w:val="20"/>
              </w:rPr>
            </w:pPr>
            <w:r>
              <w:rPr>
                <w:rFonts w:hint="eastAsia" w:cs="宋体"/>
                <w:color w:val="000000"/>
                <w:kern w:val="0"/>
                <w:sz w:val="20"/>
                <w:szCs w:val="20"/>
              </w:rPr>
              <w:t>CPU：4214R/2.4G*2；</w:t>
            </w:r>
          </w:p>
          <w:p w14:paraId="756DFE9D">
            <w:pPr>
              <w:widowControl/>
              <w:spacing w:line="240" w:lineRule="auto"/>
              <w:jc w:val="left"/>
              <w:rPr>
                <w:rFonts w:hint="eastAsia" w:cs="宋体"/>
                <w:color w:val="000000"/>
                <w:kern w:val="0"/>
                <w:sz w:val="20"/>
                <w:szCs w:val="20"/>
              </w:rPr>
            </w:pPr>
            <w:r>
              <w:rPr>
                <w:rFonts w:hint="eastAsia" w:cs="宋体"/>
                <w:color w:val="000000"/>
                <w:kern w:val="0"/>
                <w:sz w:val="20"/>
                <w:szCs w:val="20"/>
              </w:rPr>
              <w:t>内存：32G/DDR4-3200ER*8；</w:t>
            </w:r>
          </w:p>
          <w:p w14:paraId="17CDB7E3">
            <w:pPr>
              <w:widowControl/>
              <w:spacing w:line="240" w:lineRule="auto"/>
              <w:jc w:val="left"/>
              <w:rPr>
                <w:rFonts w:hint="eastAsia" w:cs="宋体"/>
                <w:color w:val="000000"/>
                <w:kern w:val="0"/>
                <w:sz w:val="20"/>
                <w:szCs w:val="20"/>
              </w:rPr>
            </w:pPr>
            <w:r>
              <w:rPr>
                <w:rFonts w:hint="eastAsia" w:cs="宋体"/>
                <w:color w:val="000000"/>
                <w:kern w:val="0"/>
                <w:sz w:val="20"/>
                <w:szCs w:val="20"/>
              </w:rPr>
              <w:t>电源模块：1300W*2；</w:t>
            </w:r>
          </w:p>
          <w:p w14:paraId="4A1433D7">
            <w:pPr>
              <w:widowControl/>
              <w:spacing w:line="240" w:lineRule="auto"/>
              <w:jc w:val="left"/>
              <w:rPr>
                <w:rFonts w:hint="eastAsia" w:cs="宋体"/>
                <w:color w:val="000000"/>
                <w:kern w:val="0"/>
                <w:sz w:val="20"/>
                <w:szCs w:val="20"/>
              </w:rPr>
            </w:pPr>
            <w:r>
              <w:rPr>
                <w:rFonts w:hint="eastAsia" w:cs="宋体"/>
                <w:color w:val="000000"/>
                <w:kern w:val="0"/>
                <w:sz w:val="20"/>
                <w:szCs w:val="20"/>
              </w:rPr>
              <w:t>硬盘：10T/SATA/7.2K*30；</w:t>
            </w:r>
          </w:p>
          <w:p w14:paraId="7BE1DD3F">
            <w:pPr>
              <w:widowControl/>
              <w:spacing w:line="240" w:lineRule="auto"/>
              <w:jc w:val="left"/>
              <w:rPr>
                <w:rFonts w:hint="default" w:eastAsia="宋体" w:cs="宋体"/>
                <w:color w:val="000000"/>
                <w:kern w:val="0"/>
                <w:sz w:val="20"/>
                <w:szCs w:val="20"/>
                <w:lang w:val="en-US" w:eastAsia="zh-CN"/>
              </w:rPr>
            </w:pPr>
            <w:r>
              <w:rPr>
                <w:rFonts w:hint="eastAsia" w:cs="宋体"/>
                <w:color w:val="000000"/>
                <w:kern w:val="0"/>
                <w:sz w:val="20"/>
                <w:szCs w:val="20"/>
                <w:lang w:val="en-US" w:eastAsia="zh-CN"/>
              </w:rPr>
              <w:t>硬盘：7.68T*2；</w:t>
            </w:r>
          </w:p>
          <w:p w14:paraId="5A61F885">
            <w:pPr>
              <w:widowControl/>
              <w:spacing w:line="240" w:lineRule="auto"/>
              <w:jc w:val="left"/>
              <w:rPr>
                <w:rFonts w:hint="eastAsia" w:cs="宋体"/>
                <w:color w:val="000000"/>
                <w:kern w:val="0"/>
                <w:sz w:val="20"/>
                <w:szCs w:val="20"/>
              </w:rPr>
            </w:pPr>
            <w:r>
              <w:rPr>
                <w:rFonts w:hint="eastAsia" w:cs="宋体"/>
                <w:color w:val="000000"/>
                <w:kern w:val="0"/>
                <w:sz w:val="20"/>
                <w:szCs w:val="20"/>
              </w:rPr>
              <w:t xml:space="preserve">硬盘：480G/SSD*2； </w:t>
            </w:r>
          </w:p>
          <w:p w14:paraId="78A45C48">
            <w:pPr>
              <w:widowControl/>
              <w:spacing w:line="240" w:lineRule="auto"/>
              <w:jc w:val="left"/>
              <w:rPr>
                <w:rFonts w:hint="eastAsia" w:cs="宋体"/>
                <w:color w:val="000000"/>
                <w:kern w:val="0"/>
                <w:sz w:val="20"/>
                <w:szCs w:val="20"/>
              </w:rPr>
            </w:pPr>
            <w:r>
              <w:rPr>
                <w:rFonts w:hint="eastAsia" w:cs="宋体"/>
                <w:color w:val="000000"/>
                <w:kern w:val="0"/>
                <w:sz w:val="20"/>
                <w:szCs w:val="20"/>
                <w:lang w:val="en-US" w:eastAsia="zh-CN"/>
              </w:rPr>
              <w:t>网卡：IB网卡*2，4口1G网卡*1；</w:t>
            </w:r>
            <w:r>
              <w:rPr>
                <w:rFonts w:hint="eastAsia" w:cs="宋体"/>
                <w:color w:val="000000"/>
                <w:kern w:val="0"/>
                <w:sz w:val="20"/>
                <w:szCs w:val="20"/>
              </w:rPr>
              <w:t xml:space="preserve">                                                                                                 </w:t>
            </w:r>
          </w:p>
        </w:tc>
        <w:tc>
          <w:tcPr>
            <w:tcW w:w="422" w:type="pct"/>
            <w:tcBorders>
              <w:top w:val="nil"/>
              <w:left w:val="nil"/>
              <w:bottom w:val="single" w:color="auto" w:sz="4" w:space="0"/>
              <w:right w:val="single" w:color="auto" w:sz="4" w:space="0"/>
            </w:tcBorders>
            <w:noWrap/>
            <w:vAlign w:val="center"/>
          </w:tcPr>
          <w:p w14:paraId="54751DC8">
            <w:pPr>
              <w:widowControl/>
              <w:spacing w:line="240" w:lineRule="auto"/>
              <w:jc w:val="center"/>
              <w:rPr>
                <w:rFonts w:hint="eastAsia" w:cs="宋体"/>
                <w:color w:val="000000"/>
                <w:kern w:val="0"/>
                <w:sz w:val="20"/>
                <w:szCs w:val="20"/>
              </w:rPr>
            </w:pPr>
            <w:r>
              <w:rPr>
                <w:rFonts w:hint="eastAsia" w:cs="宋体"/>
                <w:color w:val="000000"/>
                <w:kern w:val="0"/>
                <w:sz w:val="20"/>
                <w:szCs w:val="20"/>
              </w:rPr>
              <w:t>3</w:t>
            </w:r>
          </w:p>
        </w:tc>
      </w:tr>
      <w:tr w14:paraId="0FA4D386">
        <w:tblPrEx>
          <w:tblCellMar>
            <w:top w:w="0" w:type="dxa"/>
            <w:left w:w="57" w:type="dxa"/>
            <w:bottom w:w="0" w:type="dxa"/>
            <w:right w:w="57" w:type="dxa"/>
          </w:tblCellMar>
        </w:tblPrEx>
        <w:trPr>
          <w:trHeight w:val="23" w:hRule="atLeast"/>
        </w:trPr>
        <w:tc>
          <w:tcPr>
            <w:tcW w:w="376" w:type="pct"/>
            <w:tcBorders>
              <w:top w:val="nil"/>
              <w:left w:val="single" w:color="auto" w:sz="4" w:space="0"/>
              <w:bottom w:val="single" w:color="auto" w:sz="4" w:space="0"/>
              <w:right w:val="single" w:color="auto" w:sz="4" w:space="0"/>
            </w:tcBorders>
            <w:noWrap/>
            <w:vAlign w:val="center"/>
          </w:tcPr>
          <w:p w14:paraId="3F6D5AD7">
            <w:pPr>
              <w:widowControl/>
              <w:spacing w:line="240" w:lineRule="auto"/>
              <w:jc w:val="center"/>
              <w:rPr>
                <w:rFonts w:hint="eastAsia" w:cs="宋体"/>
                <w:color w:val="000000"/>
                <w:kern w:val="0"/>
                <w:sz w:val="20"/>
                <w:szCs w:val="20"/>
              </w:rPr>
            </w:pPr>
            <w:r>
              <w:rPr>
                <w:rFonts w:hint="eastAsia" w:cs="宋体"/>
                <w:color w:val="000000"/>
                <w:kern w:val="0"/>
                <w:sz w:val="20"/>
                <w:szCs w:val="20"/>
              </w:rPr>
              <w:t>3</w:t>
            </w:r>
          </w:p>
        </w:tc>
        <w:tc>
          <w:tcPr>
            <w:tcW w:w="700" w:type="pct"/>
            <w:tcBorders>
              <w:top w:val="nil"/>
              <w:left w:val="nil"/>
              <w:bottom w:val="single" w:color="auto" w:sz="4" w:space="0"/>
              <w:right w:val="single" w:color="auto" w:sz="4" w:space="0"/>
            </w:tcBorders>
            <w:vAlign w:val="center"/>
          </w:tcPr>
          <w:p w14:paraId="6142D2C7">
            <w:pPr>
              <w:widowControl/>
              <w:spacing w:line="240" w:lineRule="auto"/>
              <w:jc w:val="left"/>
              <w:rPr>
                <w:rFonts w:hint="eastAsia" w:cs="宋体"/>
                <w:color w:val="000000"/>
                <w:kern w:val="0"/>
                <w:sz w:val="20"/>
                <w:szCs w:val="20"/>
              </w:rPr>
            </w:pPr>
            <w:r>
              <w:rPr>
                <w:rFonts w:cs="宋体"/>
                <w:color w:val="000000"/>
                <w:kern w:val="0"/>
                <w:sz w:val="20"/>
                <w:szCs w:val="20"/>
              </w:rPr>
              <w:t>IB交换机</w:t>
            </w:r>
          </w:p>
        </w:tc>
        <w:tc>
          <w:tcPr>
            <w:tcW w:w="514" w:type="pct"/>
            <w:tcBorders>
              <w:top w:val="nil"/>
              <w:left w:val="nil"/>
              <w:bottom w:val="single" w:color="auto" w:sz="4" w:space="0"/>
              <w:right w:val="single" w:color="auto" w:sz="4" w:space="0"/>
            </w:tcBorders>
            <w:vAlign w:val="center"/>
          </w:tcPr>
          <w:p w14:paraId="33EDF63C">
            <w:pPr>
              <w:widowControl/>
              <w:spacing w:line="240" w:lineRule="auto"/>
              <w:jc w:val="center"/>
              <w:rPr>
                <w:rFonts w:hint="eastAsia" w:cs="宋体"/>
                <w:color w:val="000000"/>
                <w:kern w:val="0"/>
                <w:sz w:val="20"/>
                <w:szCs w:val="20"/>
              </w:rPr>
            </w:pPr>
            <w:r>
              <w:rPr>
                <w:rFonts w:cs="宋体"/>
                <w:color w:val="000000"/>
                <w:kern w:val="0"/>
                <w:sz w:val="20"/>
                <w:szCs w:val="20"/>
              </w:rPr>
              <w:t>迈络思MSB7890-ES2F</w:t>
            </w:r>
          </w:p>
        </w:tc>
        <w:tc>
          <w:tcPr>
            <w:tcW w:w="2988" w:type="pct"/>
            <w:tcBorders>
              <w:top w:val="nil"/>
              <w:left w:val="nil"/>
              <w:bottom w:val="single" w:color="auto" w:sz="4" w:space="0"/>
              <w:right w:val="single" w:color="auto" w:sz="4" w:space="0"/>
            </w:tcBorders>
            <w:vAlign w:val="center"/>
          </w:tcPr>
          <w:p w14:paraId="4B0C2779">
            <w:pPr>
              <w:widowControl/>
              <w:spacing w:line="240" w:lineRule="auto"/>
              <w:jc w:val="left"/>
              <w:rPr>
                <w:rFonts w:hint="eastAsia" w:cs="宋体"/>
                <w:color w:val="000000"/>
                <w:kern w:val="0"/>
                <w:sz w:val="20"/>
                <w:szCs w:val="20"/>
              </w:rPr>
            </w:pPr>
            <w:r>
              <w:rPr>
                <w:rFonts w:hint="eastAsia" w:cs="宋体"/>
                <w:color w:val="000000"/>
                <w:kern w:val="0"/>
                <w:sz w:val="20"/>
                <w:szCs w:val="20"/>
              </w:rPr>
              <w:t>整机</w:t>
            </w:r>
            <w:r>
              <w:rPr>
                <w:rFonts w:hint="eastAsia" w:cs="宋体"/>
                <w:color w:val="000000"/>
                <w:kern w:val="0"/>
                <w:sz w:val="20"/>
                <w:szCs w:val="20"/>
                <w:lang w:val="en-US" w:eastAsia="zh-CN"/>
              </w:rPr>
              <w:t>+IB线缆</w:t>
            </w:r>
            <w:r>
              <w:rPr>
                <w:rFonts w:hint="eastAsia" w:cs="宋体"/>
                <w:color w:val="000000"/>
                <w:kern w:val="0"/>
                <w:sz w:val="20"/>
                <w:szCs w:val="20"/>
              </w:rPr>
              <w:t xml:space="preserve">                                                       </w:t>
            </w:r>
          </w:p>
        </w:tc>
        <w:tc>
          <w:tcPr>
            <w:tcW w:w="422" w:type="pct"/>
            <w:tcBorders>
              <w:top w:val="nil"/>
              <w:left w:val="nil"/>
              <w:bottom w:val="single" w:color="auto" w:sz="4" w:space="0"/>
              <w:right w:val="single" w:color="auto" w:sz="4" w:space="0"/>
            </w:tcBorders>
            <w:noWrap/>
            <w:vAlign w:val="center"/>
          </w:tcPr>
          <w:p w14:paraId="2C533855">
            <w:pPr>
              <w:widowControl/>
              <w:spacing w:line="240" w:lineRule="auto"/>
              <w:jc w:val="center"/>
              <w:rPr>
                <w:rFonts w:hint="eastAsia" w:cs="宋体"/>
                <w:color w:val="000000"/>
                <w:kern w:val="0"/>
                <w:sz w:val="20"/>
                <w:szCs w:val="20"/>
              </w:rPr>
            </w:pPr>
            <w:r>
              <w:rPr>
                <w:rFonts w:hint="eastAsia" w:cs="宋体"/>
                <w:color w:val="000000"/>
                <w:kern w:val="0"/>
                <w:sz w:val="20"/>
                <w:szCs w:val="20"/>
              </w:rPr>
              <w:t>1</w:t>
            </w:r>
          </w:p>
        </w:tc>
      </w:tr>
    </w:tbl>
    <w:p w14:paraId="0D5F072C">
      <w:pPr>
        <w:rPr>
          <w:rFonts w:hint="eastAsia" w:cs="宋体"/>
          <w:kern w:val="0"/>
          <w:szCs w:val="21"/>
        </w:rPr>
      </w:pPr>
    </w:p>
    <w:p w14:paraId="1C1B7A01">
      <w:pPr>
        <w:pStyle w:val="2"/>
        <w:numPr>
          <w:ilvl w:val="0"/>
          <w:numId w:val="3"/>
        </w:numPr>
        <w:spacing w:before="0" w:after="0"/>
        <w:rPr>
          <w:rFonts w:hint="eastAsia" w:cs="宋体"/>
          <w:sz w:val="32"/>
          <w:szCs w:val="32"/>
        </w:rPr>
      </w:pPr>
      <w:bookmarkStart w:id="0" w:name="_6.1.1、大数据服务器"/>
      <w:bookmarkEnd w:id="0"/>
      <w:bookmarkStart w:id="1" w:name="_6.1.2、容器服务器"/>
      <w:bookmarkEnd w:id="1"/>
      <w:r>
        <w:rPr>
          <w:rFonts w:hint="eastAsia" w:cs="宋体"/>
          <w:sz w:val="32"/>
          <w:szCs w:val="32"/>
          <w:lang w:val="en-US"/>
        </w:rPr>
        <w:t>服务内容</w:t>
      </w:r>
    </w:p>
    <w:p w14:paraId="652436C7">
      <w:pPr>
        <w:ind w:firstLine="420"/>
        <w:rPr>
          <w:rFonts w:hint="eastAsia" w:cs="宋体"/>
        </w:rPr>
      </w:pPr>
      <w:r>
        <w:rPr>
          <w:rFonts w:hint="eastAsia" w:cs="宋体"/>
        </w:rPr>
        <w:t>为我院科研服务器及交换机硬件提供为期三年维护服务,</w:t>
      </w:r>
      <w:r>
        <w:rPr>
          <w:rFonts w:hint="eastAsia" w:cs="宋体"/>
          <w:color w:val="000000" w:themeColor="text1"/>
          <w:szCs w:val="21"/>
          <w14:textFill>
            <w14:solidFill>
              <w14:schemeClr w14:val="tx1"/>
            </w14:solidFill>
          </w14:textFill>
        </w:rPr>
        <w:t>服务商成立专门的项目组开展工作，指派专人负责，按时完成工作内容，</w:t>
      </w:r>
      <w:r>
        <w:rPr>
          <w:rFonts w:hint="eastAsia" w:cs="宋体"/>
        </w:rPr>
        <w:t>维保服务</w:t>
      </w:r>
      <w:r>
        <w:rPr>
          <w:rFonts w:hint="eastAsia" w:cs="宋体"/>
          <w:lang w:val="en-US" w:eastAsia="zh-CN"/>
        </w:rPr>
        <w:t>包括不限于以下</w:t>
      </w:r>
      <w:r>
        <w:rPr>
          <w:rFonts w:hint="eastAsia" w:cs="宋体"/>
        </w:rPr>
        <w:t>内容：</w:t>
      </w:r>
    </w:p>
    <w:tbl>
      <w:tblPr>
        <w:tblStyle w:val="24"/>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3"/>
        <w:gridCol w:w="1484"/>
        <w:gridCol w:w="6917"/>
      </w:tblGrid>
      <w:tr w14:paraId="169A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35" w:type="pct"/>
            <w:tcBorders>
              <w:tl2br w:val="nil"/>
            </w:tcBorders>
            <w:tcMar>
              <w:top w:w="20" w:type="dxa"/>
              <w:left w:w="20" w:type="dxa"/>
              <w:bottom w:w="72" w:type="dxa"/>
              <w:right w:w="20" w:type="dxa"/>
            </w:tcMar>
            <w:vAlign w:val="center"/>
          </w:tcPr>
          <w:p w14:paraId="395655E5">
            <w:pPr>
              <w:spacing w:line="240" w:lineRule="auto"/>
              <w:jc w:val="center"/>
              <w:rPr>
                <w:rFonts w:hint="eastAsia" w:cs="宋体"/>
                <w:b/>
                <w:bCs/>
                <w:sz w:val="20"/>
                <w:szCs w:val="20"/>
              </w:rPr>
            </w:pPr>
            <w:r>
              <w:rPr>
                <w:rFonts w:hint="eastAsia" w:cs="宋体"/>
                <w:b/>
                <w:bCs/>
                <w:sz w:val="20"/>
                <w:szCs w:val="20"/>
              </w:rPr>
              <w:t>序号</w:t>
            </w:r>
          </w:p>
        </w:tc>
        <w:tc>
          <w:tcPr>
            <w:tcW w:w="824" w:type="pct"/>
            <w:tcMar>
              <w:top w:w="20" w:type="dxa"/>
              <w:left w:w="20" w:type="dxa"/>
              <w:bottom w:w="72" w:type="dxa"/>
              <w:right w:w="20" w:type="dxa"/>
            </w:tcMar>
            <w:vAlign w:val="center"/>
          </w:tcPr>
          <w:p w14:paraId="402A17B8">
            <w:pPr>
              <w:spacing w:line="240" w:lineRule="auto"/>
              <w:jc w:val="center"/>
              <w:rPr>
                <w:rFonts w:hint="eastAsia" w:cs="宋体"/>
                <w:b/>
                <w:bCs/>
                <w:sz w:val="20"/>
                <w:szCs w:val="20"/>
              </w:rPr>
            </w:pPr>
            <w:r>
              <w:rPr>
                <w:rFonts w:hint="eastAsia" w:cs="宋体"/>
                <w:b/>
                <w:bCs/>
                <w:sz w:val="20"/>
                <w:szCs w:val="20"/>
              </w:rPr>
              <w:t>指标项</w:t>
            </w:r>
          </w:p>
        </w:tc>
        <w:tc>
          <w:tcPr>
            <w:tcW w:w="3841" w:type="pct"/>
            <w:tcMar>
              <w:top w:w="20" w:type="dxa"/>
              <w:left w:w="20" w:type="dxa"/>
              <w:bottom w:w="72" w:type="dxa"/>
              <w:right w:w="20" w:type="dxa"/>
            </w:tcMar>
            <w:vAlign w:val="center"/>
          </w:tcPr>
          <w:p w14:paraId="29DCCC68">
            <w:pPr>
              <w:spacing w:line="240" w:lineRule="auto"/>
              <w:jc w:val="center"/>
              <w:rPr>
                <w:rFonts w:hint="eastAsia" w:cs="宋体"/>
                <w:b/>
                <w:bCs/>
                <w:sz w:val="20"/>
                <w:szCs w:val="20"/>
              </w:rPr>
            </w:pPr>
            <w:r>
              <w:rPr>
                <w:rFonts w:hint="eastAsia" w:cs="宋体"/>
                <w:b/>
                <w:color w:val="000000"/>
                <w:sz w:val="20"/>
                <w:szCs w:val="20"/>
              </w:rPr>
              <w:t>服务要求/服务明细</w:t>
            </w:r>
          </w:p>
        </w:tc>
      </w:tr>
      <w:tr w14:paraId="3A81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7" w:hRule="atLeast"/>
        </w:trPr>
        <w:tc>
          <w:tcPr>
            <w:tcW w:w="335" w:type="pct"/>
            <w:shd w:val="clear" w:color="auto" w:fill="FFFFFF"/>
            <w:tcMar>
              <w:top w:w="20" w:type="dxa"/>
              <w:left w:w="20" w:type="dxa"/>
              <w:bottom w:w="72" w:type="dxa"/>
              <w:right w:w="20" w:type="dxa"/>
            </w:tcMar>
            <w:vAlign w:val="center"/>
          </w:tcPr>
          <w:p w14:paraId="3D7E9763">
            <w:pPr>
              <w:pStyle w:val="22"/>
              <w:topLinePunct/>
              <w:spacing w:line="240" w:lineRule="auto"/>
              <w:jc w:val="center"/>
              <w:rPr>
                <w:rFonts w:hint="eastAsia"/>
                <w:color w:val="000000"/>
                <w:sz w:val="20"/>
                <w:szCs w:val="20"/>
              </w:rPr>
            </w:pPr>
            <w:r>
              <w:rPr>
                <w:rFonts w:hint="eastAsia"/>
                <w:color w:val="000000"/>
                <w:sz w:val="20"/>
                <w:szCs w:val="20"/>
              </w:rPr>
              <w:t>1</w:t>
            </w:r>
          </w:p>
        </w:tc>
        <w:tc>
          <w:tcPr>
            <w:tcW w:w="824" w:type="pct"/>
            <w:tcMar>
              <w:top w:w="20" w:type="dxa"/>
              <w:left w:w="20" w:type="dxa"/>
              <w:bottom w:w="72" w:type="dxa"/>
              <w:right w:w="20" w:type="dxa"/>
            </w:tcMar>
            <w:vAlign w:val="center"/>
          </w:tcPr>
          <w:p w14:paraId="3C8296CB">
            <w:pPr>
              <w:spacing w:line="240" w:lineRule="auto"/>
              <w:rPr>
                <w:rFonts w:hint="eastAsia" w:cs="宋体"/>
                <w:sz w:val="20"/>
                <w:szCs w:val="20"/>
              </w:rPr>
            </w:pPr>
            <w:r>
              <w:rPr>
                <w:rFonts w:hint="eastAsia" w:cs="宋体"/>
                <w:sz w:val="20"/>
                <w:szCs w:val="20"/>
              </w:rPr>
              <w:t>硬件运维服务</w:t>
            </w:r>
          </w:p>
        </w:tc>
        <w:tc>
          <w:tcPr>
            <w:tcW w:w="3841" w:type="pct"/>
            <w:tcMar>
              <w:top w:w="20" w:type="dxa"/>
              <w:left w:w="20" w:type="dxa"/>
              <w:bottom w:w="72" w:type="dxa"/>
              <w:right w:w="20" w:type="dxa"/>
            </w:tcMar>
            <w:vAlign w:val="center"/>
          </w:tcPr>
          <w:p w14:paraId="78DFBDD0">
            <w:pPr>
              <w:spacing w:line="240" w:lineRule="auto"/>
              <w:rPr>
                <w:rFonts w:hint="eastAsia" w:cs="宋体"/>
                <w:sz w:val="20"/>
                <w:szCs w:val="20"/>
              </w:rPr>
            </w:pPr>
            <w:r>
              <w:rPr>
                <w:rFonts w:hint="eastAsia" w:cs="宋体"/>
                <w:sz w:val="20"/>
                <w:szCs w:val="20"/>
              </w:rPr>
              <w:t>提供现场、远程解决硬件故障，评估和调优服务器性能，并确保机器稳定性、协助用户管理集群（操作系统、用户管理、硬件监控）、定期针对设备使用中遇到的问题进行远程培训；提供硬件故障排除、诊断故障原因、提供解决方案、上门更换响应配件（提供更换的备件应包括：GPU、CPU、硬盘等部件，报价已包含全部更换费用，后续无任何附加收费。）</w:t>
            </w:r>
          </w:p>
        </w:tc>
      </w:tr>
      <w:tr w14:paraId="79D2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trPr>
        <w:tc>
          <w:tcPr>
            <w:tcW w:w="335" w:type="pct"/>
            <w:shd w:val="clear" w:color="auto" w:fill="FFFFFF"/>
            <w:tcMar>
              <w:top w:w="20" w:type="dxa"/>
              <w:left w:w="20" w:type="dxa"/>
              <w:bottom w:w="72" w:type="dxa"/>
              <w:right w:w="20" w:type="dxa"/>
            </w:tcMar>
            <w:vAlign w:val="center"/>
          </w:tcPr>
          <w:p w14:paraId="6EE80D5E">
            <w:pPr>
              <w:pStyle w:val="22"/>
              <w:topLinePunct/>
              <w:spacing w:line="240" w:lineRule="auto"/>
              <w:jc w:val="center"/>
              <w:rPr>
                <w:rFonts w:hint="eastAsia"/>
                <w:color w:val="000000"/>
                <w:sz w:val="20"/>
                <w:szCs w:val="20"/>
              </w:rPr>
            </w:pPr>
            <w:r>
              <w:rPr>
                <w:rFonts w:hint="eastAsia"/>
                <w:color w:val="000000"/>
                <w:sz w:val="20"/>
                <w:szCs w:val="20"/>
              </w:rPr>
              <w:t>3</w:t>
            </w:r>
          </w:p>
        </w:tc>
        <w:tc>
          <w:tcPr>
            <w:tcW w:w="824" w:type="pct"/>
            <w:shd w:val="clear" w:color="auto" w:fill="FFFFFF"/>
            <w:tcMar>
              <w:top w:w="20" w:type="dxa"/>
              <w:left w:w="20" w:type="dxa"/>
              <w:bottom w:w="72" w:type="dxa"/>
              <w:right w:w="20" w:type="dxa"/>
            </w:tcMar>
            <w:vAlign w:val="center"/>
          </w:tcPr>
          <w:p w14:paraId="5755C289">
            <w:pPr>
              <w:pStyle w:val="22"/>
              <w:topLinePunct/>
              <w:spacing w:line="240" w:lineRule="auto"/>
              <w:jc w:val="center"/>
              <w:rPr>
                <w:rFonts w:hint="eastAsia"/>
                <w:color w:val="000000"/>
                <w:sz w:val="20"/>
                <w:szCs w:val="20"/>
              </w:rPr>
            </w:pPr>
            <w:r>
              <w:rPr>
                <w:rFonts w:hint="eastAsia"/>
                <w:color w:val="000000"/>
                <w:sz w:val="20"/>
                <w:szCs w:val="20"/>
              </w:rPr>
              <w:t>巡检服务</w:t>
            </w:r>
          </w:p>
        </w:tc>
        <w:tc>
          <w:tcPr>
            <w:tcW w:w="3841" w:type="pct"/>
            <w:shd w:val="clear" w:color="auto" w:fill="FFFFFF"/>
            <w:tcMar>
              <w:top w:w="20" w:type="dxa"/>
              <w:left w:w="20" w:type="dxa"/>
              <w:bottom w:w="72" w:type="dxa"/>
              <w:right w:w="20" w:type="dxa"/>
            </w:tcMar>
          </w:tcPr>
          <w:p w14:paraId="1014F77C">
            <w:pPr>
              <w:pStyle w:val="22"/>
              <w:topLinePunct/>
              <w:spacing w:before="0" w:beforeAutospacing="0" w:after="0" w:afterAutospacing="0" w:line="240" w:lineRule="auto"/>
              <w:rPr>
                <w:rFonts w:hint="eastAsia"/>
                <w:color w:val="000000"/>
                <w:sz w:val="20"/>
                <w:szCs w:val="20"/>
              </w:rPr>
            </w:pPr>
            <w:r>
              <w:rPr>
                <w:rFonts w:hint="eastAsia"/>
                <w:color w:val="000000"/>
                <w:sz w:val="20"/>
                <w:szCs w:val="20"/>
              </w:rPr>
              <w:t>1）提供硬件预防性健康检查服务，提供每季度</w:t>
            </w:r>
            <w:r>
              <w:rPr>
                <w:rFonts w:hint="eastAsia"/>
                <w:color w:val="000000"/>
                <w:sz w:val="20"/>
                <w:szCs w:val="20"/>
                <w:lang w:val="en-US" w:eastAsia="zh-CN"/>
              </w:rPr>
              <w:t>不少于</w:t>
            </w:r>
            <w:r>
              <w:rPr>
                <w:rFonts w:hint="eastAsia"/>
                <w:color w:val="000000"/>
                <w:sz w:val="20"/>
                <w:szCs w:val="20"/>
              </w:rPr>
              <w:t>一次的上门巡检，并提供详细的巡检报告，评估系统潜在的问题，推荐解决方案。</w:t>
            </w:r>
          </w:p>
          <w:p w14:paraId="0F67113D">
            <w:pPr>
              <w:pStyle w:val="22"/>
              <w:topLinePunct/>
              <w:spacing w:before="0" w:beforeAutospacing="0" w:after="0" w:afterAutospacing="0" w:line="240" w:lineRule="auto"/>
              <w:rPr>
                <w:rFonts w:hint="eastAsia"/>
                <w:color w:val="000000"/>
                <w:sz w:val="20"/>
                <w:szCs w:val="20"/>
              </w:rPr>
            </w:pPr>
            <w:r>
              <w:rPr>
                <w:rFonts w:hint="eastAsia"/>
                <w:color w:val="000000"/>
                <w:sz w:val="20"/>
                <w:szCs w:val="20"/>
              </w:rPr>
              <w:t>2）整理整体使用情况并提供详细文档，文档内容包括：网络标签表、IP地址表、机柜上架图等。</w:t>
            </w:r>
          </w:p>
          <w:p w14:paraId="748A5459">
            <w:pPr>
              <w:pStyle w:val="22"/>
              <w:topLinePunct/>
              <w:spacing w:before="0" w:beforeAutospacing="0" w:after="0" w:afterAutospacing="0" w:line="240" w:lineRule="auto"/>
              <w:rPr>
                <w:rFonts w:hint="eastAsia"/>
                <w:color w:val="000000"/>
                <w:sz w:val="20"/>
                <w:szCs w:val="20"/>
              </w:rPr>
            </w:pPr>
            <w:r>
              <w:rPr>
                <w:rFonts w:hint="eastAsia"/>
                <w:color w:val="000000"/>
                <w:sz w:val="20"/>
                <w:szCs w:val="20"/>
              </w:rPr>
              <w:t>3）每年至少提供4次上门巡检</w:t>
            </w:r>
          </w:p>
        </w:tc>
      </w:tr>
      <w:tr w14:paraId="645F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trPr>
        <w:tc>
          <w:tcPr>
            <w:tcW w:w="335" w:type="pct"/>
            <w:shd w:val="clear" w:color="auto" w:fill="FFFFFF"/>
            <w:tcMar>
              <w:top w:w="20" w:type="dxa"/>
              <w:left w:w="20" w:type="dxa"/>
              <w:bottom w:w="72" w:type="dxa"/>
              <w:right w:w="20" w:type="dxa"/>
            </w:tcMar>
            <w:vAlign w:val="center"/>
          </w:tcPr>
          <w:p w14:paraId="2630ECE2">
            <w:pPr>
              <w:pStyle w:val="22"/>
              <w:topLinePunct/>
              <w:spacing w:line="240" w:lineRule="auto"/>
              <w:jc w:val="center"/>
              <w:rPr>
                <w:rFonts w:hint="eastAsia"/>
                <w:color w:val="000000"/>
                <w:sz w:val="20"/>
                <w:szCs w:val="20"/>
              </w:rPr>
            </w:pPr>
            <w:r>
              <w:rPr>
                <w:rFonts w:hint="eastAsia"/>
                <w:color w:val="000000"/>
                <w:sz w:val="20"/>
                <w:szCs w:val="20"/>
              </w:rPr>
              <w:t>4</w:t>
            </w:r>
          </w:p>
        </w:tc>
        <w:tc>
          <w:tcPr>
            <w:tcW w:w="824" w:type="pct"/>
            <w:tcMar>
              <w:top w:w="20" w:type="dxa"/>
              <w:left w:w="20" w:type="dxa"/>
              <w:bottom w:w="72" w:type="dxa"/>
              <w:right w:w="20" w:type="dxa"/>
            </w:tcMar>
            <w:vAlign w:val="center"/>
          </w:tcPr>
          <w:p w14:paraId="3DFC6F98">
            <w:pPr>
              <w:spacing w:line="240" w:lineRule="auto"/>
              <w:rPr>
                <w:rFonts w:hint="eastAsia" w:cs="宋体"/>
                <w:sz w:val="20"/>
                <w:szCs w:val="20"/>
              </w:rPr>
            </w:pPr>
            <w:r>
              <w:rPr>
                <w:rFonts w:hint="eastAsia" w:cs="宋体"/>
                <w:sz w:val="20"/>
                <w:szCs w:val="20"/>
              </w:rPr>
              <w:t>应急响应</w:t>
            </w:r>
          </w:p>
        </w:tc>
        <w:tc>
          <w:tcPr>
            <w:tcW w:w="3841" w:type="pct"/>
            <w:tcMar>
              <w:top w:w="20" w:type="dxa"/>
              <w:left w:w="20" w:type="dxa"/>
              <w:bottom w:w="72" w:type="dxa"/>
              <w:right w:w="20" w:type="dxa"/>
            </w:tcMar>
            <w:vAlign w:val="center"/>
          </w:tcPr>
          <w:p w14:paraId="1851FDBA">
            <w:pPr>
              <w:spacing w:line="240" w:lineRule="auto"/>
              <w:rPr>
                <w:rFonts w:hint="eastAsia" w:cs="宋体"/>
                <w:kern w:val="0"/>
                <w:sz w:val="20"/>
                <w:szCs w:val="20"/>
              </w:rPr>
            </w:pPr>
            <w:r>
              <w:rPr>
                <w:rFonts w:hint="eastAsia" w:cs="宋体"/>
                <w:kern w:val="0"/>
                <w:sz w:val="20"/>
                <w:szCs w:val="20"/>
              </w:rPr>
              <w:t>（1）服务商应提供应急处理预案及应急措施。</w:t>
            </w:r>
          </w:p>
          <w:p w14:paraId="1C7F8471">
            <w:pPr>
              <w:spacing w:line="240" w:lineRule="auto"/>
              <w:rPr>
                <w:rFonts w:hint="eastAsia" w:cs="宋体"/>
                <w:kern w:val="0"/>
                <w:sz w:val="20"/>
                <w:szCs w:val="20"/>
              </w:rPr>
            </w:pPr>
            <w:r>
              <w:rPr>
                <w:rFonts w:hint="eastAsia" w:cs="宋体"/>
                <w:kern w:val="0"/>
                <w:sz w:val="20"/>
                <w:szCs w:val="20"/>
              </w:rPr>
              <w:t>（2）服务商须在用户所在地设有备品备件库或售后服务站点，备品备件库或售后服务站点要求存放充足的各类各品各件，应包括：服务器整机、CPU、GPU、硬盘、电源等关键设备备品备件，能够实现最快速度解决故障，为售后技术支持以及用户工作的正常进行提供充足的备件保障。应具备备品备件库或售后服务站点场地租赁合同。</w:t>
            </w:r>
          </w:p>
          <w:p w14:paraId="63089B8B">
            <w:pPr>
              <w:spacing w:line="240" w:lineRule="auto"/>
              <w:rPr>
                <w:rFonts w:hint="eastAsia" w:cs="宋体"/>
                <w:kern w:val="0"/>
                <w:sz w:val="20"/>
                <w:szCs w:val="20"/>
              </w:rPr>
            </w:pPr>
            <w:r>
              <w:rPr>
                <w:rFonts w:hint="eastAsia" w:cs="宋体"/>
                <w:kern w:val="0"/>
                <w:sz w:val="20"/>
                <w:szCs w:val="20"/>
              </w:rPr>
              <w:t>（3）为确保设备故障时快速响应并缩短系统恢复时间，服务商须为本项目建立现场专用备件库，备件库应包含关键产品部件，以支持高效运维服务，提供的关键产品部件应包括：</w:t>
            </w:r>
            <w:r>
              <w:rPr>
                <w:rFonts w:hint="eastAsia" w:cs="宋体"/>
                <w:kern w:val="0"/>
                <w:sz w:val="20"/>
                <w:szCs w:val="20"/>
              </w:rPr>
              <w:br w:type="textWrapping"/>
            </w:r>
            <w:r>
              <w:rPr>
                <w:rFonts w:hint="eastAsia" w:cs="宋体"/>
                <w:kern w:val="0"/>
                <w:sz w:val="20"/>
                <w:szCs w:val="20"/>
              </w:rPr>
              <w:t>1</w:t>
            </w:r>
            <w:r>
              <w:rPr>
                <w:rFonts w:hint="eastAsia" w:cs="宋体"/>
                <w:kern w:val="0"/>
                <w:sz w:val="20"/>
                <w:szCs w:val="20"/>
                <w:lang w:val="en-US" w:eastAsia="zh-CN"/>
              </w:rPr>
              <w:t>.</w:t>
            </w:r>
            <w:r>
              <w:rPr>
                <w:rFonts w:hint="eastAsia" w:cs="宋体"/>
                <w:kern w:val="0"/>
                <w:sz w:val="20"/>
                <w:szCs w:val="20"/>
              </w:rPr>
              <w:t>不少于≥</w:t>
            </w:r>
            <w:r>
              <w:rPr>
                <w:rFonts w:hint="eastAsia" w:cs="宋体"/>
                <w:kern w:val="0"/>
                <w:sz w:val="20"/>
                <w:szCs w:val="20"/>
                <w:lang w:val="en-US" w:eastAsia="zh-CN"/>
              </w:rPr>
              <w:t>2张</w:t>
            </w:r>
            <w:r>
              <w:rPr>
                <w:rFonts w:cs="宋体"/>
                <w:kern w:val="0"/>
                <w:sz w:val="20"/>
                <w:szCs w:val="20"/>
              </w:rPr>
              <w:t>浪潮 NF5468 M6</w:t>
            </w:r>
            <w:r>
              <w:rPr>
                <w:rFonts w:hint="eastAsia" w:cs="宋体"/>
                <w:kern w:val="0"/>
                <w:sz w:val="20"/>
                <w:szCs w:val="20"/>
              </w:rPr>
              <w:t>专用主板；</w:t>
            </w:r>
          </w:p>
          <w:p w14:paraId="2515B735">
            <w:pPr>
              <w:spacing w:line="240" w:lineRule="auto"/>
              <w:rPr>
                <w:rFonts w:hint="eastAsia" w:eastAsia="宋体" w:cs="宋体"/>
                <w:kern w:val="0"/>
                <w:sz w:val="20"/>
                <w:szCs w:val="20"/>
                <w:lang w:eastAsia="zh-CN"/>
              </w:rPr>
            </w:pPr>
            <w:r>
              <w:rPr>
                <w:rFonts w:hint="eastAsia" w:cs="宋体"/>
                <w:kern w:val="0"/>
                <w:sz w:val="20"/>
                <w:szCs w:val="20"/>
                <w:lang w:val="en-US" w:eastAsia="zh-CN"/>
              </w:rPr>
              <w:t>2.不少于</w:t>
            </w:r>
            <w:r>
              <w:rPr>
                <w:rFonts w:hint="eastAsia" w:cs="宋体"/>
                <w:kern w:val="0"/>
                <w:sz w:val="20"/>
                <w:szCs w:val="20"/>
              </w:rPr>
              <w:t>≥</w:t>
            </w:r>
            <w:r>
              <w:rPr>
                <w:rFonts w:hint="eastAsia" w:cs="宋体"/>
                <w:kern w:val="0"/>
                <w:sz w:val="20"/>
                <w:szCs w:val="20"/>
                <w:lang w:val="en-US" w:eastAsia="zh-CN"/>
              </w:rPr>
              <w:t>2颗</w:t>
            </w:r>
            <w:r>
              <w:rPr>
                <w:rFonts w:hint="eastAsia" w:cs="宋体"/>
                <w:kern w:val="0"/>
                <w:sz w:val="20"/>
                <w:szCs w:val="20"/>
              </w:rPr>
              <w:t>Intel Xeon 4316 20</w:t>
            </w:r>
            <w:r>
              <w:rPr>
                <w:rFonts w:hint="eastAsia" w:cs="宋体"/>
                <w:kern w:val="0"/>
                <w:sz w:val="20"/>
                <w:szCs w:val="20"/>
                <w:lang w:val="en-US" w:eastAsia="zh-CN"/>
              </w:rPr>
              <w:t xml:space="preserve">C </w:t>
            </w:r>
            <w:r>
              <w:rPr>
                <w:rFonts w:hint="eastAsia" w:cs="宋体"/>
                <w:kern w:val="0"/>
                <w:sz w:val="20"/>
                <w:szCs w:val="20"/>
              </w:rPr>
              <w:t>2.3Ghz</w:t>
            </w:r>
            <w:r>
              <w:rPr>
                <w:rFonts w:hint="eastAsia" w:cs="宋体"/>
                <w:kern w:val="0"/>
                <w:sz w:val="20"/>
                <w:szCs w:val="20"/>
                <w:lang w:val="en-US" w:eastAsia="zh-CN"/>
              </w:rPr>
              <w:t xml:space="preserve"> 处理器</w:t>
            </w:r>
            <w:r>
              <w:rPr>
                <w:rFonts w:hint="eastAsia" w:cs="宋体"/>
                <w:kern w:val="0"/>
                <w:sz w:val="20"/>
                <w:szCs w:val="20"/>
                <w:lang w:eastAsia="zh-CN"/>
              </w:rPr>
              <w:t>；</w:t>
            </w:r>
          </w:p>
          <w:p w14:paraId="2FCF38F6">
            <w:pPr>
              <w:spacing w:line="240" w:lineRule="auto"/>
              <w:rPr>
                <w:rFonts w:hint="eastAsia" w:cs="宋体"/>
                <w:kern w:val="0"/>
                <w:sz w:val="20"/>
                <w:szCs w:val="20"/>
              </w:rPr>
            </w:pPr>
            <w:r>
              <w:rPr>
                <w:rFonts w:hint="eastAsia" w:cs="宋体"/>
                <w:kern w:val="0"/>
                <w:sz w:val="20"/>
                <w:szCs w:val="20"/>
                <w:lang w:val="en-US" w:eastAsia="zh-CN"/>
              </w:rPr>
              <w:t>3.不少于</w:t>
            </w:r>
            <w:r>
              <w:rPr>
                <w:rFonts w:hint="eastAsia" w:cs="宋体"/>
                <w:kern w:val="0"/>
                <w:sz w:val="20"/>
                <w:szCs w:val="20"/>
              </w:rPr>
              <w:t>≥</w:t>
            </w:r>
            <w:r>
              <w:rPr>
                <w:rFonts w:hint="eastAsia" w:cs="宋体"/>
                <w:kern w:val="0"/>
                <w:sz w:val="20"/>
                <w:szCs w:val="20"/>
                <w:lang w:val="en-US" w:eastAsia="zh-CN"/>
              </w:rPr>
              <w:t>4条</w:t>
            </w:r>
            <w:r>
              <w:rPr>
                <w:rFonts w:hint="eastAsia" w:cs="宋体"/>
                <w:kern w:val="0"/>
                <w:sz w:val="20"/>
                <w:szCs w:val="20"/>
              </w:rPr>
              <w:t>32GB(2933MHz)内存,支持ECC、内存镜像和内存备用技术;</w:t>
            </w:r>
          </w:p>
          <w:p w14:paraId="5C44220C">
            <w:pPr>
              <w:spacing w:line="240" w:lineRule="auto"/>
              <w:rPr>
                <w:rFonts w:hint="eastAsia" w:cs="宋体"/>
                <w:kern w:val="0"/>
                <w:sz w:val="20"/>
                <w:szCs w:val="20"/>
              </w:rPr>
            </w:pPr>
            <w:r>
              <w:rPr>
                <w:rFonts w:hint="eastAsia" w:cs="宋体"/>
                <w:kern w:val="0"/>
                <w:sz w:val="20"/>
                <w:szCs w:val="20"/>
                <w:lang w:val="en-US" w:eastAsia="zh-CN"/>
              </w:rPr>
              <w:t>4.</w:t>
            </w:r>
            <w:r>
              <w:rPr>
                <w:rFonts w:hint="eastAsia" w:cs="宋体"/>
                <w:kern w:val="0"/>
                <w:sz w:val="20"/>
                <w:szCs w:val="20"/>
              </w:rPr>
              <w:t>不少于≥1</w:t>
            </w:r>
            <w:r>
              <w:rPr>
                <w:rFonts w:cs="宋体"/>
                <w:kern w:val="0"/>
                <w:sz w:val="20"/>
                <w:szCs w:val="20"/>
              </w:rPr>
              <w:t>浪潮 AS13000G5-M36</w:t>
            </w:r>
            <w:r>
              <w:rPr>
                <w:rFonts w:hint="eastAsia" w:cs="宋体"/>
                <w:kern w:val="0"/>
                <w:sz w:val="20"/>
                <w:szCs w:val="20"/>
              </w:rPr>
              <w:t>专用主板；</w:t>
            </w:r>
          </w:p>
          <w:p w14:paraId="3CDB1E8B">
            <w:pPr>
              <w:spacing w:line="240" w:lineRule="auto"/>
              <w:rPr>
                <w:rFonts w:hint="eastAsia" w:cs="宋体"/>
                <w:kern w:val="0"/>
                <w:sz w:val="20"/>
                <w:szCs w:val="20"/>
              </w:rPr>
            </w:pPr>
            <w:r>
              <w:rPr>
                <w:rFonts w:hint="eastAsia" w:cs="宋体"/>
                <w:kern w:val="0"/>
                <w:sz w:val="20"/>
                <w:szCs w:val="20"/>
                <w:lang w:val="en-US" w:eastAsia="zh-CN"/>
              </w:rPr>
              <w:t>5.不少于</w:t>
            </w:r>
            <w:r>
              <w:rPr>
                <w:rFonts w:hint="eastAsia" w:cs="宋体"/>
                <w:kern w:val="0"/>
                <w:sz w:val="20"/>
                <w:szCs w:val="20"/>
              </w:rPr>
              <w:t>≥</w:t>
            </w:r>
            <w:r>
              <w:rPr>
                <w:rFonts w:hint="eastAsia" w:cs="宋体"/>
                <w:kern w:val="0"/>
                <w:sz w:val="20"/>
                <w:szCs w:val="20"/>
                <w:lang w:val="en-US" w:eastAsia="zh-CN"/>
              </w:rPr>
              <w:t>4颗</w:t>
            </w:r>
            <w:r>
              <w:rPr>
                <w:rFonts w:hint="eastAsia" w:cs="宋体"/>
                <w:kern w:val="0"/>
                <w:sz w:val="20"/>
                <w:szCs w:val="20"/>
              </w:rPr>
              <w:t>Intel Xeon 4</w:t>
            </w:r>
            <w:r>
              <w:rPr>
                <w:rFonts w:hint="eastAsia" w:cs="宋体"/>
                <w:kern w:val="0"/>
                <w:sz w:val="20"/>
                <w:szCs w:val="20"/>
                <w:lang w:val="en-US" w:eastAsia="zh-CN"/>
              </w:rPr>
              <w:t>214</w:t>
            </w:r>
            <w:r>
              <w:rPr>
                <w:rFonts w:hint="eastAsia" w:cs="宋体"/>
                <w:kern w:val="0"/>
                <w:sz w:val="20"/>
                <w:szCs w:val="20"/>
              </w:rPr>
              <w:t xml:space="preserve"> </w:t>
            </w:r>
            <w:r>
              <w:rPr>
                <w:rFonts w:hint="eastAsia" w:cs="宋体"/>
                <w:kern w:val="0"/>
                <w:sz w:val="20"/>
                <w:szCs w:val="20"/>
                <w:lang w:val="en-US" w:eastAsia="zh-CN"/>
              </w:rPr>
              <w:t xml:space="preserve">12C </w:t>
            </w:r>
            <w:r>
              <w:rPr>
                <w:rFonts w:hint="eastAsia" w:cs="宋体"/>
                <w:kern w:val="0"/>
                <w:sz w:val="20"/>
                <w:szCs w:val="20"/>
              </w:rPr>
              <w:t>2.</w:t>
            </w:r>
            <w:r>
              <w:rPr>
                <w:rFonts w:hint="eastAsia" w:cs="宋体"/>
                <w:kern w:val="0"/>
                <w:sz w:val="20"/>
                <w:szCs w:val="20"/>
                <w:lang w:val="en-US" w:eastAsia="zh-CN"/>
              </w:rPr>
              <w:t>4</w:t>
            </w:r>
            <w:r>
              <w:rPr>
                <w:rFonts w:hint="eastAsia" w:cs="宋体"/>
                <w:kern w:val="0"/>
                <w:sz w:val="20"/>
                <w:szCs w:val="20"/>
              </w:rPr>
              <w:t>Ghz</w:t>
            </w:r>
            <w:r>
              <w:rPr>
                <w:rFonts w:hint="eastAsia" w:cs="宋体"/>
                <w:kern w:val="0"/>
                <w:sz w:val="20"/>
                <w:szCs w:val="20"/>
                <w:lang w:val="en-US" w:eastAsia="zh-CN"/>
              </w:rPr>
              <w:t xml:space="preserve"> 处理器</w:t>
            </w:r>
            <w:r>
              <w:rPr>
                <w:rFonts w:hint="eastAsia" w:cs="宋体"/>
                <w:kern w:val="0"/>
                <w:sz w:val="20"/>
                <w:szCs w:val="20"/>
                <w:lang w:val="en-US" w:eastAsia="zh-CN"/>
              </w:rPr>
              <w:br w:type="textWrapping"/>
            </w:r>
            <w:r>
              <w:rPr>
                <w:rFonts w:hint="eastAsia" w:cs="宋体"/>
                <w:kern w:val="0"/>
                <w:sz w:val="20"/>
                <w:szCs w:val="20"/>
                <w:lang w:val="en-US" w:eastAsia="zh-CN"/>
              </w:rPr>
              <w:t>6.</w:t>
            </w:r>
            <w:r>
              <w:rPr>
                <w:rFonts w:hint="eastAsia" w:cs="宋体"/>
                <w:kern w:val="0"/>
                <w:sz w:val="20"/>
                <w:szCs w:val="20"/>
              </w:rPr>
              <w:t>不少于≥2适配</w:t>
            </w:r>
            <w:r>
              <w:rPr>
                <w:rFonts w:cs="宋体"/>
                <w:kern w:val="0"/>
                <w:sz w:val="20"/>
                <w:szCs w:val="20"/>
              </w:rPr>
              <w:t>浪潮 NF5468 M6 4T/SATA/7.2K</w:t>
            </w:r>
            <w:r>
              <w:rPr>
                <w:rFonts w:hint="eastAsia" w:cs="宋体"/>
                <w:kern w:val="0"/>
                <w:sz w:val="20"/>
                <w:szCs w:val="20"/>
              </w:rPr>
              <w:t>硬盘；</w:t>
            </w:r>
          </w:p>
          <w:p w14:paraId="3D2FA1D3">
            <w:pPr>
              <w:spacing w:line="240" w:lineRule="auto"/>
              <w:rPr>
                <w:rFonts w:hint="eastAsia" w:cs="宋体"/>
                <w:kern w:val="0"/>
                <w:sz w:val="20"/>
                <w:szCs w:val="20"/>
              </w:rPr>
            </w:pPr>
            <w:r>
              <w:rPr>
                <w:rFonts w:hint="eastAsia" w:cs="宋体"/>
                <w:kern w:val="0"/>
                <w:sz w:val="20"/>
                <w:szCs w:val="20"/>
              </w:rPr>
              <w:t>4、不少于≥</w:t>
            </w:r>
            <w:r>
              <w:rPr>
                <w:rFonts w:hint="eastAsia" w:cs="宋体"/>
                <w:kern w:val="0"/>
                <w:sz w:val="20"/>
                <w:szCs w:val="20"/>
                <w:lang w:val="en-US" w:eastAsia="zh-CN"/>
              </w:rPr>
              <w:t>4</w:t>
            </w:r>
            <w:r>
              <w:rPr>
                <w:rFonts w:hint="eastAsia" w:cs="宋体"/>
                <w:kern w:val="0"/>
                <w:sz w:val="20"/>
                <w:szCs w:val="20"/>
              </w:rPr>
              <w:t>适配</w:t>
            </w:r>
            <w:r>
              <w:rPr>
                <w:rFonts w:cs="宋体"/>
                <w:kern w:val="0"/>
                <w:sz w:val="20"/>
                <w:szCs w:val="20"/>
              </w:rPr>
              <w:t>浪潮 AS13000G5-M36 10T/SATA/7.2K</w:t>
            </w:r>
            <w:r>
              <w:rPr>
                <w:rFonts w:hint="eastAsia" w:cs="宋体"/>
                <w:kern w:val="0"/>
                <w:sz w:val="20"/>
                <w:szCs w:val="20"/>
              </w:rPr>
              <w:t>硬盘。</w:t>
            </w:r>
          </w:p>
          <w:p w14:paraId="15BA5D2F">
            <w:pPr>
              <w:spacing w:line="240" w:lineRule="auto"/>
              <w:rPr>
                <w:rFonts w:hint="eastAsia" w:cs="宋体"/>
                <w:kern w:val="0"/>
                <w:sz w:val="20"/>
                <w:szCs w:val="20"/>
              </w:rPr>
            </w:pPr>
            <w:r>
              <w:rPr>
                <w:rFonts w:hint="eastAsia" w:cs="宋体"/>
                <w:kern w:val="0"/>
                <w:sz w:val="20"/>
                <w:szCs w:val="20"/>
              </w:rPr>
              <w:t>5、不少于≥2适配</w:t>
            </w:r>
            <w:r>
              <w:rPr>
                <w:rFonts w:cs="宋体"/>
                <w:kern w:val="0"/>
                <w:sz w:val="20"/>
                <w:szCs w:val="20"/>
              </w:rPr>
              <w:t>浪潮 NF5468 M6</w:t>
            </w:r>
            <w:r>
              <w:rPr>
                <w:rFonts w:hint="eastAsia" w:cs="宋体"/>
                <w:kern w:val="0"/>
                <w:sz w:val="20"/>
                <w:szCs w:val="20"/>
              </w:rPr>
              <w:t>电源。</w:t>
            </w:r>
          </w:p>
          <w:p w14:paraId="6B605482">
            <w:pPr>
              <w:spacing w:line="240" w:lineRule="auto"/>
              <w:rPr>
                <w:rFonts w:hint="eastAsia" w:cs="宋体"/>
                <w:kern w:val="0"/>
                <w:sz w:val="20"/>
                <w:szCs w:val="20"/>
              </w:rPr>
            </w:pPr>
            <w:r>
              <w:rPr>
                <w:rFonts w:hint="eastAsia" w:cs="宋体"/>
                <w:kern w:val="0"/>
                <w:sz w:val="20"/>
                <w:szCs w:val="20"/>
              </w:rPr>
              <w:t>6、不少于≥1适配</w:t>
            </w:r>
            <w:r>
              <w:rPr>
                <w:rFonts w:cs="宋体"/>
                <w:kern w:val="0"/>
                <w:sz w:val="20"/>
                <w:szCs w:val="20"/>
              </w:rPr>
              <w:t>浪潮 AS13000G5-M36</w:t>
            </w:r>
            <w:r>
              <w:rPr>
                <w:rFonts w:hint="eastAsia" w:cs="宋体"/>
                <w:kern w:val="0"/>
                <w:sz w:val="20"/>
                <w:szCs w:val="20"/>
              </w:rPr>
              <w:t>电源。</w:t>
            </w:r>
          </w:p>
          <w:p w14:paraId="005C71D6">
            <w:pPr>
              <w:spacing w:line="240" w:lineRule="auto"/>
              <w:rPr>
                <w:rFonts w:hint="eastAsia" w:cs="宋体"/>
                <w:kern w:val="0"/>
                <w:sz w:val="20"/>
                <w:szCs w:val="20"/>
              </w:rPr>
            </w:pPr>
            <w:r>
              <w:rPr>
                <w:rFonts w:hint="eastAsia" w:cs="宋体"/>
                <w:kern w:val="0"/>
                <w:sz w:val="20"/>
                <w:szCs w:val="20"/>
              </w:rPr>
              <w:t>7、不少于≥2</w:t>
            </w:r>
            <w:r>
              <w:rPr>
                <w:rFonts w:cs="宋体"/>
                <w:kern w:val="0"/>
                <w:sz w:val="20"/>
                <w:szCs w:val="20"/>
              </w:rPr>
              <w:t>适配浪潮 NF5468 M6 Geforce_RTX3090 24G</w:t>
            </w:r>
            <w:r>
              <w:rPr>
                <w:rFonts w:hint="eastAsia" w:cs="宋体"/>
                <w:kern w:val="0"/>
                <w:sz w:val="20"/>
                <w:szCs w:val="20"/>
              </w:rPr>
              <w:t>显卡</w:t>
            </w:r>
          </w:p>
          <w:p w14:paraId="675FE1A2">
            <w:pPr>
              <w:spacing w:line="240" w:lineRule="auto"/>
              <w:rPr>
                <w:rFonts w:hint="eastAsia" w:cs="宋体"/>
                <w:sz w:val="20"/>
                <w:szCs w:val="20"/>
              </w:rPr>
            </w:pPr>
            <w:r>
              <w:rPr>
                <w:rFonts w:hint="eastAsia" w:cs="宋体"/>
                <w:kern w:val="0"/>
                <w:sz w:val="20"/>
                <w:szCs w:val="20"/>
              </w:rPr>
              <w:t>（4）设备出现故障，服务商必须及时提供型号性能同等或优于的服务器满足应急接管使用，如果不能在收到用户报障电话通知后按照合同约定的时间内到达故障现场，服务商需按次向甲方支付违约金。</w:t>
            </w:r>
          </w:p>
        </w:tc>
      </w:tr>
      <w:tr w14:paraId="2B57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4" w:hRule="atLeast"/>
        </w:trPr>
        <w:tc>
          <w:tcPr>
            <w:tcW w:w="335" w:type="pct"/>
            <w:shd w:val="clear" w:color="auto" w:fill="FFFFFF"/>
            <w:tcMar>
              <w:top w:w="20" w:type="dxa"/>
              <w:left w:w="20" w:type="dxa"/>
              <w:bottom w:w="72" w:type="dxa"/>
              <w:right w:w="20" w:type="dxa"/>
            </w:tcMar>
            <w:vAlign w:val="center"/>
          </w:tcPr>
          <w:p w14:paraId="5088B5C7">
            <w:pPr>
              <w:pStyle w:val="22"/>
              <w:topLinePunct/>
              <w:spacing w:line="240" w:lineRule="auto"/>
              <w:jc w:val="center"/>
              <w:rPr>
                <w:rFonts w:hint="eastAsia"/>
                <w:color w:val="000000"/>
                <w:sz w:val="20"/>
                <w:szCs w:val="20"/>
              </w:rPr>
            </w:pPr>
            <w:r>
              <w:rPr>
                <w:rFonts w:hint="eastAsia"/>
                <w:color w:val="000000"/>
                <w:sz w:val="20"/>
                <w:szCs w:val="20"/>
              </w:rPr>
              <w:t>5</w:t>
            </w:r>
          </w:p>
        </w:tc>
        <w:tc>
          <w:tcPr>
            <w:tcW w:w="824" w:type="pct"/>
            <w:tcMar>
              <w:top w:w="20" w:type="dxa"/>
              <w:left w:w="20" w:type="dxa"/>
              <w:bottom w:w="72" w:type="dxa"/>
              <w:right w:w="20" w:type="dxa"/>
            </w:tcMar>
            <w:vAlign w:val="center"/>
          </w:tcPr>
          <w:p w14:paraId="27B27154">
            <w:pPr>
              <w:spacing w:line="240" w:lineRule="auto"/>
              <w:rPr>
                <w:rFonts w:hint="eastAsia" w:cs="宋体"/>
                <w:sz w:val="20"/>
                <w:szCs w:val="20"/>
              </w:rPr>
            </w:pPr>
            <w:r>
              <w:rPr>
                <w:rFonts w:hint="eastAsia" w:cs="宋体"/>
                <w:sz w:val="20"/>
                <w:szCs w:val="20"/>
              </w:rPr>
              <w:t>培训服务</w:t>
            </w:r>
          </w:p>
        </w:tc>
        <w:tc>
          <w:tcPr>
            <w:tcW w:w="3841" w:type="pct"/>
            <w:tcMar>
              <w:top w:w="20" w:type="dxa"/>
              <w:left w:w="20" w:type="dxa"/>
              <w:bottom w:w="72" w:type="dxa"/>
              <w:right w:w="20" w:type="dxa"/>
            </w:tcMar>
            <w:vAlign w:val="center"/>
          </w:tcPr>
          <w:p w14:paraId="45A3789E">
            <w:pPr>
              <w:spacing w:line="240" w:lineRule="auto"/>
              <w:rPr>
                <w:rFonts w:hint="eastAsia" w:cs="宋体"/>
                <w:sz w:val="20"/>
                <w:szCs w:val="20"/>
              </w:rPr>
            </w:pPr>
            <w:r>
              <w:rPr>
                <w:rFonts w:hint="eastAsia" w:cs="宋体"/>
                <w:sz w:val="20"/>
                <w:szCs w:val="20"/>
              </w:rPr>
              <w:t>提供不少于1天不少于3人的工程师的培训课程。场地、交通等与培训相关的费用均由服务商承担。培训内容应包括</w:t>
            </w:r>
            <w:r>
              <w:rPr>
                <w:rFonts w:hint="eastAsia" w:cs="宋体"/>
                <w:sz w:val="20"/>
                <w:szCs w:val="20"/>
                <w:lang w:val="en-US" w:eastAsia="zh-CN"/>
              </w:rPr>
              <w:t>但不限于</w:t>
            </w:r>
            <w:r>
              <w:rPr>
                <w:rFonts w:hint="eastAsia" w:cs="宋体"/>
                <w:sz w:val="20"/>
                <w:szCs w:val="20"/>
              </w:rPr>
              <w:t>：</w:t>
            </w:r>
          </w:p>
        </w:tc>
      </w:tr>
    </w:tbl>
    <w:p w14:paraId="4B2A983E">
      <w:pPr>
        <w:rPr>
          <w:rFonts w:hint="eastAsia" w:cs="宋体"/>
        </w:rPr>
      </w:pPr>
    </w:p>
    <w:p w14:paraId="3C1F5937">
      <w:pPr>
        <w:pStyle w:val="2"/>
        <w:numPr>
          <w:ilvl w:val="0"/>
          <w:numId w:val="3"/>
        </w:numPr>
        <w:spacing w:before="0" w:after="0"/>
        <w:rPr>
          <w:rFonts w:hint="eastAsia" w:cs="宋体"/>
          <w:sz w:val="32"/>
          <w:szCs w:val="32"/>
        </w:rPr>
      </w:pPr>
      <w:r>
        <w:rPr>
          <w:rFonts w:hint="eastAsia" w:cs="宋体"/>
          <w:sz w:val="32"/>
          <w:szCs w:val="32"/>
          <w:lang w:val="en-US"/>
        </w:rPr>
        <w:t>服务期限</w:t>
      </w:r>
    </w:p>
    <w:p w14:paraId="19AE72E4">
      <w:pPr>
        <w:rPr>
          <w:rFonts w:hint="eastAsia" w:cs="宋体"/>
        </w:rPr>
      </w:pPr>
      <w:r>
        <w:rPr>
          <w:rFonts w:hint="eastAsia" w:cs="宋体"/>
        </w:rPr>
        <w:tab/>
      </w:r>
      <w:r>
        <w:rPr>
          <w:rFonts w:hint="eastAsia" w:cs="宋体"/>
        </w:rPr>
        <w:t>服务期为2026年12月1日至2029年11月30日。</w:t>
      </w:r>
    </w:p>
    <w:p w14:paraId="547A5B7C">
      <w:pPr>
        <w:rPr>
          <w:rFonts w:hint="eastAsia" w:cs="宋体"/>
        </w:rPr>
      </w:pPr>
    </w:p>
    <w:p w14:paraId="751488E6">
      <w:pPr>
        <w:pStyle w:val="2"/>
        <w:numPr>
          <w:ilvl w:val="0"/>
          <w:numId w:val="3"/>
        </w:numPr>
        <w:spacing w:before="0" w:after="0"/>
        <w:rPr>
          <w:rFonts w:hint="eastAsia" w:cs="宋体"/>
          <w:sz w:val="32"/>
          <w:szCs w:val="32"/>
          <w:lang w:val="en-US"/>
        </w:rPr>
      </w:pPr>
      <w:r>
        <w:rPr>
          <w:rFonts w:hint="eastAsia" w:cs="宋体"/>
          <w:sz w:val="32"/>
          <w:szCs w:val="32"/>
          <w:lang w:val="en-US"/>
        </w:rPr>
        <w:t>服务总体要求</w:t>
      </w:r>
    </w:p>
    <w:p w14:paraId="2FD4CC21">
      <w:pPr>
        <w:pStyle w:val="58"/>
        <w:numPr>
          <w:ilvl w:val="1"/>
          <w:numId w:val="4"/>
        </w:numPr>
        <w:ind w:left="1274"/>
        <w:rPr>
          <w:lang w:val="en-US"/>
        </w:rPr>
      </w:pPr>
      <w:r>
        <w:rPr>
          <w:rFonts w:hint="eastAsia"/>
          <w:lang w:val="en-US"/>
        </w:rPr>
        <w:t>日常维护响应</w:t>
      </w:r>
    </w:p>
    <w:p w14:paraId="11A7C91C">
      <w:pPr>
        <w:ind w:firstLine="420"/>
        <w:rPr>
          <w:rFonts w:hint="eastAsia" w:cs="宋体"/>
          <w:kern w:val="0"/>
          <w:szCs w:val="21"/>
        </w:rPr>
      </w:pPr>
      <w:r>
        <w:rPr>
          <w:rFonts w:hint="eastAsia" w:cs="宋体"/>
          <w:kern w:val="0"/>
          <w:szCs w:val="21"/>
        </w:rPr>
        <w:t>（1）要求提供三年硬件维保服务支持。</w:t>
      </w:r>
    </w:p>
    <w:p w14:paraId="6CDAF6B5">
      <w:pPr>
        <w:ind w:firstLine="420"/>
        <w:rPr>
          <w:rFonts w:hint="eastAsia" w:cs="宋体"/>
          <w:kern w:val="0"/>
          <w:szCs w:val="21"/>
        </w:rPr>
      </w:pPr>
      <w:r>
        <w:rPr>
          <w:rFonts w:hint="eastAsia" w:cs="宋体"/>
          <w:kern w:val="0"/>
          <w:szCs w:val="21"/>
        </w:rPr>
        <w:t>（2）服务范围包括免费硬件更换维修、系统健康性检查、硬件微码升级、操作系统升级、系统环境变更等。</w:t>
      </w:r>
    </w:p>
    <w:p w14:paraId="27377F28">
      <w:pPr>
        <w:ind w:firstLine="420"/>
        <w:rPr>
          <w:rFonts w:hint="eastAsia" w:cs="宋体"/>
          <w:kern w:val="0"/>
          <w:szCs w:val="21"/>
        </w:rPr>
      </w:pPr>
      <w:r>
        <w:rPr>
          <w:rFonts w:hint="eastAsia" w:cs="宋体"/>
          <w:kern w:val="0"/>
          <w:szCs w:val="21"/>
        </w:rPr>
        <w:t>（3）提供电话、远程支持和现场服务支持，并在规定的时间内完成。</w:t>
      </w:r>
    </w:p>
    <w:p w14:paraId="1715EFAF">
      <w:pPr>
        <w:ind w:firstLine="420"/>
        <w:rPr>
          <w:rFonts w:hint="eastAsia" w:cs="宋体"/>
          <w:kern w:val="0"/>
          <w:szCs w:val="21"/>
        </w:rPr>
      </w:pPr>
      <w:r>
        <w:rPr>
          <w:rFonts w:hint="eastAsia" w:cs="宋体"/>
          <w:kern w:val="0"/>
          <w:szCs w:val="21"/>
        </w:rPr>
        <w:t>（4）在服务期内，对设备进行定期巡检保养，及时发现并排除设备故障，确保设备及系统的正常运行。</w:t>
      </w:r>
    </w:p>
    <w:p w14:paraId="3F98D15C">
      <w:pPr>
        <w:ind w:firstLine="420"/>
        <w:rPr>
          <w:rFonts w:hint="eastAsia" w:cs="宋体"/>
          <w:kern w:val="0"/>
          <w:szCs w:val="21"/>
        </w:rPr>
      </w:pPr>
      <w:r>
        <w:rPr>
          <w:rFonts w:hint="eastAsia" w:cs="宋体"/>
          <w:kern w:val="0"/>
          <w:szCs w:val="21"/>
        </w:rPr>
        <w:t>（5）例行巡检报告及故障备件更换报告，针对被服务方设备运行状况，提出相应的优化建议。</w:t>
      </w:r>
    </w:p>
    <w:p w14:paraId="64A48685">
      <w:pPr>
        <w:ind w:firstLine="420"/>
        <w:rPr>
          <w:rFonts w:hint="eastAsia" w:cs="宋体"/>
          <w:kern w:val="0"/>
          <w:szCs w:val="21"/>
        </w:rPr>
      </w:pPr>
      <w:r>
        <w:rPr>
          <w:rFonts w:hint="eastAsia" w:cs="宋体"/>
          <w:kern w:val="0"/>
          <w:szCs w:val="21"/>
        </w:rPr>
        <w:t>（6）保证所提供的所有备件为原厂备件。</w:t>
      </w:r>
    </w:p>
    <w:p w14:paraId="16C97CD4">
      <w:pPr>
        <w:ind w:firstLine="420"/>
        <w:rPr>
          <w:rFonts w:hint="eastAsia" w:cs="宋体"/>
          <w:kern w:val="0"/>
          <w:szCs w:val="21"/>
        </w:rPr>
      </w:pPr>
      <w:r>
        <w:rPr>
          <w:rFonts w:hint="eastAsia" w:cs="宋体"/>
          <w:kern w:val="0"/>
          <w:szCs w:val="21"/>
        </w:rPr>
        <w:t>（7）若用户有需要，提供设备搬迁、演练、系统变更与优化等服务并且配合提供合理的方案，服务期间提供工程师的现场支持，协助完成系统变更。</w:t>
      </w:r>
    </w:p>
    <w:p w14:paraId="4AC682B1">
      <w:pPr>
        <w:ind w:firstLine="420"/>
        <w:rPr>
          <w:rFonts w:hint="eastAsia" w:cs="宋体"/>
          <w:kern w:val="0"/>
          <w:szCs w:val="21"/>
        </w:rPr>
      </w:pPr>
      <w:r>
        <w:rPr>
          <w:rFonts w:hint="eastAsia" w:cs="宋体"/>
          <w:kern w:val="0"/>
          <w:szCs w:val="21"/>
        </w:rPr>
        <w:t>（8）用户关键系统及设备进行维护保养时，事先安排好应急演练措施及流程，并和用户确认后方可进行。</w:t>
      </w:r>
    </w:p>
    <w:p w14:paraId="14EBAC6E">
      <w:pPr>
        <w:ind w:firstLine="420"/>
        <w:rPr>
          <w:rFonts w:hint="eastAsia" w:cs="宋体"/>
          <w:kern w:val="0"/>
          <w:szCs w:val="21"/>
        </w:rPr>
      </w:pPr>
      <w:r>
        <w:rPr>
          <w:rFonts w:hint="eastAsia" w:cs="宋体"/>
          <w:kern w:val="0"/>
          <w:szCs w:val="21"/>
        </w:rPr>
        <w:t>（9）投标人应全程监控维保服务实施质量、详细的故障事件跟踪、升级系统或流程，详细记录故障解决步骤、时间、人员等信息。</w:t>
      </w:r>
    </w:p>
    <w:p w14:paraId="3042BD32">
      <w:pPr>
        <w:ind w:firstLine="420"/>
        <w:rPr>
          <w:rFonts w:hint="eastAsia" w:cs="宋体"/>
          <w:kern w:val="0"/>
          <w:szCs w:val="21"/>
        </w:rPr>
      </w:pPr>
      <w:r>
        <w:rPr>
          <w:rFonts w:hint="eastAsia" w:cs="宋体"/>
          <w:kern w:val="0"/>
          <w:szCs w:val="21"/>
        </w:rPr>
        <w:t>（11）服务商周期性对硬件平台的运转状况进行跟踪、分析，科学地预测和掌握主机应用系统的性能状态，以保证能适时提出合理的扩充和升级计划，经甲方同意后予以实施，使该系统能够满足不断增长的业务应用需要。</w:t>
      </w:r>
    </w:p>
    <w:p w14:paraId="0B60FAB6">
      <w:pPr>
        <w:ind w:firstLine="420"/>
        <w:rPr>
          <w:rFonts w:hint="eastAsia" w:cs="宋体"/>
          <w:kern w:val="0"/>
          <w:szCs w:val="21"/>
        </w:rPr>
      </w:pPr>
      <w:r>
        <w:rPr>
          <w:rFonts w:hint="eastAsia" w:cs="宋体"/>
          <w:kern w:val="0"/>
          <w:szCs w:val="21"/>
        </w:rPr>
        <w:t>（12）应定期组织技术交流及工作汇报会，向甲方提供技术资料共享服务。</w:t>
      </w:r>
    </w:p>
    <w:p w14:paraId="786054D7">
      <w:pPr>
        <w:pStyle w:val="58"/>
        <w:numPr>
          <w:ilvl w:val="1"/>
          <w:numId w:val="4"/>
        </w:numPr>
        <w:ind w:left="1274"/>
        <w:rPr>
          <w:lang w:val="en-US"/>
        </w:rPr>
      </w:pPr>
      <w:r>
        <w:rPr>
          <w:rFonts w:hint="eastAsia"/>
          <w:lang w:val="en-US"/>
        </w:rPr>
        <w:t>响应时间要求</w:t>
      </w:r>
    </w:p>
    <w:p w14:paraId="22A3B797">
      <w:pPr>
        <w:ind w:firstLine="420"/>
        <w:rPr>
          <w:rFonts w:hint="eastAsia" w:cs="宋体"/>
          <w:kern w:val="0"/>
          <w:szCs w:val="21"/>
        </w:rPr>
      </w:pPr>
      <w:r>
        <w:rPr>
          <w:rFonts w:hint="eastAsia" w:cs="宋体"/>
          <w:kern w:val="0"/>
          <w:szCs w:val="21"/>
        </w:rPr>
        <w:t>（1）服务商应作出无推诿承诺：即服务商在收到院方报修通知及要求后，须立即派技术人员到场，全力协助、使系统尽快恢复正常。</w:t>
      </w:r>
    </w:p>
    <w:p w14:paraId="7DC6DC84">
      <w:pPr>
        <w:ind w:firstLine="420"/>
        <w:rPr>
          <w:rFonts w:hint="eastAsia" w:cs="宋体"/>
          <w:kern w:val="0"/>
          <w:szCs w:val="21"/>
        </w:rPr>
      </w:pPr>
      <w:r>
        <w:rPr>
          <w:rFonts w:hint="eastAsia" w:cs="宋体"/>
          <w:kern w:val="0"/>
          <w:szCs w:val="21"/>
        </w:rPr>
        <w:t>（2）服务商承诺设立7×24小时服务热线和7×24小时专人手机值班，在甲方的硬件平台系统有日常故障问题均可以打电话方式寻求帮助，服务商必须立即予以响应并跟踪，直到问题得到解决。</w:t>
      </w:r>
    </w:p>
    <w:p w14:paraId="5106AACA">
      <w:pPr>
        <w:ind w:firstLine="420"/>
        <w:rPr>
          <w:rFonts w:hint="eastAsia" w:cs="宋体"/>
          <w:kern w:val="0"/>
          <w:szCs w:val="21"/>
        </w:rPr>
      </w:pPr>
      <w:r>
        <w:rPr>
          <w:rFonts w:hint="eastAsia" w:cs="宋体"/>
          <w:kern w:val="0"/>
          <w:szCs w:val="21"/>
        </w:rPr>
        <w:t>（3）服务商提供现场技术支持，工作期间（正常工作日8：00-18：00）故障响应时间不超过0.5小时，到达现场时间不超过1小时。</w:t>
      </w:r>
    </w:p>
    <w:p w14:paraId="07D2E486">
      <w:pPr>
        <w:ind w:firstLine="420"/>
        <w:rPr>
          <w:rFonts w:hint="eastAsia" w:cs="宋体"/>
          <w:kern w:val="0"/>
          <w:szCs w:val="21"/>
        </w:rPr>
      </w:pPr>
      <w:r>
        <w:rPr>
          <w:rFonts w:hint="eastAsia" w:cs="宋体"/>
          <w:kern w:val="0"/>
          <w:szCs w:val="21"/>
        </w:rPr>
        <w:t>（4）非工作期间，信息系统故障响应时间不超过1小时到达现场时间不超过2小时。</w:t>
      </w:r>
    </w:p>
    <w:p w14:paraId="409593B0">
      <w:pPr>
        <w:ind w:firstLine="420"/>
        <w:rPr>
          <w:rFonts w:hint="eastAsia" w:cs="宋体"/>
          <w:kern w:val="0"/>
          <w:szCs w:val="21"/>
        </w:rPr>
      </w:pPr>
      <w:r>
        <w:rPr>
          <w:rFonts w:hint="eastAsia" w:cs="宋体"/>
          <w:kern w:val="0"/>
          <w:szCs w:val="21"/>
        </w:rPr>
        <w:t>（5）服务商应提出故障解决方案，工作至故障修妥完全恢复正常服务为止，修复时间不超过2个工作日。</w:t>
      </w:r>
    </w:p>
    <w:p w14:paraId="454FAAD1">
      <w:pPr>
        <w:ind w:firstLine="420"/>
        <w:rPr>
          <w:rFonts w:hint="eastAsia" w:cs="宋体"/>
          <w:kern w:val="0"/>
          <w:szCs w:val="21"/>
        </w:rPr>
      </w:pPr>
      <w:r>
        <w:rPr>
          <w:rFonts w:hint="eastAsia" w:cs="宋体"/>
          <w:kern w:val="0"/>
          <w:szCs w:val="21"/>
        </w:rPr>
        <w:t>（6）对于核心系统关键备件（严重影响设备运行或导致设备宕机的备件），应在4小时内到达。非核心系统关键备件，应根据客户要求和实际情况，24小时内送达现场。若出现本地备件库没有备件的情况，应根据故障情况和客户要求，采取专人专送的方式将备件送达客户现场。</w:t>
      </w:r>
    </w:p>
    <w:p w14:paraId="1C58F2A3">
      <w:pPr>
        <w:ind w:firstLine="420"/>
        <w:rPr>
          <w:rFonts w:hint="eastAsia" w:cs="宋体"/>
          <w:kern w:val="0"/>
          <w:szCs w:val="21"/>
        </w:rPr>
      </w:pPr>
      <w:r>
        <w:rPr>
          <w:rFonts w:hint="eastAsia" w:cs="宋体"/>
          <w:kern w:val="0"/>
          <w:szCs w:val="21"/>
        </w:rPr>
        <w:t>（7）在故障处理完成后1个工作日内应提供阶段性报告，并及时根据实际情况更新。</w:t>
      </w:r>
    </w:p>
    <w:p w14:paraId="1B612179">
      <w:pPr>
        <w:ind w:firstLine="420"/>
        <w:rPr>
          <w:rFonts w:hint="eastAsia" w:cs="宋体"/>
          <w:kern w:val="0"/>
          <w:szCs w:val="21"/>
        </w:rPr>
      </w:pPr>
      <w:r>
        <w:rPr>
          <w:rFonts w:hint="eastAsia" w:cs="宋体"/>
          <w:kern w:val="0"/>
          <w:szCs w:val="21"/>
        </w:rPr>
        <w:t>（8）在服务结束时，提供的维护服务报告。</w:t>
      </w:r>
    </w:p>
    <w:p w14:paraId="784DD2A8">
      <w:pPr>
        <w:ind w:firstLine="420"/>
        <w:rPr>
          <w:rFonts w:hint="eastAsia" w:cs="宋体"/>
          <w:kern w:val="0"/>
          <w:szCs w:val="21"/>
        </w:rPr>
      </w:pPr>
      <w:r>
        <w:rPr>
          <w:rFonts w:hint="eastAsia" w:cs="宋体"/>
          <w:kern w:val="0"/>
          <w:szCs w:val="21"/>
        </w:rPr>
        <w:t>（9）重大节日（如十一、五一、春节）期间用户如需要值守服务，投标人需提供提供现场支持工作服务。</w:t>
      </w:r>
    </w:p>
    <w:p w14:paraId="76E262AF">
      <w:pPr>
        <w:pStyle w:val="58"/>
        <w:numPr>
          <w:ilvl w:val="1"/>
          <w:numId w:val="4"/>
        </w:numPr>
        <w:ind w:left="1274"/>
        <w:rPr>
          <w:lang w:val="en-US"/>
        </w:rPr>
      </w:pPr>
      <w:r>
        <w:rPr>
          <w:rFonts w:hint="eastAsia"/>
          <w:lang w:val="en-US"/>
        </w:rPr>
        <w:t>服务人员要求</w:t>
      </w:r>
    </w:p>
    <w:p w14:paraId="65F0DCEA">
      <w:pPr>
        <w:ind w:firstLine="420"/>
        <w:rPr>
          <w:rFonts w:hint="eastAsia" w:cs="宋体"/>
          <w:kern w:val="0"/>
          <w:szCs w:val="21"/>
        </w:rPr>
      </w:pPr>
      <w:r>
        <w:rPr>
          <w:rFonts w:hint="eastAsia" w:cs="宋体"/>
          <w:kern w:val="0"/>
          <w:szCs w:val="21"/>
        </w:rPr>
        <w:t>（1）服务商应有专门的维护部门并指定固定技术力量用于信息系统维护，并向用户提供详细的维护人员清单及其联系方式。</w:t>
      </w:r>
    </w:p>
    <w:p w14:paraId="6457FB43">
      <w:pPr>
        <w:ind w:firstLine="420"/>
        <w:rPr>
          <w:rFonts w:hint="eastAsia" w:cs="宋体"/>
        </w:rPr>
      </w:pPr>
      <w:r>
        <w:rPr>
          <w:rFonts w:hint="eastAsia" w:cs="宋体"/>
          <w:kern w:val="0"/>
          <w:szCs w:val="21"/>
        </w:rPr>
        <w:t>（2）成立专项维护人员小组必须由不少于</w:t>
      </w:r>
      <w:r>
        <w:rPr>
          <w:rFonts w:hint="eastAsia" w:cs="宋体"/>
          <w:kern w:val="0"/>
          <w:szCs w:val="21"/>
          <w:lang w:val="en-US" w:eastAsia="zh-CN"/>
        </w:rPr>
        <w:t>3</w:t>
      </w:r>
      <w:r>
        <w:rPr>
          <w:rFonts w:hint="eastAsia" w:cs="宋体"/>
          <w:kern w:val="0"/>
          <w:szCs w:val="21"/>
        </w:rPr>
        <w:t>名技术支持工程师组成，且要有相应专业资质或资历。</w:t>
      </w:r>
      <w:r>
        <w:rPr>
          <w:rFonts w:hint="eastAsia" w:cs="宋体"/>
        </w:rPr>
        <w:t>服务小组人员资格要求必须满足下表：</w:t>
      </w:r>
    </w:p>
    <w:tbl>
      <w:tblPr>
        <w:tblStyle w:val="24"/>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1717"/>
        <w:gridCol w:w="6400"/>
      </w:tblGrid>
      <w:tr w14:paraId="1874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52" w:type="pct"/>
            <w:vAlign w:val="center"/>
          </w:tcPr>
          <w:p w14:paraId="1E4F15A7">
            <w:pPr>
              <w:spacing w:line="240" w:lineRule="auto"/>
              <w:jc w:val="center"/>
              <w:rPr>
                <w:rFonts w:hint="eastAsia" w:cs="宋体"/>
                <w:b/>
                <w:bCs/>
                <w:sz w:val="20"/>
                <w:szCs w:val="20"/>
              </w:rPr>
            </w:pPr>
            <w:r>
              <w:rPr>
                <w:rFonts w:hint="eastAsia" w:cs="宋体"/>
                <w:b/>
                <w:bCs/>
                <w:sz w:val="20"/>
                <w:szCs w:val="20"/>
              </w:rPr>
              <w:t>序号</w:t>
            </w:r>
          </w:p>
        </w:tc>
        <w:tc>
          <w:tcPr>
            <w:tcW w:w="962" w:type="pct"/>
            <w:vAlign w:val="center"/>
          </w:tcPr>
          <w:p w14:paraId="5AFE791D">
            <w:pPr>
              <w:spacing w:line="240" w:lineRule="auto"/>
              <w:jc w:val="center"/>
              <w:rPr>
                <w:rFonts w:hint="eastAsia" w:cs="宋体"/>
                <w:b/>
                <w:bCs/>
                <w:sz w:val="20"/>
                <w:szCs w:val="20"/>
              </w:rPr>
            </w:pPr>
            <w:r>
              <w:rPr>
                <w:rFonts w:hint="eastAsia" w:cs="宋体"/>
                <w:b/>
                <w:bCs/>
                <w:sz w:val="20"/>
                <w:szCs w:val="20"/>
              </w:rPr>
              <w:t>指标项</w:t>
            </w:r>
          </w:p>
        </w:tc>
        <w:tc>
          <w:tcPr>
            <w:tcW w:w="3586" w:type="pct"/>
            <w:vAlign w:val="center"/>
          </w:tcPr>
          <w:p w14:paraId="6F793861">
            <w:pPr>
              <w:spacing w:line="240" w:lineRule="auto"/>
              <w:jc w:val="center"/>
              <w:rPr>
                <w:rFonts w:hint="eastAsia" w:cs="宋体"/>
                <w:b/>
                <w:bCs/>
                <w:sz w:val="20"/>
                <w:szCs w:val="20"/>
              </w:rPr>
            </w:pPr>
            <w:r>
              <w:rPr>
                <w:rFonts w:hint="eastAsia" w:cs="宋体"/>
                <w:b/>
                <w:color w:val="000000"/>
                <w:sz w:val="20"/>
                <w:szCs w:val="20"/>
              </w:rPr>
              <w:t>服务要求/服务明细</w:t>
            </w:r>
          </w:p>
        </w:tc>
      </w:tr>
      <w:tr w14:paraId="62A9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452" w:type="pct"/>
            <w:vAlign w:val="center"/>
          </w:tcPr>
          <w:p w14:paraId="57163C81">
            <w:pPr>
              <w:pStyle w:val="56"/>
              <w:spacing w:line="240" w:lineRule="auto"/>
              <w:ind w:firstLine="0" w:firstLineChars="0"/>
              <w:jc w:val="center"/>
              <w:rPr>
                <w:rFonts w:hint="eastAsia" w:ascii="宋体" w:hAnsi="宋体" w:eastAsia="宋体" w:cs="宋体"/>
                <w:sz w:val="20"/>
                <w:szCs w:val="20"/>
              </w:rPr>
            </w:pPr>
            <w:r>
              <w:rPr>
                <w:rFonts w:hint="eastAsia" w:ascii="宋体" w:hAnsi="宋体" w:eastAsia="宋体" w:cs="宋体"/>
                <w:sz w:val="20"/>
                <w:szCs w:val="20"/>
              </w:rPr>
              <w:t>1.</w:t>
            </w:r>
          </w:p>
        </w:tc>
        <w:tc>
          <w:tcPr>
            <w:tcW w:w="962" w:type="pct"/>
            <w:vAlign w:val="center"/>
          </w:tcPr>
          <w:p w14:paraId="0B1BFE61">
            <w:pPr>
              <w:spacing w:line="240" w:lineRule="auto"/>
              <w:rPr>
                <w:rFonts w:hint="eastAsia" w:cs="宋体"/>
                <w:sz w:val="20"/>
                <w:szCs w:val="20"/>
              </w:rPr>
            </w:pPr>
            <w:r>
              <w:rPr>
                <w:rFonts w:hint="eastAsia" w:cs="宋体"/>
                <w:sz w:val="20"/>
                <w:szCs w:val="20"/>
              </w:rPr>
              <w:t>维保服务主管</w:t>
            </w:r>
          </w:p>
        </w:tc>
        <w:tc>
          <w:tcPr>
            <w:tcW w:w="3586" w:type="pct"/>
            <w:vAlign w:val="center"/>
          </w:tcPr>
          <w:p w14:paraId="4BFA76BA">
            <w:pPr>
              <w:spacing w:line="240" w:lineRule="auto"/>
              <w:rPr>
                <w:rFonts w:hint="eastAsia" w:cs="宋体"/>
                <w:sz w:val="20"/>
                <w:szCs w:val="20"/>
              </w:rPr>
            </w:pPr>
            <w:r>
              <w:rPr>
                <w:rFonts w:hint="eastAsia" w:cs="宋体"/>
                <w:sz w:val="20"/>
                <w:szCs w:val="20"/>
              </w:rPr>
              <w:t>提供专业的维保服务团队，设立专门的维保服务主管，负责维保团队的日常管理，包括任务分配、绩效考核、技能培训等，确保团队高效运作。制定客户维保服务标准、流程优化方案，提升服务响应速度和客户满意度。维保服务主管应同时具备≥8年同类经验、具备IT服务项目经理（ITSS认证）、</w:t>
            </w:r>
            <w:r>
              <w:rPr>
                <w:rFonts w:cs="宋体"/>
                <w:sz w:val="20"/>
                <w:szCs w:val="20"/>
              </w:rPr>
              <w:t>信息系统项目管理师认证（高级）</w:t>
            </w:r>
            <w:r>
              <w:rPr>
                <w:rFonts w:hint="eastAsia" w:cs="宋体"/>
                <w:sz w:val="20"/>
                <w:szCs w:val="20"/>
              </w:rPr>
              <w:t>。</w:t>
            </w:r>
          </w:p>
        </w:tc>
      </w:tr>
      <w:tr w14:paraId="7199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452" w:type="pct"/>
            <w:vAlign w:val="center"/>
          </w:tcPr>
          <w:p w14:paraId="1D8D1B0E">
            <w:pPr>
              <w:pStyle w:val="56"/>
              <w:spacing w:line="240" w:lineRule="auto"/>
              <w:ind w:firstLine="0" w:firstLineChars="0"/>
              <w:jc w:val="center"/>
              <w:rPr>
                <w:rFonts w:hint="eastAsia" w:ascii="宋体" w:hAnsi="宋体" w:eastAsia="宋体" w:cs="宋体"/>
                <w:sz w:val="20"/>
                <w:szCs w:val="20"/>
              </w:rPr>
            </w:pPr>
            <w:r>
              <w:rPr>
                <w:rFonts w:hint="eastAsia" w:ascii="宋体" w:hAnsi="宋体" w:eastAsia="宋体" w:cs="宋体"/>
                <w:sz w:val="20"/>
                <w:szCs w:val="20"/>
              </w:rPr>
              <w:t>2.</w:t>
            </w:r>
          </w:p>
        </w:tc>
        <w:tc>
          <w:tcPr>
            <w:tcW w:w="962" w:type="pct"/>
            <w:vAlign w:val="center"/>
          </w:tcPr>
          <w:p w14:paraId="4953A0BB">
            <w:pPr>
              <w:spacing w:line="240" w:lineRule="auto"/>
              <w:rPr>
                <w:rFonts w:hint="eastAsia" w:cs="宋体"/>
                <w:sz w:val="20"/>
                <w:szCs w:val="20"/>
              </w:rPr>
            </w:pPr>
            <w:r>
              <w:rPr>
                <w:rFonts w:hint="eastAsia" w:cs="宋体"/>
                <w:sz w:val="20"/>
                <w:szCs w:val="20"/>
              </w:rPr>
              <w:t>资深支持工程师</w:t>
            </w:r>
          </w:p>
        </w:tc>
        <w:tc>
          <w:tcPr>
            <w:tcW w:w="3586" w:type="pct"/>
            <w:vAlign w:val="center"/>
          </w:tcPr>
          <w:p w14:paraId="284A0C10">
            <w:pPr>
              <w:spacing w:line="240" w:lineRule="auto"/>
              <w:rPr>
                <w:rFonts w:hint="eastAsia" w:cs="宋体"/>
                <w:sz w:val="20"/>
                <w:szCs w:val="20"/>
              </w:rPr>
            </w:pPr>
            <w:r>
              <w:rPr>
                <w:rFonts w:hint="eastAsia" w:cs="宋体"/>
                <w:sz w:val="20"/>
                <w:szCs w:val="20"/>
              </w:rPr>
              <w:t>提供专业的维保服务团队，提供≥2名资深支持工程师，负责处理高难度技术故障（如服务器硬件问题），提供远程或现场技术支持。针对复杂系统问题设计修复方案或优化建议（如性能调优、故障预防），提供技术培训或故障处理指导，降低重复问题发生率。</w:t>
            </w:r>
          </w:p>
          <w:p w14:paraId="3BBD8B65">
            <w:pPr>
              <w:spacing w:line="240" w:lineRule="auto"/>
              <w:rPr>
                <w:rFonts w:hint="eastAsia" w:cs="宋体"/>
                <w:sz w:val="20"/>
                <w:szCs w:val="20"/>
              </w:rPr>
            </w:pPr>
            <w:r>
              <w:rPr>
                <w:rFonts w:hint="eastAsia" w:cs="宋体"/>
                <w:sz w:val="20"/>
                <w:szCs w:val="20"/>
              </w:rPr>
              <w:t>资深支持工程师应具备≥5年专业实践经验、具备浪潮认证工程师证书或其他服务器厂商认证证书。</w:t>
            </w:r>
          </w:p>
        </w:tc>
      </w:tr>
      <w:tr w14:paraId="2D00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452" w:type="pct"/>
            <w:vAlign w:val="center"/>
          </w:tcPr>
          <w:p w14:paraId="24874BB9">
            <w:pPr>
              <w:pStyle w:val="56"/>
              <w:numPr>
                <w:ilvl w:val="255"/>
                <w:numId w:val="0"/>
              </w:numPr>
              <w:spacing w:line="240" w:lineRule="auto"/>
              <w:jc w:val="center"/>
              <w:rPr>
                <w:rFonts w:hint="eastAsia" w:ascii="宋体" w:hAnsi="宋体" w:eastAsia="宋体" w:cs="宋体"/>
                <w:sz w:val="20"/>
                <w:szCs w:val="20"/>
                <w:lang w:val="en-US"/>
              </w:rPr>
            </w:pPr>
            <w:r>
              <w:rPr>
                <w:rFonts w:hint="eastAsia" w:ascii="宋体" w:hAnsi="宋体" w:eastAsia="宋体" w:cs="宋体"/>
                <w:sz w:val="20"/>
                <w:szCs w:val="20"/>
                <w:lang w:val="en-US"/>
              </w:rPr>
              <w:t>3.</w:t>
            </w:r>
          </w:p>
        </w:tc>
        <w:tc>
          <w:tcPr>
            <w:tcW w:w="962" w:type="pct"/>
            <w:vAlign w:val="center"/>
          </w:tcPr>
          <w:p w14:paraId="7570C1DC">
            <w:pPr>
              <w:spacing w:line="240" w:lineRule="auto"/>
              <w:rPr>
                <w:rFonts w:hint="eastAsia" w:cs="宋体"/>
                <w:sz w:val="20"/>
                <w:szCs w:val="20"/>
              </w:rPr>
            </w:pPr>
            <w:r>
              <w:rPr>
                <w:rFonts w:hint="eastAsia" w:cs="宋体"/>
                <w:sz w:val="20"/>
                <w:szCs w:val="20"/>
              </w:rPr>
              <w:t>项目管理工程师</w:t>
            </w:r>
          </w:p>
        </w:tc>
        <w:tc>
          <w:tcPr>
            <w:tcW w:w="3586" w:type="pct"/>
            <w:vAlign w:val="center"/>
          </w:tcPr>
          <w:p w14:paraId="01CA03F8">
            <w:pPr>
              <w:spacing w:line="240" w:lineRule="auto"/>
              <w:rPr>
                <w:rFonts w:hint="eastAsia" w:cs="宋体"/>
                <w:sz w:val="20"/>
                <w:szCs w:val="20"/>
              </w:rPr>
            </w:pPr>
            <w:r>
              <w:rPr>
                <w:rFonts w:hint="eastAsia" w:cs="宋体"/>
                <w:sz w:val="20"/>
                <w:szCs w:val="20"/>
              </w:rPr>
              <w:t>提供专业的维保服务团队，提供≥</w:t>
            </w:r>
            <w:r>
              <w:rPr>
                <w:rFonts w:hint="eastAsia" w:cs="宋体"/>
                <w:sz w:val="20"/>
                <w:szCs w:val="20"/>
                <w:lang w:val="en-US" w:eastAsia="zh-CN"/>
              </w:rPr>
              <w:t>1</w:t>
            </w:r>
            <w:r>
              <w:rPr>
                <w:rFonts w:hint="eastAsia" w:cs="宋体"/>
                <w:sz w:val="20"/>
                <w:szCs w:val="20"/>
              </w:rPr>
              <w:t>名项目管理工程师，负责制定项目计划（时间表、资源分配等），监控维保服务进度并确保巡检报告或其他维保服务应提供的资料按时交付。协调维保服务期间资源情况，解决项目中的技术或沟通障碍，并定期汇报维保服务进展。</w:t>
            </w:r>
          </w:p>
          <w:p w14:paraId="3E06FC10">
            <w:pPr>
              <w:spacing w:line="240" w:lineRule="auto"/>
              <w:rPr>
                <w:rFonts w:hint="eastAsia" w:cs="宋体"/>
                <w:sz w:val="20"/>
                <w:szCs w:val="20"/>
              </w:rPr>
            </w:pPr>
            <w:r>
              <w:rPr>
                <w:rFonts w:hint="eastAsia" w:cs="宋体"/>
                <w:sz w:val="20"/>
                <w:szCs w:val="20"/>
              </w:rPr>
              <w:t>项目管理工程师应具备≥5年专业实践经验、具备项目管理专业认证。</w:t>
            </w:r>
          </w:p>
        </w:tc>
      </w:tr>
    </w:tbl>
    <w:p w14:paraId="500EE04E">
      <w:pPr>
        <w:rPr>
          <w:rFonts w:hint="eastAsia" w:cs="宋体"/>
        </w:rPr>
      </w:pPr>
    </w:p>
    <w:p w14:paraId="65BFF3EA">
      <w:pPr>
        <w:pStyle w:val="2"/>
        <w:numPr>
          <w:ilvl w:val="0"/>
          <w:numId w:val="3"/>
        </w:numPr>
        <w:spacing w:before="0" w:after="0"/>
        <w:rPr>
          <w:rFonts w:hint="eastAsia" w:cs="宋体"/>
          <w:sz w:val="32"/>
          <w:szCs w:val="32"/>
          <w:lang w:val="en-US"/>
        </w:rPr>
      </w:pPr>
      <w:r>
        <w:rPr>
          <w:rFonts w:hint="eastAsia" w:cs="宋体"/>
          <w:sz w:val="32"/>
          <w:szCs w:val="32"/>
          <w:lang w:val="en-US"/>
        </w:rPr>
        <w:t>服务验收</w:t>
      </w:r>
    </w:p>
    <w:p w14:paraId="0FFD4136">
      <w:pPr>
        <w:numPr>
          <w:ilvl w:val="0"/>
          <w:numId w:val="5"/>
        </w:numPr>
        <w:tabs>
          <w:tab w:val="left" w:pos="0"/>
          <w:tab w:val="left" w:pos="210"/>
          <w:tab w:val="left" w:pos="567"/>
        </w:tabs>
        <w:ind w:left="480" w:leftChars="200"/>
        <w:rPr>
          <w:rFonts w:hint="eastAsia"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验收时间：按双方共同确认的12个季度巡检报告和硬件相关维护记录后，在最后一个季度服务结束后30个工作日内由院方启动验收。</w:t>
      </w:r>
    </w:p>
    <w:p w14:paraId="01BB68FF">
      <w:pPr>
        <w:numPr>
          <w:ilvl w:val="0"/>
          <w:numId w:val="5"/>
        </w:numPr>
        <w:tabs>
          <w:tab w:val="left" w:pos="0"/>
          <w:tab w:val="left" w:pos="210"/>
          <w:tab w:val="left" w:pos="567"/>
        </w:tabs>
        <w:ind w:left="480" w:leftChars="200"/>
        <w:rPr>
          <w:rFonts w:hint="eastAsia"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验收人员：双方相关人员。</w:t>
      </w:r>
    </w:p>
    <w:p w14:paraId="0DB7B0D8">
      <w:pPr>
        <w:numPr>
          <w:ilvl w:val="0"/>
          <w:numId w:val="5"/>
        </w:numPr>
        <w:tabs>
          <w:tab w:val="left" w:pos="0"/>
          <w:tab w:val="left" w:pos="210"/>
          <w:tab w:val="left" w:pos="567"/>
        </w:tabs>
        <w:ind w:left="480" w:leftChars="200"/>
        <w:rPr>
          <w:rFonts w:hint="eastAsia"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验收标准：</w:t>
      </w:r>
    </w:p>
    <w:p w14:paraId="5B07F668">
      <w:pPr>
        <w:numPr>
          <w:ilvl w:val="0"/>
          <w:numId w:val="6"/>
        </w:numPr>
        <w:tabs>
          <w:tab w:val="left" w:pos="0"/>
          <w:tab w:val="left" w:pos="210"/>
          <w:tab w:val="left" w:pos="567"/>
        </w:tabs>
        <w:rPr>
          <w:rFonts w:hint="eastAsia"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巡检服务：双方共同确认的12个季度巡检报告和硬件相关维护记录。</w:t>
      </w:r>
    </w:p>
    <w:p w14:paraId="5B84DD81">
      <w:pPr>
        <w:numPr>
          <w:ilvl w:val="0"/>
          <w:numId w:val="6"/>
        </w:numPr>
        <w:tabs>
          <w:tab w:val="left" w:pos="0"/>
          <w:tab w:val="left" w:pos="210"/>
          <w:tab w:val="left" w:pos="567"/>
        </w:tabs>
        <w:ind w:left="0" w:firstLine="420" w:firstLineChars="175"/>
        <w:rPr>
          <w:rFonts w:hint="eastAsia"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运维服务：服务商提供维护记录（系统错误修复、系统数据修复、系统集成）经院方审核确认后验收。</w:t>
      </w:r>
    </w:p>
    <w:p w14:paraId="13328305">
      <w:pPr>
        <w:numPr>
          <w:ilvl w:val="0"/>
          <w:numId w:val="5"/>
        </w:numPr>
        <w:tabs>
          <w:tab w:val="left" w:pos="0"/>
          <w:tab w:val="left" w:pos="420"/>
        </w:tabs>
        <w:ind w:firstLine="480" w:firstLineChars="200"/>
        <w:outlineLvl w:val="0"/>
        <w:rPr>
          <w:rFonts w:hint="eastAsia"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验收交付资料：验收资料包括经审核的巡检报告以及硬件故障维护记录。</w:t>
      </w:r>
    </w:p>
    <w:p w14:paraId="13D9128A">
      <w:pPr>
        <w:rPr>
          <w:rFonts w:hint="eastAsia" w:cs="宋体"/>
          <w:color w:val="000000" w:themeColor="text1"/>
          <w:szCs w:val="21"/>
          <w14:textFill>
            <w14:solidFill>
              <w14:schemeClr w14:val="tx1"/>
            </w14:solidFill>
          </w14:textFill>
        </w:rPr>
      </w:pPr>
    </w:p>
    <w:p w14:paraId="09A8E2B2">
      <w:pPr>
        <w:pStyle w:val="2"/>
        <w:numPr>
          <w:ilvl w:val="0"/>
          <w:numId w:val="3"/>
        </w:numPr>
        <w:spacing w:before="0" w:after="0"/>
        <w:rPr>
          <w:rFonts w:hint="eastAsia" w:cs="宋体"/>
          <w:sz w:val="32"/>
          <w:szCs w:val="32"/>
          <w:lang w:val="en-US"/>
        </w:rPr>
      </w:pPr>
      <w:r>
        <w:rPr>
          <w:rFonts w:hint="eastAsia" w:cs="宋体"/>
          <w:sz w:val="32"/>
          <w:szCs w:val="32"/>
          <w:lang w:val="en-US"/>
        </w:rPr>
        <w:t>合同款支付方式</w:t>
      </w:r>
    </w:p>
    <w:p w14:paraId="2F0D80BC">
      <w:pPr>
        <w:numPr>
          <w:ilvl w:val="0"/>
          <w:numId w:val="7"/>
        </w:numPr>
        <w:tabs>
          <w:tab w:val="left" w:pos="0"/>
          <w:tab w:val="left" w:pos="210"/>
          <w:tab w:val="left" w:pos="567"/>
        </w:tabs>
        <w:ind w:firstLine="48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合同签订后</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甲方在收到乙方开具相应金额正式发票后</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向乙方支付合同总金额的30%。</w:t>
      </w:r>
    </w:p>
    <w:p w14:paraId="0186827C">
      <w:pPr>
        <w:numPr>
          <w:ilvl w:val="0"/>
          <w:numId w:val="7"/>
        </w:numPr>
        <w:tabs>
          <w:tab w:val="left" w:pos="0"/>
          <w:tab w:val="left" w:pos="210"/>
          <w:tab w:val="left" w:pos="567"/>
        </w:tabs>
        <w:ind w:firstLine="48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服务器满12个月后</w:t>
      </w:r>
      <w:r>
        <w:rPr>
          <w:rFonts w:hint="eastAsia"/>
          <w:color w:val="000000" w:themeColor="text1"/>
          <w:szCs w:val="21"/>
          <w:highlight w:val="none"/>
          <w14:textFill>
            <w14:solidFill>
              <w14:schemeClr w14:val="tx1"/>
            </w14:solidFill>
          </w14:textFill>
        </w:rPr>
        <w:t>，</w:t>
      </w:r>
      <w:bookmarkStart w:id="2" w:name="OLE_LINK1"/>
      <w:r>
        <w:rPr>
          <w:rFonts w:hint="eastAsia"/>
          <w:color w:val="000000" w:themeColor="text1"/>
          <w:szCs w:val="21"/>
          <w:highlight w:val="none"/>
          <w14:textFill>
            <w14:solidFill>
              <w14:schemeClr w14:val="tx1"/>
            </w14:solidFill>
          </w14:textFill>
        </w:rPr>
        <w:t>甲方在收到乙方提供相关维护服务记录</w:t>
      </w:r>
      <w:bookmarkEnd w:id="2"/>
      <w:r>
        <w:rPr>
          <w:rFonts w:hint="eastAsia"/>
          <w:color w:val="000000" w:themeColor="text1"/>
          <w:szCs w:val="21"/>
          <w:highlight w:val="none"/>
          <w14:textFill>
            <w14:solidFill>
              <w14:schemeClr w14:val="tx1"/>
            </w14:solidFill>
          </w14:textFill>
        </w:rPr>
        <w:t>和开具相应金额正式发票后，向乙方支付合同总金额的20%</w:t>
      </w:r>
      <w:r>
        <w:rPr>
          <w:rFonts w:hint="eastAsia"/>
          <w:color w:val="000000" w:themeColor="text1"/>
          <w:szCs w:val="21"/>
          <w:highlight w:val="none"/>
          <w:lang w:val="en-US" w:eastAsia="zh-CN"/>
          <w14:textFill>
            <w14:solidFill>
              <w14:schemeClr w14:val="tx1"/>
            </w14:solidFill>
          </w14:textFill>
        </w:rPr>
        <w:t>。</w:t>
      </w:r>
    </w:p>
    <w:p w14:paraId="7B0E08F0">
      <w:pPr>
        <w:numPr>
          <w:ilvl w:val="0"/>
          <w:numId w:val="7"/>
        </w:numPr>
        <w:tabs>
          <w:tab w:val="left" w:pos="0"/>
          <w:tab w:val="left" w:pos="210"/>
          <w:tab w:val="left" w:pos="567"/>
        </w:tabs>
        <w:ind w:firstLine="48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服务器满24个月后</w:t>
      </w:r>
      <w:r>
        <w:rPr>
          <w:rFonts w:hint="eastAsia"/>
          <w:color w:val="000000" w:themeColor="text1"/>
          <w:szCs w:val="21"/>
          <w:highlight w:val="none"/>
          <w14:textFill>
            <w14:solidFill>
              <w14:schemeClr w14:val="tx1"/>
            </w14:solidFill>
          </w14:textFill>
        </w:rPr>
        <w:t>，甲方在收到乙方提供相关维护服务记录和开具相应金额正式发票后，</w:t>
      </w:r>
      <w:r>
        <w:rPr>
          <w:rFonts w:hint="eastAsia"/>
          <w:color w:val="000000" w:themeColor="text1"/>
          <w:szCs w:val="21"/>
          <w:highlight w:val="none"/>
          <w:lang w:val="en-US" w:eastAsia="zh-CN"/>
          <w14:textFill>
            <w14:solidFill>
              <w14:schemeClr w14:val="tx1"/>
            </w14:solidFill>
          </w14:textFill>
        </w:rPr>
        <w:t>再</w:t>
      </w:r>
      <w:r>
        <w:rPr>
          <w:rFonts w:hint="eastAsia"/>
          <w:color w:val="000000" w:themeColor="text1"/>
          <w:szCs w:val="21"/>
          <w:highlight w:val="none"/>
          <w14:textFill>
            <w14:solidFill>
              <w14:schemeClr w14:val="tx1"/>
            </w14:solidFill>
          </w14:textFill>
        </w:rPr>
        <w:t>向乙方支付合同总金额的20%。</w:t>
      </w:r>
    </w:p>
    <w:p w14:paraId="77A66D84">
      <w:pPr>
        <w:numPr>
          <w:ilvl w:val="0"/>
          <w:numId w:val="7"/>
        </w:numPr>
        <w:tabs>
          <w:tab w:val="left" w:pos="0"/>
          <w:tab w:val="left" w:pos="210"/>
          <w:tab w:val="left" w:pos="567"/>
        </w:tabs>
        <w:ind w:firstLine="480" w:firstLineChars="200"/>
        <w:rPr>
          <w:rFonts w:hint="eastAsia" w:cs="宋体"/>
          <w:color w:val="000000"/>
          <w:highlight w:val="none"/>
        </w:rPr>
      </w:pPr>
      <w:r>
        <w:rPr>
          <w:rFonts w:hint="eastAsia" w:cs="宋体"/>
          <w:color w:val="000000"/>
          <w:highlight w:val="none"/>
        </w:rPr>
        <w:t>维保服务验收通过后</w:t>
      </w:r>
      <w:r>
        <w:rPr>
          <w:rFonts w:hint="eastAsia"/>
          <w:color w:val="000000" w:themeColor="text1"/>
          <w:szCs w:val="21"/>
          <w:highlight w:val="none"/>
          <w14:textFill>
            <w14:solidFill>
              <w14:schemeClr w14:val="tx1"/>
            </w14:solidFill>
          </w14:textFill>
        </w:rPr>
        <w:t>，甲方在收到乙方提供相关维护服务记录和开具相应金额正式发票后，向乙方支付剩余</w:t>
      </w:r>
      <w:r>
        <w:rPr>
          <w:rFonts w:hint="eastAsia"/>
          <w:color w:val="000000" w:themeColor="text1"/>
          <w:szCs w:val="21"/>
          <w:highlight w:val="none"/>
          <w:lang w:val="en-US" w:eastAsia="zh-CN"/>
          <w14:textFill>
            <w14:solidFill>
              <w14:schemeClr w14:val="tx1"/>
            </w14:solidFill>
          </w14:textFill>
        </w:rPr>
        <w:t>30%</w:t>
      </w:r>
      <w:r>
        <w:rPr>
          <w:rFonts w:hint="eastAsia"/>
          <w:color w:val="000000" w:themeColor="text1"/>
          <w:szCs w:val="21"/>
          <w:highlight w:val="none"/>
          <w14:textFill>
            <w14:solidFill>
              <w14:schemeClr w14:val="tx1"/>
            </w14:solidFill>
          </w14:textFill>
        </w:rPr>
        <w:t>尾款。</w:t>
      </w:r>
    </w:p>
    <w:sectPr>
      <w:footerReference r:id="rId5" w:type="default"/>
      <w:pgSz w:w="11906" w:h="16838"/>
      <w:pgMar w:top="1021" w:right="1418" w:bottom="1021" w:left="1418"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00825">
    <w:pPr>
      <w:pStyle w:val="19"/>
      <w:ind w:left="1441"/>
      <w:jc w:val="center"/>
      <w:rPr>
        <w:rFonts w:hint="eastAsia"/>
        <w:caps/>
      </w:rPr>
    </w:pPr>
    <w:r>
      <w:rPr>
        <w:caps/>
      </w:rPr>
      <w:fldChar w:fldCharType="begin"/>
    </w:r>
    <w:r>
      <w:rPr>
        <w:caps/>
      </w:rPr>
      <w:instrText xml:space="preserve">PAGE   \* MERGEFORMAT</w:instrText>
    </w:r>
    <w:r>
      <w:rPr>
        <w:caps/>
      </w:rPr>
      <w:fldChar w:fldCharType="separate"/>
    </w:r>
    <w:r>
      <w:rPr>
        <w:caps/>
      </w:rPr>
      <w:t>8</w:t>
    </w:r>
    <w:r>
      <w:rPr>
        <w:caps/>
      </w:rPr>
      <w:fldChar w:fldCharType="end"/>
    </w:r>
  </w:p>
  <w:p w14:paraId="5695645B">
    <w:pPr>
      <w:pStyle w:val="19"/>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19730E"/>
    <w:multiLevelType w:val="singleLevel"/>
    <w:tmpl w:val="C919730E"/>
    <w:lvl w:ilvl="0" w:tentative="0">
      <w:start w:val="1"/>
      <w:numFmt w:val="decimal"/>
      <w:suff w:val="nothing"/>
      <w:lvlText w:val="（%1）"/>
      <w:lvlJc w:val="left"/>
      <w:pPr>
        <w:ind w:left="420"/>
      </w:pPr>
    </w:lvl>
  </w:abstractNum>
  <w:abstractNum w:abstractNumId="1">
    <w:nsid w:val="29015205"/>
    <w:multiLevelType w:val="multilevel"/>
    <w:tmpl w:val="29015205"/>
    <w:lvl w:ilvl="0" w:tentative="0">
      <w:start w:val="1"/>
      <w:numFmt w:val="decimal"/>
      <w:pStyle w:val="2"/>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pStyle w:val="5"/>
      <w:lvlText w:val="5.1.1.%4"/>
      <w:lvlJc w:val="left"/>
      <w:pPr>
        <w:ind w:left="864" w:hanging="864"/>
      </w:pPr>
      <w:rPr>
        <w:rFonts w:hint="eastAsia"/>
      </w:rPr>
    </w:lvl>
    <w:lvl w:ilvl="4" w:tentative="0">
      <w:start w:val="1"/>
      <w:numFmt w:val="decimal"/>
      <w:pStyle w:val="6"/>
      <w:lvlText w:val="5.1.1.1.%5"/>
      <w:lvlJc w:val="left"/>
      <w:pPr>
        <w:ind w:left="2142"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2">
    <w:nsid w:val="3EBB3C91"/>
    <w:multiLevelType w:val="multilevel"/>
    <w:tmpl w:val="3EBB3C91"/>
    <w:lvl w:ilvl="0" w:tentative="0">
      <w:start w:val="1"/>
      <w:numFmt w:val="decimal"/>
      <w:pStyle w:val="65"/>
      <w:lvlText w:val="%1. "/>
      <w:lvlJc w:val="left"/>
      <w:pPr>
        <w:ind w:left="420" w:hanging="420"/>
      </w:pPr>
      <w:rPr>
        <w:rFonts w:hint="default" w:ascii="Times New Roman" w:hAnsi="Times New Roman" w:eastAsia="宋体"/>
        <w:b/>
        <w:i w:val="0"/>
      </w:rPr>
    </w:lvl>
    <w:lvl w:ilvl="1" w:tentative="0">
      <w:start w:val="1"/>
      <w:numFmt w:val="decimal"/>
      <w:pStyle w:val="58"/>
      <w:isLgl/>
      <w:suff w:val="space"/>
      <w:lvlText w:val="%1.%2 "/>
      <w:lvlJc w:val="left"/>
      <w:pPr>
        <w:ind w:left="3913" w:hanging="794"/>
      </w:pPr>
      <w:rPr>
        <w:rFonts w:hint="eastAsia"/>
      </w:rPr>
    </w:lvl>
    <w:lvl w:ilvl="2" w:tentative="0">
      <w:start w:val="1"/>
      <w:numFmt w:val="decimal"/>
      <w:pStyle w:val="64"/>
      <w:isLgl/>
      <w:suff w:val="space"/>
      <w:lvlText w:val="%1.%2.%3 "/>
      <w:lvlJc w:val="left"/>
      <w:pPr>
        <w:ind w:left="907" w:hanging="907"/>
      </w:pPr>
      <w:rPr>
        <w:rFonts w:hint="eastAsia"/>
      </w:rPr>
    </w:lvl>
    <w:lvl w:ilvl="3" w:tentative="0">
      <w:start w:val="1"/>
      <w:numFmt w:val="decimal"/>
      <w:pStyle w:val="63"/>
      <w:isLgl/>
      <w:suff w:val="space"/>
      <w:lvlText w:val="%1.%2.%3.%4 "/>
      <w:lvlJc w:val="left"/>
      <w:pPr>
        <w:ind w:left="1021" w:hanging="1021"/>
      </w:pPr>
      <w:rPr>
        <w:rFonts w:hint="eastAsia"/>
      </w:rPr>
    </w:lvl>
    <w:lvl w:ilvl="4" w:tentative="0">
      <w:start w:val="1"/>
      <w:numFmt w:val="decimal"/>
      <w:pStyle w:val="68"/>
      <w:isLgl/>
      <w:suff w:val="space"/>
      <w:lvlText w:val="%1.%2.%3.%4.%5 "/>
      <w:lvlJc w:val="left"/>
      <w:pPr>
        <w:ind w:left="1134" w:hanging="1134"/>
      </w:pPr>
      <w:rPr>
        <w:rFonts w:hint="eastAsia"/>
      </w:rPr>
    </w:lvl>
    <w:lvl w:ilvl="5" w:tentative="0">
      <w:start w:val="1"/>
      <w:numFmt w:val="decimal"/>
      <w:pStyle w:val="62"/>
      <w:isLgl/>
      <w:suff w:val="space"/>
      <w:lvlText w:val="%1.%2.%3.%4.%5.%6 "/>
      <w:lvlJc w:val="left"/>
      <w:pPr>
        <w:ind w:left="1247" w:hanging="1247"/>
      </w:pPr>
      <w:rPr>
        <w:rFonts w:hint="eastAsia"/>
      </w:rPr>
    </w:lvl>
    <w:lvl w:ilvl="6" w:tentative="0">
      <w:start w:val="1"/>
      <w:numFmt w:val="decimal"/>
      <w:lvlRestart w:val="1"/>
      <w:pStyle w:val="57"/>
      <w:isLgl/>
      <w:suff w:val="space"/>
      <w:lvlText w:val="图 %1.%7 "/>
      <w:lvlJc w:val="left"/>
      <w:pPr>
        <w:ind w:left="0" w:firstLine="0"/>
      </w:pPr>
      <w:rPr>
        <w:rFonts w:hint="eastAsia"/>
      </w:rPr>
    </w:lvl>
    <w:lvl w:ilvl="7" w:tentative="0">
      <w:start w:val="1"/>
      <w:numFmt w:val="decimal"/>
      <w:lvlRestart w:val="1"/>
      <w:pStyle w:val="67"/>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424A4138"/>
    <w:multiLevelType w:val="multilevel"/>
    <w:tmpl w:val="424A4138"/>
    <w:lvl w:ilvl="0" w:tentative="0">
      <w:start w:val="1"/>
      <w:numFmt w:val="chineseCountingThousand"/>
      <w:lvlText w:val="%1."/>
      <w:lvlJc w:val="left"/>
      <w:pPr>
        <w:ind w:left="432" w:hanging="432"/>
      </w:pPr>
      <w:rPr>
        <w:rFonts w:hint="eastAsia"/>
        <w:color w:val="auto"/>
        <w:sz w:val="32"/>
        <w:szCs w:val="32"/>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5FFEAE5C"/>
    <w:multiLevelType w:val="singleLevel"/>
    <w:tmpl w:val="5FFEAE5C"/>
    <w:lvl w:ilvl="0" w:tentative="0">
      <w:start w:val="1"/>
      <w:numFmt w:val="decimal"/>
      <w:suff w:val="space"/>
      <w:lvlText w:val="%1."/>
      <w:lvlJc w:val="left"/>
    </w:lvl>
  </w:abstractNum>
  <w:abstractNum w:abstractNumId="5">
    <w:nsid w:val="7C859754"/>
    <w:multiLevelType w:val="singleLevel"/>
    <w:tmpl w:val="7C859754"/>
    <w:lvl w:ilvl="0" w:tentative="0">
      <w:start w:val="1"/>
      <w:numFmt w:val="decimal"/>
      <w:suff w:val="space"/>
      <w:lvlText w:val="%1."/>
      <w:lvlJc w:val="left"/>
    </w:lvl>
  </w:abstractNum>
  <w:num w:numId="1">
    <w:abstractNumId w:val="1"/>
  </w:num>
  <w:num w:numId="2">
    <w:abstractNumId w:val="2"/>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removePersonalInformation/>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kMWJlNzYxNmQ2NjM5YzE2NmFkYmM1NjY2YWViYjgifQ=="/>
  </w:docVars>
  <w:rsids>
    <w:rsidRoot w:val="00172A27"/>
    <w:rsid w:val="000051D2"/>
    <w:rsid w:val="000079DD"/>
    <w:rsid w:val="00012DCC"/>
    <w:rsid w:val="00016B63"/>
    <w:rsid w:val="0004334E"/>
    <w:rsid w:val="00046B39"/>
    <w:rsid w:val="00054706"/>
    <w:rsid w:val="000612F5"/>
    <w:rsid w:val="00066DE7"/>
    <w:rsid w:val="00074EDD"/>
    <w:rsid w:val="000757C1"/>
    <w:rsid w:val="00086AE0"/>
    <w:rsid w:val="0009064D"/>
    <w:rsid w:val="00090A18"/>
    <w:rsid w:val="000B41B7"/>
    <w:rsid w:val="000D5317"/>
    <w:rsid w:val="000E276C"/>
    <w:rsid w:val="00106D68"/>
    <w:rsid w:val="001106CE"/>
    <w:rsid w:val="001107F8"/>
    <w:rsid w:val="001116F6"/>
    <w:rsid w:val="001161EB"/>
    <w:rsid w:val="00121E40"/>
    <w:rsid w:val="0012322D"/>
    <w:rsid w:val="00123CDF"/>
    <w:rsid w:val="00123FCC"/>
    <w:rsid w:val="00135BF9"/>
    <w:rsid w:val="001365DD"/>
    <w:rsid w:val="00136606"/>
    <w:rsid w:val="00140E0C"/>
    <w:rsid w:val="00141A2D"/>
    <w:rsid w:val="0014437A"/>
    <w:rsid w:val="00153AB3"/>
    <w:rsid w:val="001602AF"/>
    <w:rsid w:val="00162D29"/>
    <w:rsid w:val="0016438A"/>
    <w:rsid w:val="00164878"/>
    <w:rsid w:val="00164C38"/>
    <w:rsid w:val="00165091"/>
    <w:rsid w:val="00171903"/>
    <w:rsid w:val="00172A27"/>
    <w:rsid w:val="0018200C"/>
    <w:rsid w:val="001833B6"/>
    <w:rsid w:val="00190CD2"/>
    <w:rsid w:val="001947FD"/>
    <w:rsid w:val="00194BFE"/>
    <w:rsid w:val="001A22A1"/>
    <w:rsid w:val="001B08BD"/>
    <w:rsid w:val="001B4850"/>
    <w:rsid w:val="001B7966"/>
    <w:rsid w:val="001B7D79"/>
    <w:rsid w:val="001C23B3"/>
    <w:rsid w:val="001C7BC6"/>
    <w:rsid w:val="001D4A68"/>
    <w:rsid w:val="001D7749"/>
    <w:rsid w:val="001E3B38"/>
    <w:rsid w:val="00200054"/>
    <w:rsid w:val="002000DE"/>
    <w:rsid w:val="00202EFF"/>
    <w:rsid w:val="0020509F"/>
    <w:rsid w:val="00207A96"/>
    <w:rsid w:val="00214A6F"/>
    <w:rsid w:val="00221F1F"/>
    <w:rsid w:val="00223E47"/>
    <w:rsid w:val="00241D77"/>
    <w:rsid w:val="002509F5"/>
    <w:rsid w:val="002535AA"/>
    <w:rsid w:val="00261CBC"/>
    <w:rsid w:val="00265DE7"/>
    <w:rsid w:val="00270260"/>
    <w:rsid w:val="002722CA"/>
    <w:rsid w:val="002834D3"/>
    <w:rsid w:val="002853BF"/>
    <w:rsid w:val="00292528"/>
    <w:rsid w:val="002A01D6"/>
    <w:rsid w:val="002A4778"/>
    <w:rsid w:val="002C1296"/>
    <w:rsid w:val="002C53D1"/>
    <w:rsid w:val="002D6BE1"/>
    <w:rsid w:val="002F31F1"/>
    <w:rsid w:val="003024F8"/>
    <w:rsid w:val="00303343"/>
    <w:rsid w:val="00303CAB"/>
    <w:rsid w:val="003042A2"/>
    <w:rsid w:val="00304636"/>
    <w:rsid w:val="00310D88"/>
    <w:rsid w:val="00311322"/>
    <w:rsid w:val="003122C7"/>
    <w:rsid w:val="00314487"/>
    <w:rsid w:val="00314A5A"/>
    <w:rsid w:val="00322973"/>
    <w:rsid w:val="003325F0"/>
    <w:rsid w:val="00341038"/>
    <w:rsid w:val="00352E7C"/>
    <w:rsid w:val="00353276"/>
    <w:rsid w:val="00360458"/>
    <w:rsid w:val="00366980"/>
    <w:rsid w:val="00370A5D"/>
    <w:rsid w:val="003802E2"/>
    <w:rsid w:val="00385E95"/>
    <w:rsid w:val="00385FED"/>
    <w:rsid w:val="0039562C"/>
    <w:rsid w:val="00397B7E"/>
    <w:rsid w:val="003A7269"/>
    <w:rsid w:val="003B285A"/>
    <w:rsid w:val="003C0FB7"/>
    <w:rsid w:val="003C6D81"/>
    <w:rsid w:val="003D0F80"/>
    <w:rsid w:val="003D2595"/>
    <w:rsid w:val="003E7083"/>
    <w:rsid w:val="003F629F"/>
    <w:rsid w:val="00403938"/>
    <w:rsid w:val="00405AA9"/>
    <w:rsid w:val="00413DA3"/>
    <w:rsid w:val="00414171"/>
    <w:rsid w:val="0041787F"/>
    <w:rsid w:val="00423450"/>
    <w:rsid w:val="0042702D"/>
    <w:rsid w:val="00435C81"/>
    <w:rsid w:val="0044060A"/>
    <w:rsid w:val="00440F72"/>
    <w:rsid w:val="004565AA"/>
    <w:rsid w:val="00456A2C"/>
    <w:rsid w:val="004630DC"/>
    <w:rsid w:val="00474AE0"/>
    <w:rsid w:val="0047796F"/>
    <w:rsid w:val="00482931"/>
    <w:rsid w:val="00495574"/>
    <w:rsid w:val="004A44FF"/>
    <w:rsid w:val="004C2C5B"/>
    <w:rsid w:val="004E2D8F"/>
    <w:rsid w:val="004E5E61"/>
    <w:rsid w:val="004F1410"/>
    <w:rsid w:val="004F4766"/>
    <w:rsid w:val="00500264"/>
    <w:rsid w:val="00510B1E"/>
    <w:rsid w:val="005120A9"/>
    <w:rsid w:val="00517D7C"/>
    <w:rsid w:val="00520646"/>
    <w:rsid w:val="0052176F"/>
    <w:rsid w:val="0052604B"/>
    <w:rsid w:val="0053088D"/>
    <w:rsid w:val="00534BF6"/>
    <w:rsid w:val="00537CDE"/>
    <w:rsid w:val="005409FC"/>
    <w:rsid w:val="005563D3"/>
    <w:rsid w:val="00562842"/>
    <w:rsid w:val="00567D4F"/>
    <w:rsid w:val="00575F76"/>
    <w:rsid w:val="005766CE"/>
    <w:rsid w:val="00580F0E"/>
    <w:rsid w:val="00591388"/>
    <w:rsid w:val="0059358B"/>
    <w:rsid w:val="005944F9"/>
    <w:rsid w:val="00596428"/>
    <w:rsid w:val="00596CC5"/>
    <w:rsid w:val="005A4D1C"/>
    <w:rsid w:val="005B046D"/>
    <w:rsid w:val="005B33AE"/>
    <w:rsid w:val="005C49D7"/>
    <w:rsid w:val="005C60FB"/>
    <w:rsid w:val="005C7EF5"/>
    <w:rsid w:val="005D1C7F"/>
    <w:rsid w:val="005D2402"/>
    <w:rsid w:val="005D2BF6"/>
    <w:rsid w:val="005E17A1"/>
    <w:rsid w:val="005E7C53"/>
    <w:rsid w:val="005F0356"/>
    <w:rsid w:val="005F73BC"/>
    <w:rsid w:val="00600923"/>
    <w:rsid w:val="006053FC"/>
    <w:rsid w:val="006067C8"/>
    <w:rsid w:val="00612F3F"/>
    <w:rsid w:val="00620E68"/>
    <w:rsid w:val="00623637"/>
    <w:rsid w:val="006279C6"/>
    <w:rsid w:val="00644F1D"/>
    <w:rsid w:val="00646B59"/>
    <w:rsid w:val="006604C2"/>
    <w:rsid w:val="00677259"/>
    <w:rsid w:val="006861F5"/>
    <w:rsid w:val="00697FBB"/>
    <w:rsid w:val="006B2085"/>
    <w:rsid w:val="006B21B8"/>
    <w:rsid w:val="006B7B58"/>
    <w:rsid w:val="006C03BB"/>
    <w:rsid w:val="006C36EB"/>
    <w:rsid w:val="006D4B15"/>
    <w:rsid w:val="006D59F7"/>
    <w:rsid w:val="006E5E07"/>
    <w:rsid w:val="006F0434"/>
    <w:rsid w:val="00701D12"/>
    <w:rsid w:val="0070239F"/>
    <w:rsid w:val="0072309C"/>
    <w:rsid w:val="0072695B"/>
    <w:rsid w:val="0074224C"/>
    <w:rsid w:val="00750A70"/>
    <w:rsid w:val="00752912"/>
    <w:rsid w:val="007556BE"/>
    <w:rsid w:val="007621CC"/>
    <w:rsid w:val="0076668A"/>
    <w:rsid w:val="00784C08"/>
    <w:rsid w:val="00785EDF"/>
    <w:rsid w:val="00786A29"/>
    <w:rsid w:val="00795F59"/>
    <w:rsid w:val="007A5027"/>
    <w:rsid w:val="007B0A9F"/>
    <w:rsid w:val="007C0A5B"/>
    <w:rsid w:val="007C6921"/>
    <w:rsid w:val="007D22AB"/>
    <w:rsid w:val="007E5D71"/>
    <w:rsid w:val="007E71E6"/>
    <w:rsid w:val="007F5726"/>
    <w:rsid w:val="008168FB"/>
    <w:rsid w:val="00822BA6"/>
    <w:rsid w:val="0083667E"/>
    <w:rsid w:val="008419E9"/>
    <w:rsid w:val="008548FB"/>
    <w:rsid w:val="008623FD"/>
    <w:rsid w:val="00866774"/>
    <w:rsid w:val="00873B97"/>
    <w:rsid w:val="008763FA"/>
    <w:rsid w:val="008A5AC9"/>
    <w:rsid w:val="008A62AC"/>
    <w:rsid w:val="008B2206"/>
    <w:rsid w:val="008C255D"/>
    <w:rsid w:val="008C576F"/>
    <w:rsid w:val="008D3291"/>
    <w:rsid w:val="008D59AA"/>
    <w:rsid w:val="008E145D"/>
    <w:rsid w:val="008E2B56"/>
    <w:rsid w:val="008E69C8"/>
    <w:rsid w:val="00900232"/>
    <w:rsid w:val="00900BAA"/>
    <w:rsid w:val="00903734"/>
    <w:rsid w:val="00903878"/>
    <w:rsid w:val="00903CF6"/>
    <w:rsid w:val="009052C7"/>
    <w:rsid w:val="00905FFA"/>
    <w:rsid w:val="0092017A"/>
    <w:rsid w:val="00922032"/>
    <w:rsid w:val="00925C23"/>
    <w:rsid w:val="00927E08"/>
    <w:rsid w:val="009303FA"/>
    <w:rsid w:val="00941F0C"/>
    <w:rsid w:val="00943004"/>
    <w:rsid w:val="00953807"/>
    <w:rsid w:val="00966A88"/>
    <w:rsid w:val="00973A47"/>
    <w:rsid w:val="00981ED8"/>
    <w:rsid w:val="009822C7"/>
    <w:rsid w:val="00982AA3"/>
    <w:rsid w:val="009863EF"/>
    <w:rsid w:val="00986A41"/>
    <w:rsid w:val="0098719A"/>
    <w:rsid w:val="00991FF2"/>
    <w:rsid w:val="0099315B"/>
    <w:rsid w:val="00995DD9"/>
    <w:rsid w:val="009C1F02"/>
    <w:rsid w:val="009C3783"/>
    <w:rsid w:val="009C4E7E"/>
    <w:rsid w:val="009D6951"/>
    <w:rsid w:val="009D787E"/>
    <w:rsid w:val="009D7DD1"/>
    <w:rsid w:val="009E006A"/>
    <w:rsid w:val="009E0351"/>
    <w:rsid w:val="009E214B"/>
    <w:rsid w:val="009E53AF"/>
    <w:rsid w:val="009F0270"/>
    <w:rsid w:val="009F61FA"/>
    <w:rsid w:val="00A05796"/>
    <w:rsid w:val="00A13CB0"/>
    <w:rsid w:val="00A14FD8"/>
    <w:rsid w:val="00A16AAF"/>
    <w:rsid w:val="00A22CA1"/>
    <w:rsid w:val="00A4595D"/>
    <w:rsid w:val="00A51146"/>
    <w:rsid w:val="00A61D3A"/>
    <w:rsid w:val="00A66833"/>
    <w:rsid w:val="00A70DCF"/>
    <w:rsid w:val="00A72437"/>
    <w:rsid w:val="00A73FDF"/>
    <w:rsid w:val="00A824B9"/>
    <w:rsid w:val="00A870DD"/>
    <w:rsid w:val="00A96157"/>
    <w:rsid w:val="00A969AF"/>
    <w:rsid w:val="00A9729E"/>
    <w:rsid w:val="00AA1822"/>
    <w:rsid w:val="00AA1F69"/>
    <w:rsid w:val="00AB348F"/>
    <w:rsid w:val="00AB7D36"/>
    <w:rsid w:val="00AC1390"/>
    <w:rsid w:val="00AC4663"/>
    <w:rsid w:val="00AE1DD2"/>
    <w:rsid w:val="00AE4106"/>
    <w:rsid w:val="00B12138"/>
    <w:rsid w:val="00B17749"/>
    <w:rsid w:val="00B17AE9"/>
    <w:rsid w:val="00B17C05"/>
    <w:rsid w:val="00B20334"/>
    <w:rsid w:val="00B20819"/>
    <w:rsid w:val="00B225B9"/>
    <w:rsid w:val="00B24AB1"/>
    <w:rsid w:val="00B36BD9"/>
    <w:rsid w:val="00B41A4C"/>
    <w:rsid w:val="00B43095"/>
    <w:rsid w:val="00B446CA"/>
    <w:rsid w:val="00B5093C"/>
    <w:rsid w:val="00B54356"/>
    <w:rsid w:val="00B55FE5"/>
    <w:rsid w:val="00B603D8"/>
    <w:rsid w:val="00B62917"/>
    <w:rsid w:val="00B6697F"/>
    <w:rsid w:val="00B74609"/>
    <w:rsid w:val="00B752B2"/>
    <w:rsid w:val="00B80E39"/>
    <w:rsid w:val="00B824A5"/>
    <w:rsid w:val="00B8588F"/>
    <w:rsid w:val="00B858F1"/>
    <w:rsid w:val="00B8684C"/>
    <w:rsid w:val="00BA5A2D"/>
    <w:rsid w:val="00BA5B8F"/>
    <w:rsid w:val="00BB2B54"/>
    <w:rsid w:val="00BC3CA1"/>
    <w:rsid w:val="00BC49E5"/>
    <w:rsid w:val="00BC6DB1"/>
    <w:rsid w:val="00BD3194"/>
    <w:rsid w:val="00BD5FA8"/>
    <w:rsid w:val="00BE23E5"/>
    <w:rsid w:val="00BE31E6"/>
    <w:rsid w:val="00BF757E"/>
    <w:rsid w:val="00BF7C0E"/>
    <w:rsid w:val="00BF7F5A"/>
    <w:rsid w:val="00C17719"/>
    <w:rsid w:val="00C20730"/>
    <w:rsid w:val="00C2470A"/>
    <w:rsid w:val="00C335D8"/>
    <w:rsid w:val="00C4713A"/>
    <w:rsid w:val="00C50E12"/>
    <w:rsid w:val="00C54491"/>
    <w:rsid w:val="00C71B43"/>
    <w:rsid w:val="00C74D8F"/>
    <w:rsid w:val="00C751A9"/>
    <w:rsid w:val="00C766DD"/>
    <w:rsid w:val="00C76BDF"/>
    <w:rsid w:val="00C775CE"/>
    <w:rsid w:val="00C8030E"/>
    <w:rsid w:val="00C91697"/>
    <w:rsid w:val="00C92EAA"/>
    <w:rsid w:val="00CA148F"/>
    <w:rsid w:val="00CA29F9"/>
    <w:rsid w:val="00CB6B73"/>
    <w:rsid w:val="00CC218D"/>
    <w:rsid w:val="00CC6334"/>
    <w:rsid w:val="00CC677A"/>
    <w:rsid w:val="00CD008E"/>
    <w:rsid w:val="00CD6EDC"/>
    <w:rsid w:val="00CE2D1F"/>
    <w:rsid w:val="00CF1561"/>
    <w:rsid w:val="00CF1A40"/>
    <w:rsid w:val="00CF36EF"/>
    <w:rsid w:val="00CF4AE2"/>
    <w:rsid w:val="00D1110F"/>
    <w:rsid w:val="00D15B10"/>
    <w:rsid w:val="00D20969"/>
    <w:rsid w:val="00D23E20"/>
    <w:rsid w:val="00D30FA6"/>
    <w:rsid w:val="00D32842"/>
    <w:rsid w:val="00D407EB"/>
    <w:rsid w:val="00D454AB"/>
    <w:rsid w:val="00D536AB"/>
    <w:rsid w:val="00D54E0C"/>
    <w:rsid w:val="00D5537A"/>
    <w:rsid w:val="00D64109"/>
    <w:rsid w:val="00D71136"/>
    <w:rsid w:val="00D7755A"/>
    <w:rsid w:val="00D77F36"/>
    <w:rsid w:val="00D9057D"/>
    <w:rsid w:val="00DA026E"/>
    <w:rsid w:val="00DA576E"/>
    <w:rsid w:val="00DB0A86"/>
    <w:rsid w:val="00DB57B7"/>
    <w:rsid w:val="00DC33CF"/>
    <w:rsid w:val="00DC3415"/>
    <w:rsid w:val="00DD3DE6"/>
    <w:rsid w:val="00DE4534"/>
    <w:rsid w:val="00DF3D3A"/>
    <w:rsid w:val="00DF4228"/>
    <w:rsid w:val="00E06670"/>
    <w:rsid w:val="00E47752"/>
    <w:rsid w:val="00E53030"/>
    <w:rsid w:val="00E56652"/>
    <w:rsid w:val="00E62C9E"/>
    <w:rsid w:val="00E63369"/>
    <w:rsid w:val="00E63569"/>
    <w:rsid w:val="00E80756"/>
    <w:rsid w:val="00E81F96"/>
    <w:rsid w:val="00E8302B"/>
    <w:rsid w:val="00E83E34"/>
    <w:rsid w:val="00E847A3"/>
    <w:rsid w:val="00E84F8C"/>
    <w:rsid w:val="00E85360"/>
    <w:rsid w:val="00E85641"/>
    <w:rsid w:val="00E85DA4"/>
    <w:rsid w:val="00E86B42"/>
    <w:rsid w:val="00E95892"/>
    <w:rsid w:val="00E97354"/>
    <w:rsid w:val="00EA5C44"/>
    <w:rsid w:val="00EA6408"/>
    <w:rsid w:val="00EC0483"/>
    <w:rsid w:val="00EC33A4"/>
    <w:rsid w:val="00ED0897"/>
    <w:rsid w:val="00ED53DC"/>
    <w:rsid w:val="00ED73FF"/>
    <w:rsid w:val="00ED7F01"/>
    <w:rsid w:val="00EE2FB8"/>
    <w:rsid w:val="00EE4612"/>
    <w:rsid w:val="00EE51DE"/>
    <w:rsid w:val="00EE609F"/>
    <w:rsid w:val="00EF5E01"/>
    <w:rsid w:val="00EF6223"/>
    <w:rsid w:val="00EF6EC0"/>
    <w:rsid w:val="00F02058"/>
    <w:rsid w:val="00F0343C"/>
    <w:rsid w:val="00F04CE5"/>
    <w:rsid w:val="00F13514"/>
    <w:rsid w:val="00F1360F"/>
    <w:rsid w:val="00F16AA8"/>
    <w:rsid w:val="00F21254"/>
    <w:rsid w:val="00F21791"/>
    <w:rsid w:val="00F3226A"/>
    <w:rsid w:val="00F33DB0"/>
    <w:rsid w:val="00F36222"/>
    <w:rsid w:val="00F45DB8"/>
    <w:rsid w:val="00F54D29"/>
    <w:rsid w:val="00F62BCD"/>
    <w:rsid w:val="00F72395"/>
    <w:rsid w:val="00F74B77"/>
    <w:rsid w:val="00F764FE"/>
    <w:rsid w:val="00F80625"/>
    <w:rsid w:val="00F827B6"/>
    <w:rsid w:val="00F86265"/>
    <w:rsid w:val="00F92BE5"/>
    <w:rsid w:val="00FA0574"/>
    <w:rsid w:val="00FB40F7"/>
    <w:rsid w:val="00FB68D3"/>
    <w:rsid w:val="00FC11EF"/>
    <w:rsid w:val="00FC4B75"/>
    <w:rsid w:val="00FE7554"/>
    <w:rsid w:val="00FF17FE"/>
    <w:rsid w:val="011D2710"/>
    <w:rsid w:val="011F3ABA"/>
    <w:rsid w:val="01A653AB"/>
    <w:rsid w:val="01B72D39"/>
    <w:rsid w:val="023A0DE1"/>
    <w:rsid w:val="03C2070B"/>
    <w:rsid w:val="03CA501F"/>
    <w:rsid w:val="04276F58"/>
    <w:rsid w:val="043C2B5E"/>
    <w:rsid w:val="048A698E"/>
    <w:rsid w:val="051F0BAA"/>
    <w:rsid w:val="05AE12D1"/>
    <w:rsid w:val="06A938AC"/>
    <w:rsid w:val="077D00CD"/>
    <w:rsid w:val="086F0BD1"/>
    <w:rsid w:val="08807DC0"/>
    <w:rsid w:val="088C6F74"/>
    <w:rsid w:val="09972933"/>
    <w:rsid w:val="09C03B07"/>
    <w:rsid w:val="09D52C60"/>
    <w:rsid w:val="0A56459C"/>
    <w:rsid w:val="0A780999"/>
    <w:rsid w:val="0ABB4799"/>
    <w:rsid w:val="0B2C354F"/>
    <w:rsid w:val="0B2E4DAA"/>
    <w:rsid w:val="0CD22E44"/>
    <w:rsid w:val="0D617DE3"/>
    <w:rsid w:val="0D990BE6"/>
    <w:rsid w:val="0DD0089A"/>
    <w:rsid w:val="0DD71DDF"/>
    <w:rsid w:val="0DE52D71"/>
    <w:rsid w:val="0DF843DB"/>
    <w:rsid w:val="0E4D4EA6"/>
    <w:rsid w:val="0E7D1328"/>
    <w:rsid w:val="0F3020EB"/>
    <w:rsid w:val="0F41270C"/>
    <w:rsid w:val="104C6824"/>
    <w:rsid w:val="10D97CD5"/>
    <w:rsid w:val="10ED1476"/>
    <w:rsid w:val="10FB3693"/>
    <w:rsid w:val="11D32976"/>
    <w:rsid w:val="12135469"/>
    <w:rsid w:val="124315DA"/>
    <w:rsid w:val="12E60B70"/>
    <w:rsid w:val="138419BE"/>
    <w:rsid w:val="13EE54F1"/>
    <w:rsid w:val="145E16ED"/>
    <w:rsid w:val="14E15863"/>
    <w:rsid w:val="154012CE"/>
    <w:rsid w:val="15C2342E"/>
    <w:rsid w:val="162776F9"/>
    <w:rsid w:val="162858D7"/>
    <w:rsid w:val="180133C3"/>
    <w:rsid w:val="193463F1"/>
    <w:rsid w:val="19801636"/>
    <w:rsid w:val="1A0110D5"/>
    <w:rsid w:val="1A3447D3"/>
    <w:rsid w:val="1A5F56EF"/>
    <w:rsid w:val="1B1B2DCE"/>
    <w:rsid w:val="1BFD08D4"/>
    <w:rsid w:val="1D0165EA"/>
    <w:rsid w:val="1DFB0471"/>
    <w:rsid w:val="1E5365E3"/>
    <w:rsid w:val="1E5C0E57"/>
    <w:rsid w:val="1E827BFE"/>
    <w:rsid w:val="1ED11157"/>
    <w:rsid w:val="1EF23289"/>
    <w:rsid w:val="1F274302"/>
    <w:rsid w:val="1F342C07"/>
    <w:rsid w:val="1F49353B"/>
    <w:rsid w:val="1F5D746C"/>
    <w:rsid w:val="1FC94C0B"/>
    <w:rsid w:val="2079293B"/>
    <w:rsid w:val="20803CC9"/>
    <w:rsid w:val="20F425EE"/>
    <w:rsid w:val="213F1567"/>
    <w:rsid w:val="21445B6B"/>
    <w:rsid w:val="2174151C"/>
    <w:rsid w:val="21BF3B5D"/>
    <w:rsid w:val="228965CC"/>
    <w:rsid w:val="234B5230"/>
    <w:rsid w:val="23824DC9"/>
    <w:rsid w:val="2426228E"/>
    <w:rsid w:val="247B5F23"/>
    <w:rsid w:val="2480698E"/>
    <w:rsid w:val="254A7C77"/>
    <w:rsid w:val="25CD5C03"/>
    <w:rsid w:val="25D44666"/>
    <w:rsid w:val="25FA00A6"/>
    <w:rsid w:val="2657494F"/>
    <w:rsid w:val="27471C24"/>
    <w:rsid w:val="27C43035"/>
    <w:rsid w:val="28067E17"/>
    <w:rsid w:val="285D3800"/>
    <w:rsid w:val="28887BBF"/>
    <w:rsid w:val="28C8725C"/>
    <w:rsid w:val="28D65D60"/>
    <w:rsid w:val="29160754"/>
    <w:rsid w:val="2A02356E"/>
    <w:rsid w:val="2B77216D"/>
    <w:rsid w:val="2BAF24A8"/>
    <w:rsid w:val="2BBD4024"/>
    <w:rsid w:val="2D8E73B2"/>
    <w:rsid w:val="2EA067CC"/>
    <w:rsid w:val="2F4852FF"/>
    <w:rsid w:val="31374878"/>
    <w:rsid w:val="313A1A4C"/>
    <w:rsid w:val="313F6476"/>
    <w:rsid w:val="3163532C"/>
    <w:rsid w:val="317908E2"/>
    <w:rsid w:val="32194889"/>
    <w:rsid w:val="322555EA"/>
    <w:rsid w:val="326905F0"/>
    <w:rsid w:val="330469DC"/>
    <w:rsid w:val="340003BA"/>
    <w:rsid w:val="352E358B"/>
    <w:rsid w:val="355D5108"/>
    <w:rsid w:val="366F7E8C"/>
    <w:rsid w:val="36742518"/>
    <w:rsid w:val="370945C1"/>
    <w:rsid w:val="37440C34"/>
    <w:rsid w:val="375D7FA6"/>
    <w:rsid w:val="379876F3"/>
    <w:rsid w:val="37DC3A83"/>
    <w:rsid w:val="38E12C82"/>
    <w:rsid w:val="38EF3C8A"/>
    <w:rsid w:val="39233695"/>
    <w:rsid w:val="3A096286"/>
    <w:rsid w:val="3AA77129"/>
    <w:rsid w:val="3AB9031E"/>
    <w:rsid w:val="3ABB3E24"/>
    <w:rsid w:val="3AD11A9D"/>
    <w:rsid w:val="3AF63F19"/>
    <w:rsid w:val="3B1BEA99"/>
    <w:rsid w:val="3B4C7172"/>
    <w:rsid w:val="3C1507B4"/>
    <w:rsid w:val="3C1A2DCC"/>
    <w:rsid w:val="3C1D6069"/>
    <w:rsid w:val="3C59305B"/>
    <w:rsid w:val="3CBD29DC"/>
    <w:rsid w:val="3D2C00C5"/>
    <w:rsid w:val="3D94095C"/>
    <w:rsid w:val="3D9E7933"/>
    <w:rsid w:val="3DC853B6"/>
    <w:rsid w:val="3E2B7643"/>
    <w:rsid w:val="3EAB2402"/>
    <w:rsid w:val="3ED23E32"/>
    <w:rsid w:val="3FB13A48"/>
    <w:rsid w:val="3FBD1AE8"/>
    <w:rsid w:val="401364B0"/>
    <w:rsid w:val="403B4E42"/>
    <w:rsid w:val="40D5220D"/>
    <w:rsid w:val="42200080"/>
    <w:rsid w:val="42693078"/>
    <w:rsid w:val="42D67E40"/>
    <w:rsid w:val="439A6E35"/>
    <w:rsid w:val="4450510B"/>
    <w:rsid w:val="446E63AB"/>
    <w:rsid w:val="461940F5"/>
    <w:rsid w:val="46406C9A"/>
    <w:rsid w:val="46A071B9"/>
    <w:rsid w:val="46B75D3F"/>
    <w:rsid w:val="47164E6B"/>
    <w:rsid w:val="48480CC1"/>
    <w:rsid w:val="488C3B06"/>
    <w:rsid w:val="488C513A"/>
    <w:rsid w:val="48965ED0"/>
    <w:rsid w:val="4896720A"/>
    <w:rsid w:val="4948541D"/>
    <w:rsid w:val="496C1988"/>
    <w:rsid w:val="49DF0FCF"/>
    <w:rsid w:val="4A201EF6"/>
    <w:rsid w:val="4A357967"/>
    <w:rsid w:val="4B50364F"/>
    <w:rsid w:val="4B865D88"/>
    <w:rsid w:val="4C1F2800"/>
    <w:rsid w:val="4C923D7E"/>
    <w:rsid w:val="4CB30DFF"/>
    <w:rsid w:val="4D85268B"/>
    <w:rsid w:val="4DBB0766"/>
    <w:rsid w:val="4EF16A5B"/>
    <w:rsid w:val="4F9F1B0F"/>
    <w:rsid w:val="50A0169A"/>
    <w:rsid w:val="51275918"/>
    <w:rsid w:val="519F1952"/>
    <w:rsid w:val="51D774AB"/>
    <w:rsid w:val="51F7178E"/>
    <w:rsid w:val="521D79C2"/>
    <w:rsid w:val="526606C2"/>
    <w:rsid w:val="52A907F9"/>
    <w:rsid w:val="52AC0CD5"/>
    <w:rsid w:val="530D5254"/>
    <w:rsid w:val="536D0D7A"/>
    <w:rsid w:val="5430271B"/>
    <w:rsid w:val="54F00B42"/>
    <w:rsid w:val="551663CF"/>
    <w:rsid w:val="56533E33"/>
    <w:rsid w:val="56F32878"/>
    <w:rsid w:val="576553EC"/>
    <w:rsid w:val="579161E1"/>
    <w:rsid w:val="581E6123"/>
    <w:rsid w:val="58354DBE"/>
    <w:rsid w:val="586112B1"/>
    <w:rsid w:val="586F4C13"/>
    <w:rsid w:val="587F072F"/>
    <w:rsid w:val="589436CF"/>
    <w:rsid w:val="5A8F4014"/>
    <w:rsid w:val="5ABE78FA"/>
    <w:rsid w:val="5AD72AAD"/>
    <w:rsid w:val="5B261AA6"/>
    <w:rsid w:val="5B4D1163"/>
    <w:rsid w:val="5B6A2FD1"/>
    <w:rsid w:val="5BE308F8"/>
    <w:rsid w:val="5C16336B"/>
    <w:rsid w:val="5C8E7193"/>
    <w:rsid w:val="5D11431E"/>
    <w:rsid w:val="5DC12155"/>
    <w:rsid w:val="5E2D6537"/>
    <w:rsid w:val="5E7E6D93"/>
    <w:rsid w:val="5E987E55"/>
    <w:rsid w:val="5EA629F6"/>
    <w:rsid w:val="5EF90F18"/>
    <w:rsid w:val="5F5513E2"/>
    <w:rsid w:val="5FCD662E"/>
    <w:rsid w:val="60822B6A"/>
    <w:rsid w:val="61246D0C"/>
    <w:rsid w:val="616104DF"/>
    <w:rsid w:val="61BB5496"/>
    <w:rsid w:val="623853B3"/>
    <w:rsid w:val="63DE4ECC"/>
    <w:rsid w:val="645C5585"/>
    <w:rsid w:val="647A167F"/>
    <w:rsid w:val="648B3FB8"/>
    <w:rsid w:val="64A86918"/>
    <w:rsid w:val="64B06D1C"/>
    <w:rsid w:val="6523039D"/>
    <w:rsid w:val="654A7778"/>
    <w:rsid w:val="65554CF2"/>
    <w:rsid w:val="6692441C"/>
    <w:rsid w:val="6787544C"/>
    <w:rsid w:val="67D07485"/>
    <w:rsid w:val="698A66BE"/>
    <w:rsid w:val="69E71C90"/>
    <w:rsid w:val="6A4B221F"/>
    <w:rsid w:val="6A5E536B"/>
    <w:rsid w:val="6AB525A4"/>
    <w:rsid w:val="6AD472F2"/>
    <w:rsid w:val="6B3358AF"/>
    <w:rsid w:val="6B681DC7"/>
    <w:rsid w:val="6C555F32"/>
    <w:rsid w:val="6D1D4D2C"/>
    <w:rsid w:val="6D371181"/>
    <w:rsid w:val="6D7F6E87"/>
    <w:rsid w:val="6DAD2DB4"/>
    <w:rsid w:val="6E511DCE"/>
    <w:rsid w:val="6EBD7464"/>
    <w:rsid w:val="6EC1674B"/>
    <w:rsid w:val="6F4F022A"/>
    <w:rsid w:val="704837AC"/>
    <w:rsid w:val="706D2B21"/>
    <w:rsid w:val="70B54896"/>
    <w:rsid w:val="712A11B9"/>
    <w:rsid w:val="712D16A4"/>
    <w:rsid w:val="71381023"/>
    <w:rsid w:val="71555718"/>
    <w:rsid w:val="718710C4"/>
    <w:rsid w:val="71D60F68"/>
    <w:rsid w:val="720C0F00"/>
    <w:rsid w:val="7302633B"/>
    <w:rsid w:val="73102258"/>
    <w:rsid w:val="73955FE3"/>
    <w:rsid w:val="73B0538E"/>
    <w:rsid w:val="74EF0832"/>
    <w:rsid w:val="7578358A"/>
    <w:rsid w:val="75CA4C66"/>
    <w:rsid w:val="75CC32C7"/>
    <w:rsid w:val="760F124E"/>
    <w:rsid w:val="768C7E47"/>
    <w:rsid w:val="773D7394"/>
    <w:rsid w:val="774F263D"/>
    <w:rsid w:val="78745037"/>
    <w:rsid w:val="788F1E71"/>
    <w:rsid w:val="79FF36AB"/>
    <w:rsid w:val="7A3765BA"/>
    <w:rsid w:val="7A8A0B42"/>
    <w:rsid w:val="7A9C17FD"/>
    <w:rsid w:val="7B076F3B"/>
    <w:rsid w:val="7B413328"/>
    <w:rsid w:val="7B4D7648"/>
    <w:rsid w:val="7BCD092E"/>
    <w:rsid w:val="7BD77067"/>
    <w:rsid w:val="7BEA678E"/>
    <w:rsid w:val="7C572CA5"/>
    <w:rsid w:val="7C902574"/>
    <w:rsid w:val="7D1B0DC1"/>
    <w:rsid w:val="7D4C4FD0"/>
    <w:rsid w:val="7D874B49"/>
    <w:rsid w:val="7DC511EB"/>
    <w:rsid w:val="7DD722F0"/>
    <w:rsid w:val="7E266235"/>
    <w:rsid w:val="7E3F3BE5"/>
    <w:rsid w:val="7EA3483F"/>
    <w:rsid w:val="7EB26F07"/>
    <w:rsid w:val="7FEBEB7F"/>
    <w:rsid w:val="7FFFFE9E"/>
    <w:rsid w:val="A7FB11C9"/>
    <w:rsid w:val="AE9FAFE0"/>
    <w:rsid w:val="B3B3E8CB"/>
    <w:rsid w:val="BAFE0312"/>
    <w:rsid w:val="BF172D5F"/>
    <w:rsid w:val="CBF183CC"/>
    <w:rsid w:val="CDFF529D"/>
    <w:rsid w:val="DED7DFFB"/>
    <w:rsid w:val="DEEA0063"/>
    <w:rsid w:val="F7F31279"/>
    <w:rsid w:val="FB6FE567"/>
    <w:rsid w:val="FBB9C780"/>
    <w:rsid w:val="FDFFA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宋体" w:hAnsi="宋体" w:eastAsia="宋体" w:cs="Times New Roman"/>
      <w:kern w:val="2"/>
      <w:sz w:val="24"/>
      <w:szCs w:val="24"/>
      <w:lang w:val="en-US" w:eastAsia="zh-CN" w:bidi="ar-SA"/>
    </w:rPr>
  </w:style>
  <w:style w:type="paragraph" w:styleId="2">
    <w:name w:val="heading 1"/>
    <w:basedOn w:val="1"/>
    <w:next w:val="1"/>
    <w:link w:val="29"/>
    <w:autoRedefine/>
    <w:qFormat/>
    <w:uiPriority w:val="0"/>
    <w:pPr>
      <w:keepNext/>
      <w:keepLines/>
      <w:numPr>
        <w:ilvl w:val="0"/>
        <w:numId w:val="1"/>
      </w:numPr>
      <w:spacing w:before="340" w:after="330" w:line="578" w:lineRule="auto"/>
      <w:outlineLvl w:val="0"/>
    </w:pPr>
    <w:rPr>
      <w:b/>
      <w:bCs/>
      <w:kern w:val="44"/>
      <w:sz w:val="44"/>
      <w:szCs w:val="44"/>
      <w:lang w:val="zh-CN"/>
    </w:rPr>
  </w:style>
  <w:style w:type="paragraph" w:styleId="3">
    <w:name w:val="heading 2"/>
    <w:basedOn w:val="1"/>
    <w:next w:val="1"/>
    <w:link w:val="30"/>
    <w:autoRedefine/>
    <w:qFormat/>
    <w:uiPriority w:val="0"/>
    <w:pPr>
      <w:keepNext/>
      <w:keepLines/>
      <w:spacing w:before="260" w:after="260" w:line="416" w:lineRule="auto"/>
      <w:outlineLvl w:val="1"/>
    </w:pPr>
    <w:rPr>
      <w:rFonts w:ascii="等线 Light" w:hAnsi="等线 Light" w:eastAsia="等线 Light"/>
      <w:b/>
      <w:bCs/>
      <w:sz w:val="32"/>
      <w:szCs w:val="32"/>
      <w:lang w:val="zh-CN"/>
    </w:rPr>
  </w:style>
  <w:style w:type="paragraph" w:styleId="4">
    <w:name w:val="heading 3"/>
    <w:basedOn w:val="1"/>
    <w:next w:val="1"/>
    <w:link w:val="31"/>
    <w:qFormat/>
    <w:uiPriority w:val="0"/>
    <w:pPr>
      <w:keepNext/>
      <w:keepLines/>
      <w:spacing w:before="260" w:after="260" w:line="416" w:lineRule="auto"/>
      <w:outlineLvl w:val="2"/>
    </w:pPr>
    <w:rPr>
      <w:b/>
      <w:bCs/>
      <w:sz w:val="30"/>
      <w:szCs w:val="30"/>
      <w:lang w:val="zh-CN"/>
    </w:rPr>
  </w:style>
  <w:style w:type="paragraph" w:styleId="5">
    <w:name w:val="heading 4"/>
    <w:basedOn w:val="1"/>
    <w:next w:val="1"/>
    <w:link w:val="32"/>
    <w:autoRedefine/>
    <w:qFormat/>
    <w:uiPriority w:val="0"/>
    <w:pPr>
      <w:keepNext/>
      <w:keepLines/>
      <w:numPr>
        <w:ilvl w:val="3"/>
        <w:numId w:val="1"/>
      </w:numPr>
      <w:spacing w:before="280" w:after="290" w:line="376" w:lineRule="auto"/>
      <w:outlineLvl w:val="3"/>
    </w:pPr>
    <w:rPr>
      <w:b/>
      <w:bCs/>
      <w:sz w:val="28"/>
      <w:szCs w:val="28"/>
      <w:lang w:val="zh-CN"/>
    </w:rPr>
  </w:style>
  <w:style w:type="paragraph" w:styleId="6">
    <w:name w:val="heading 5"/>
    <w:basedOn w:val="1"/>
    <w:next w:val="1"/>
    <w:link w:val="33"/>
    <w:autoRedefine/>
    <w:qFormat/>
    <w:uiPriority w:val="0"/>
    <w:pPr>
      <w:keepNext/>
      <w:keepLines/>
      <w:numPr>
        <w:ilvl w:val="4"/>
        <w:numId w:val="1"/>
      </w:numPr>
      <w:spacing w:before="280" w:after="290" w:line="376" w:lineRule="auto"/>
      <w:outlineLvl w:val="4"/>
    </w:pPr>
    <w:rPr>
      <w:b/>
      <w:bCs/>
      <w:sz w:val="28"/>
      <w:szCs w:val="28"/>
      <w:lang w:val="zh-CN"/>
    </w:rPr>
  </w:style>
  <w:style w:type="paragraph" w:styleId="7">
    <w:name w:val="heading 6"/>
    <w:basedOn w:val="1"/>
    <w:next w:val="1"/>
    <w:link w:val="34"/>
    <w:autoRedefine/>
    <w:qFormat/>
    <w:uiPriority w:val="0"/>
    <w:pPr>
      <w:keepNext/>
      <w:keepLines/>
      <w:numPr>
        <w:ilvl w:val="5"/>
        <w:numId w:val="1"/>
      </w:numPr>
      <w:spacing w:before="240" w:after="64" w:line="320" w:lineRule="auto"/>
      <w:outlineLvl w:val="5"/>
    </w:pPr>
    <w:rPr>
      <w:rFonts w:ascii="等线 Light" w:hAnsi="等线 Light" w:eastAsia="等线 Light"/>
      <w:b/>
      <w:bCs/>
      <w:lang w:val="zh-CN"/>
    </w:rPr>
  </w:style>
  <w:style w:type="paragraph" w:styleId="8">
    <w:name w:val="heading 7"/>
    <w:basedOn w:val="1"/>
    <w:next w:val="1"/>
    <w:link w:val="35"/>
    <w:autoRedefine/>
    <w:qFormat/>
    <w:uiPriority w:val="0"/>
    <w:pPr>
      <w:keepNext/>
      <w:keepLines/>
      <w:numPr>
        <w:ilvl w:val="6"/>
        <w:numId w:val="1"/>
      </w:numPr>
      <w:spacing w:before="240" w:after="64" w:line="320" w:lineRule="auto"/>
      <w:outlineLvl w:val="6"/>
    </w:pPr>
    <w:rPr>
      <w:b/>
      <w:bCs/>
      <w:lang w:val="zh-CN"/>
    </w:rPr>
  </w:style>
  <w:style w:type="paragraph" w:styleId="9">
    <w:name w:val="heading 8"/>
    <w:basedOn w:val="1"/>
    <w:next w:val="1"/>
    <w:link w:val="36"/>
    <w:autoRedefine/>
    <w:qFormat/>
    <w:uiPriority w:val="0"/>
    <w:pPr>
      <w:keepNext/>
      <w:keepLines/>
      <w:numPr>
        <w:ilvl w:val="7"/>
        <w:numId w:val="1"/>
      </w:numPr>
      <w:spacing w:before="240" w:after="64" w:line="320" w:lineRule="auto"/>
      <w:outlineLvl w:val="7"/>
    </w:pPr>
    <w:rPr>
      <w:rFonts w:ascii="等线 Light" w:hAnsi="等线 Light" w:eastAsia="等线 Light"/>
      <w:lang w:val="zh-CN"/>
    </w:rPr>
  </w:style>
  <w:style w:type="paragraph" w:styleId="10">
    <w:name w:val="heading 9"/>
    <w:basedOn w:val="1"/>
    <w:next w:val="1"/>
    <w:link w:val="37"/>
    <w:autoRedefine/>
    <w:qFormat/>
    <w:uiPriority w:val="0"/>
    <w:pPr>
      <w:keepNext/>
      <w:keepLines/>
      <w:numPr>
        <w:ilvl w:val="8"/>
        <w:numId w:val="1"/>
      </w:numPr>
      <w:spacing w:before="240" w:after="64" w:line="320" w:lineRule="auto"/>
      <w:outlineLvl w:val="8"/>
    </w:pPr>
    <w:rPr>
      <w:rFonts w:ascii="等线 Light" w:hAnsi="等线 Light" w:eastAsia="等线 Light"/>
      <w:szCs w:val="21"/>
      <w:lang w:val="zh-CN"/>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38"/>
    <w:autoRedefine/>
    <w:qFormat/>
    <w:uiPriority w:val="99"/>
    <w:pPr>
      <w:spacing w:before="120" w:beforeLines="50"/>
      <w:ind w:firstLine="512" w:firstLineChars="200"/>
    </w:pPr>
    <w:rPr>
      <w:spacing w:val="8"/>
      <w:szCs w:val="20"/>
    </w:rPr>
  </w:style>
  <w:style w:type="paragraph" w:styleId="12">
    <w:name w:val="caption"/>
    <w:basedOn w:val="1"/>
    <w:next w:val="1"/>
    <w:semiHidden/>
    <w:unhideWhenUsed/>
    <w:qFormat/>
    <w:uiPriority w:val="0"/>
    <w:rPr>
      <w:rFonts w:ascii="Arial" w:hAnsi="Arial" w:eastAsia="黑体"/>
      <w:sz w:val="20"/>
    </w:rPr>
  </w:style>
  <w:style w:type="paragraph" w:styleId="13">
    <w:name w:val="annotation text"/>
    <w:basedOn w:val="1"/>
    <w:link w:val="39"/>
    <w:autoRedefine/>
    <w:unhideWhenUsed/>
    <w:qFormat/>
    <w:uiPriority w:val="0"/>
    <w:pPr>
      <w:jc w:val="left"/>
    </w:pPr>
    <w:rPr>
      <w:kern w:val="0"/>
      <w:sz w:val="20"/>
      <w:lang w:val="zh-CN"/>
    </w:rPr>
  </w:style>
  <w:style w:type="paragraph" w:styleId="14">
    <w:name w:val="Body Text"/>
    <w:basedOn w:val="1"/>
    <w:next w:val="15"/>
    <w:link w:val="40"/>
    <w:autoRedefine/>
    <w:qFormat/>
    <w:uiPriority w:val="0"/>
    <w:pPr>
      <w:spacing w:after="120"/>
    </w:pPr>
  </w:style>
  <w:style w:type="paragraph" w:styleId="15">
    <w:name w:val="Quote"/>
    <w:next w:val="1"/>
    <w:link w:val="41"/>
    <w:autoRedefine/>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16">
    <w:name w:val="Plain Text"/>
    <w:basedOn w:val="1"/>
    <w:link w:val="42"/>
    <w:autoRedefine/>
    <w:qFormat/>
    <w:uiPriority w:val="0"/>
    <w:rPr>
      <w:rFonts w:ascii="Calibri" w:hAnsi="Courier New"/>
      <w:szCs w:val="20"/>
      <w:lang w:val="zh-CN"/>
    </w:rPr>
  </w:style>
  <w:style w:type="paragraph" w:styleId="17">
    <w:name w:val="Body Text Indent 2"/>
    <w:basedOn w:val="1"/>
    <w:autoRedefine/>
    <w:unhideWhenUsed/>
    <w:qFormat/>
    <w:uiPriority w:val="99"/>
    <w:pPr>
      <w:spacing w:after="120" w:line="480" w:lineRule="auto"/>
      <w:ind w:left="420" w:leftChars="200"/>
    </w:pPr>
  </w:style>
  <w:style w:type="paragraph" w:styleId="18">
    <w:name w:val="Balloon Text"/>
    <w:basedOn w:val="1"/>
    <w:link w:val="43"/>
    <w:autoRedefine/>
    <w:qFormat/>
    <w:uiPriority w:val="0"/>
    <w:rPr>
      <w:sz w:val="18"/>
      <w:szCs w:val="18"/>
      <w:lang w:val="zh-CN"/>
    </w:rPr>
  </w:style>
  <w:style w:type="paragraph" w:styleId="19">
    <w:name w:val="footer"/>
    <w:basedOn w:val="1"/>
    <w:link w:val="44"/>
    <w:autoRedefine/>
    <w:qFormat/>
    <w:uiPriority w:val="0"/>
    <w:pPr>
      <w:tabs>
        <w:tab w:val="center" w:pos="4153"/>
        <w:tab w:val="right" w:pos="8306"/>
      </w:tabs>
      <w:snapToGrid w:val="0"/>
      <w:jc w:val="left"/>
    </w:pPr>
    <w:rPr>
      <w:sz w:val="18"/>
      <w:szCs w:val="18"/>
      <w:lang w:val="zh-CN"/>
    </w:rPr>
  </w:style>
  <w:style w:type="paragraph" w:styleId="20">
    <w:name w:val="header"/>
    <w:basedOn w:val="1"/>
    <w:link w:val="45"/>
    <w:autoRedefine/>
    <w:qFormat/>
    <w:uiPriority w:val="0"/>
    <w:pPr>
      <w:pBdr>
        <w:bottom w:val="single" w:color="auto" w:sz="6" w:space="1"/>
      </w:pBdr>
      <w:tabs>
        <w:tab w:val="center" w:pos="4153"/>
        <w:tab w:val="right" w:pos="8306"/>
      </w:tabs>
      <w:snapToGrid w:val="0"/>
      <w:jc w:val="center"/>
    </w:pPr>
    <w:rPr>
      <w:sz w:val="18"/>
      <w:szCs w:val="18"/>
      <w:lang w:val="zh-CN"/>
    </w:rPr>
  </w:style>
  <w:style w:type="paragraph" w:styleId="21">
    <w:name w:val="Subtitle"/>
    <w:basedOn w:val="1"/>
    <w:next w:val="1"/>
    <w:link w:val="46"/>
    <w:autoRedefine/>
    <w:qFormat/>
    <w:uiPriority w:val="0"/>
    <w:pPr>
      <w:spacing w:before="240" w:beforeLines="50" w:after="60" w:line="312" w:lineRule="auto"/>
      <w:ind w:firstLine="200" w:firstLineChars="200"/>
      <w:jc w:val="center"/>
      <w:outlineLvl w:val="1"/>
    </w:pPr>
    <w:rPr>
      <w:rFonts w:ascii="Cambria" w:hAnsi="Cambria"/>
      <w:b/>
      <w:bCs/>
      <w:kern w:val="28"/>
      <w:sz w:val="32"/>
      <w:szCs w:val="32"/>
      <w:lang w:eastAsia="en-US"/>
    </w:rPr>
  </w:style>
  <w:style w:type="paragraph" w:styleId="22">
    <w:name w:val="Normal (Web)"/>
    <w:basedOn w:val="1"/>
    <w:autoRedefine/>
    <w:unhideWhenUsed/>
    <w:qFormat/>
    <w:uiPriority w:val="99"/>
    <w:pPr>
      <w:widowControl/>
      <w:spacing w:before="100" w:beforeAutospacing="1" w:after="100" w:afterAutospacing="1"/>
      <w:jc w:val="left"/>
    </w:pPr>
    <w:rPr>
      <w:rFonts w:cs="宋体"/>
      <w:kern w:val="0"/>
    </w:rPr>
  </w:style>
  <w:style w:type="paragraph" w:styleId="23">
    <w:name w:val="Title"/>
    <w:basedOn w:val="1"/>
    <w:autoRedefine/>
    <w:qFormat/>
    <w:uiPriority w:val="99"/>
    <w:pPr>
      <w:spacing w:before="240" w:after="60"/>
      <w:jc w:val="center"/>
      <w:outlineLvl w:val="0"/>
    </w:pPr>
    <w:rPr>
      <w:rFonts w:ascii="Arial" w:hAnsi="Arial" w:cs="Arial"/>
      <w:b/>
      <w:bCs/>
      <w:sz w:val="32"/>
      <w:szCs w:val="32"/>
    </w:rPr>
  </w:style>
  <w:style w:type="table" w:styleId="25">
    <w:name w:val="Table Grid"/>
    <w:basedOn w:val="2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7">
    <w:name w:val="Hyperlink"/>
    <w:qFormat/>
    <w:uiPriority w:val="0"/>
    <w:rPr>
      <w:color w:val="0563C1"/>
      <w:u w:val="single"/>
    </w:rPr>
  </w:style>
  <w:style w:type="character" w:styleId="28">
    <w:name w:val="annotation reference"/>
    <w:autoRedefine/>
    <w:unhideWhenUsed/>
    <w:qFormat/>
    <w:uiPriority w:val="99"/>
    <w:rPr>
      <w:sz w:val="21"/>
      <w:szCs w:val="21"/>
    </w:rPr>
  </w:style>
  <w:style w:type="character" w:customStyle="1" w:styleId="29">
    <w:name w:val="标题 1 字符"/>
    <w:link w:val="2"/>
    <w:autoRedefine/>
    <w:qFormat/>
    <w:uiPriority w:val="0"/>
    <w:rPr>
      <w:b/>
      <w:bCs/>
      <w:kern w:val="44"/>
      <w:sz w:val="44"/>
      <w:szCs w:val="44"/>
      <w:lang w:val="zh-CN" w:eastAsia="zh-CN"/>
    </w:rPr>
  </w:style>
  <w:style w:type="character" w:customStyle="1" w:styleId="30">
    <w:name w:val="标题 2 字符"/>
    <w:link w:val="3"/>
    <w:autoRedefine/>
    <w:qFormat/>
    <w:uiPriority w:val="0"/>
    <w:rPr>
      <w:rFonts w:ascii="等线 Light" w:hAnsi="等线 Light" w:eastAsia="等线 Light" w:cs="Times New Roman"/>
      <w:b/>
      <w:bCs/>
      <w:kern w:val="2"/>
      <w:sz w:val="32"/>
      <w:szCs w:val="32"/>
    </w:rPr>
  </w:style>
  <w:style w:type="character" w:customStyle="1" w:styleId="31">
    <w:name w:val="标题 3 字符"/>
    <w:link w:val="4"/>
    <w:autoRedefine/>
    <w:qFormat/>
    <w:uiPriority w:val="0"/>
    <w:rPr>
      <w:b/>
      <w:bCs/>
      <w:kern w:val="2"/>
      <w:sz w:val="30"/>
      <w:szCs w:val="30"/>
    </w:rPr>
  </w:style>
  <w:style w:type="character" w:customStyle="1" w:styleId="32">
    <w:name w:val="标题 4 字符"/>
    <w:link w:val="5"/>
    <w:autoRedefine/>
    <w:qFormat/>
    <w:uiPriority w:val="0"/>
    <w:rPr>
      <w:rFonts w:ascii="宋体" w:hAnsi="宋体"/>
      <w:b/>
      <w:bCs/>
      <w:kern w:val="2"/>
      <w:sz w:val="28"/>
      <w:szCs w:val="28"/>
    </w:rPr>
  </w:style>
  <w:style w:type="character" w:customStyle="1" w:styleId="33">
    <w:name w:val="标题 5 字符"/>
    <w:link w:val="6"/>
    <w:qFormat/>
    <w:uiPriority w:val="0"/>
    <w:rPr>
      <w:b/>
      <w:bCs/>
      <w:kern w:val="2"/>
      <w:sz w:val="28"/>
      <w:szCs w:val="28"/>
    </w:rPr>
  </w:style>
  <w:style w:type="character" w:customStyle="1" w:styleId="34">
    <w:name w:val="标题 6 字符"/>
    <w:link w:val="7"/>
    <w:semiHidden/>
    <w:qFormat/>
    <w:uiPriority w:val="0"/>
    <w:rPr>
      <w:rFonts w:ascii="等线 Light" w:hAnsi="等线 Light" w:eastAsia="等线 Light"/>
      <w:b/>
      <w:bCs/>
      <w:kern w:val="2"/>
      <w:sz w:val="24"/>
      <w:szCs w:val="24"/>
    </w:rPr>
  </w:style>
  <w:style w:type="character" w:customStyle="1" w:styleId="35">
    <w:name w:val="标题 7 字符"/>
    <w:link w:val="8"/>
    <w:autoRedefine/>
    <w:semiHidden/>
    <w:qFormat/>
    <w:uiPriority w:val="0"/>
    <w:rPr>
      <w:b/>
      <w:bCs/>
      <w:kern w:val="2"/>
      <w:sz w:val="24"/>
      <w:szCs w:val="24"/>
    </w:rPr>
  </w:style>
  <w:style w:type="character" w:customStyle="1" w:styleId="36">
    <w:name w:val="标题 8 字符"/>
    <w:link w:val="9"/>
    <w:semiHidden/>
    <w:qFormat/>
    <w:uiPriority w:val="0"/>
    <w:rPr>
      <w:rFonts w:ascii="等线 Light" w:hAnsi="等线 Light" w:eastAsia="等线 Light"/>
      <w:kern w:val="2"/>
      <w:sz w:val="24"/>
      <w:szCs w:val="24"/>
    </w:rPr>
  </w:style>
  <w:style w:type="character" w:customStyle="1" w:styleId="37">
    <w:name w:val="标题 9 字符"/>
    <w:link w:val="10"/>
    <w:semiHidden/>
    <w:qFormat/>
    <w:uiPriority w:val="0"/>
    <w:rPr>
      <w:rFonts w:ascii="等线 Light" w:hAnsi="等线 Light" w:eastAsia="等线 Light"/>
      <w:kern w:val="2"/>
      <w:sz w:val="21"/>
      <w:szCs w:val="21"/>
    </w:rPr>
  </w:style>
  <w:style w:type="character" w:customStyle="1" w:styleId="38">
    <w:name w:val="正文缩进 字符"/>
    <w:link w:val="11"/>
    <w:autoRedefine/>
    <w:qFormat/>
    <w:uiPriority w:val="99"/>
    <w:rPr>
      <w:spacing w:val="8"/>
      <w:kern w:val="2"/>
      <w:sz w:val="24"/>
      <w:lang w:val="en-US" w:eastAsia="zh-CN"/>
    </w:rPr>
  </w:style>
  <w:style w:type="character" w:customStyle="1" w:styleId="39">
    <w:name w:val="批注文字 字符1"/>
    <w:link w:val="13"/>
    <w:qFormat/>
    <w:uiPriority w:val="0"/>
    <w:rPr>
      <w:szCs w:val="24"/>
    </w:rPr>
  </w:style>
  <w:style w:type="character" w:customStyle="1" w:styleId="40">
    <w:name w:val="正文文本 字符"/>
    <w:link w:val="14"/>
    <w:qFormat/>
    <w:uiPriority w:val="0"/>
    <w:rPr>
      <w:kern w:val="2"/>
      <w:sz w:val="21"/>
      <w:szCs w:val="24"/>
    </w:rPr>
  </w:style>
  <w:style w:type="character" w:customStyle="1" w:styleId="41">
    <w:name w:val="引用 字符"/>
    <w:link w:val="15"/>
    <w:autoRedefine/>
    <w:qFormat/>
    <w:uiPriority w:val="0"/>
    <w:rPr>
      <w:rFonts w:ascii="Calibri" w:hAnsi="Calibri"/>
      <w:i/>
      <w:sz w:val="21"/>
    </w:rPr>
  </w:style>
  <w:style w:type="character" w:customStyle="1" w:styleId="42">
    <w:name w:val="纯文本 字符"/>
    <w:link w:val="16"/>
    <w:qFormat/>
    <w:uiPriority w:val="0"/>
    <w:rPr>
      <w:rFonts w:ascii="Calibri" w:hAnsi="Courier New"/>
      <w:kern w:val="2"/>
      <w:sz w:val="21"/>
    </w:rPr>
  </w:style>
  <w:style w:type="character" w:customStyle="1" w:styleId="43">
    <w:name w:val="批注框文本 字符"/>
    <w:link w:val="18"/>
    <w:qFormat/>
    <w:uiPriority w:val="0"/>
    <w:rPr>
      <w:kern w:val="2"/>
      <w:sz w:val="18"/>
      <w:szCs w:val="18"/>
    </w:rPr>
  </w:style>
  <w:style w:type="character" w:customStyle="1" w:styleId="44">
    <w:name w:val="页脚 字符1"/>
    <w:link w:val="19"/>
    <w:autoRedefine/>
    <w:qFormat/>
    <w:uiPriority w:val="0"/>
    <w:rPr>
      <w:kern w:val="2"/>
      <w:sz w:val="18"/>
      <w:szCs w:val="18"/>
    </w:rPr>
  </w:style>
  <w:style w:type="character" w:customStyle="1" w:styleId="45">
    <w:name w:val="页眉 字符"/>
    <w:link w:val="20"/>
    <w:autoRedefine/>
    <w:qFormat/>
    <w:uiPriority w:val="0"/>
    <w:rPr>
      <w:kern w:val="2"/>
      <w:sz w:val="18"/>
      <w:szCs w:val="18"/>
    </w:rPr>
  </w:style>
  <w:style w:type="character" w:customStyle="1" w:styleId="46">
    <w:name w:val="副标题 字符"/>
    <w:link w:val="21"/>
    <w:autoRedefine/>
    <w:qFormat/>
    <w:uiPriority w:val="0"/>
    <w:rPr>
      <w:rFonts w:ascii="Cambria" w:hAnsi="Cambria"/>
      <w:b/>
      <w:bCs/>
      <w:kern w:val="28"/>
      <w:sz w:val="32"/>
      <w:szCs w:val="32"/>
      <w:lang w:eastAsia="en-US"/>
    </w:rPr>
  </w:style>
  <w:style w:type="character" w:customStyle="1" w:styleId="47">
    <w:name w:val="已访问的超链接1"/>
    <w:autoRedefine/>
    <w:qFormat/>
    <w:uiPriority w:val="0"/>
    <w:rPr>
      <w:color w:val="800080"/>
      <w:u w:val="single"/>
    </w:rPr>
  </w:style>
  <w:style w:type="character" w:customStyle="1" w:styleId="48">
    <w:name w:val="正文（首行缩进2字符） Char"/>
    <w:link w:val="49"/>
    <w:autoRedefine/>
    <w:qFormat/>
    <w:uiPriority w:val="0"/>
    <w:rPr>
      <w:kern w:val="2"/>
      <w:sz w:val="24"/>
      <w:szCs w:val="24"/>
    </w:rPr>
  </w:style>
  <w:style w:type="paragraph" w:customStyle="1" w:styleId="49">
    <w:name w:val="正文（首行缩进2字符）"/>
    <w:basedOn w:val="1"/>
    <w:link w:val="48"/>
    <w:autoRedefine/>
    <w:qFormat/>
    <w:uiPriority w:val="0"/>
    <w:pPr>
      <w:ind w:firstLine="480" w:firstLineChars="200"/>
    </w:pPr>
    <w:rPr>
      <w:lang w:val="zh-CN"/>
    </w:rPr>
  </w:style>
  <w:style w:type="character" w:customStyle="1" w:styleId="50">
    <w:name w:val="段落 Char1"/>
    <w:link w:val="51"/>
    <w:autoRedefine/>
    <w:qFormat/>
    <w:uiPriority w:val="0"/>
    <w:rPr>
      <w:rFonts w:eastAsia="仿宋_GB2312"/>
      <w:sz w:val="24"/>
      <w:szCs w:val="24"/>
      <w:lang w:val="en-US" w:eastAsia="zh-CN" w:bidi="ar-SA"/>
    </w:rPr>
  </w:style>
  <w:style w:type="paragraph" w:customStyle="1" w:styleId="51">
    <w:name w:val="段落"/>
    <w:link w:val="50"/>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sz w:val="24"/>
      <w:szCs w:val="24"/>
      <w:lang w:val="en-US" w:eastAsia="zh-CN" w:bidi="ar-SA"/>
    </w:rPr>
  </w:style>
  <w:style w:type="character" w:customStyle="1" w:styleId="52">
    <w:name w:val="正文（安华金和） Char"/>
    <w:link w:val="53"/>
    <w:autoRedefine/>
    <w:qFormat/>
    <w:uiPriority w:val="0"/>
    <w:rPr>
      <w:rFonts w:ascii="Arial" w:hAnsi="Arial"/>
      <w:sz w:val="21"/>
      <w:szCs w:val="21"/>
      <w:lang w:val="en-US" w:eastAsia="zh-CN" w:bidi="ar-SA"/>
    </w:rPr>
  </w:style>
  <w:style w:type="paragraph" w:customStyle="1" w:styleId="53">
    <w:name w:val="正文（安华金和）"/>
    <w:link w:val="52"/>
    <w:autoRedefine/>
    <w:qFormat/>
    <w:uiPriority w:val="0"/>
    <w:pPr>
      <w:widowControl w:val="0"/>
      <w:spacing w:line="360" w:lineRule="auto"/>
      <w:ind w:firstLine="200"/>
    </w:pPr>
    <w:rPr>
      <w:rFonts w:ascii="Arial" w:hAnsi="Arial" w:eastAsia="宋体" w:cs="Times New Roman"/>
      <w:sz w:val="21"/>
      <w:szCs w:val="21"/>
      <w:lang w:val="en-US" w:eastAsia="zh-CN" w:bidi="ar-SA"/>
    </w:rPr>
  </w:style>
  <w:style w:type="character" w:customStyle="1" w:styleId="54">
    <w:name w:val="页脚 字符"/>
    <w:autoRedefine/>
    <w:qFormat/>
    <w:uiPriority w:val="99"/>
  </w:style>
  <w:style w:type="character" w:customStyle="1" w:styleId="55">
    <w:name w:val="列表段落 字符"/>
    <w:link w:val="56"/>
    <w:autoRedefine/>
    <w:qFormat/>
    <w:uiPriority w:val="34"/>
    <w:rPr>
      <w:rFonts w:ascii="等线" w:hAnsi="等线" w:eastAsia="等线"/>
      <w:kern w:val="2"/>
      <w:sz w:val="21"/>
      <w:szCs w:val="22"/>
    </w:rPr>
  </w:style>
  <w:style w:type="paragraph" w:styleId="56">
    <w:name w:val="List Paragraph"/>
    <w:basedOn w:val="1"/>
    <w:link w:val="55"/>
    <w:autoRedefine/>
    <w:qFormat/>
    <w:uiPriority w:val="34"/>
    <w:pPr>
      <w:ind w:firstLine="420" w:firstLineChars="200"/>
    </w:pPr>
    <w:rPr>
      <w:rFonts w:ascii="等线" w:hAnsi="等线" w:eastAsia="等线"/>
      <w:szCs w:val="22"/>
      <w:lang w:val="zh-CN"/>
    </w:rPr>
  </w:style>
  <w:style w:type="paragraph" w:customStyle="1" w:styleId="57">
    <w:name w:val="插图标注（安华金和）"/>
    <w:next w:val="1"/>
    <w:autoRedefine/>
    <w:qFormat/>
    <w:uiPriority w:val="0"/>
    <w:pPr>
      <w:numPr>
        <w:ilvl w:val="6"/>
        <w:numId w:val="2"/>
      </w:numPr>
      <w:spacing w:after="156"/>
      <w:jc w:val="center"/>
    </w:pPr>
    <w:rPr>
      <w:rFonts w:ascii="Arial" w:hAnsi="Arial" w:eastAsia="宋体" w:cs="Arial"/>
      <w:sz w:val="21"/>
      <w:szCs w:val="21"/>
      <w:lang w:val="en-US" w:eastAsia="zh-CN" w:bidi="ar-SA"/>
    </w:rPr>
  </w:style>
  <w:style w:type="paragraph" w:customStyle="1" w:styleId="58">
    <w:name w:val="标题 2（DBSec）"/>
    <w:basedOn w:val="3"/>
    <w:next w:val="1"/>
    <w:autoRedefine/>
    <w:qFormat/>
    <w:uiPriority w:val="0"/>
    <w:pPr>
      <w:numPr>
        <w:ilvl w:val="1"/>
        <w:numId w:val="2"/>
      </w:numPr>
      <w:spacing w:line="415" w:lineRule="auto"/>
      <w:ind w:left="794" w:leftChars="200"/>
      <w:jc w:val="left"/>
    </w:pPr>
    <w:rPr>
      <w:rFonts w:ascii="Arial" w:hAnsi="Arial" w:eastAsia="黑体"/>
      <w:bCs w:val="0"/>
    </w:rPr>
  </w:style>
  <w:style w:type="paragraph" w:customStyle="1" w:styleId="59">
    <w:name w:val="Default"/>
    <w:autoRedefine/>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60">
    <w:name w:val="_Style 27"/>
    <w:basedOn w:val="1"/>
    <w:next w:val="56"/>
    <w:autoRedefine/>
    <w:qFormat/>
    <w:uiPriority w:val="34"/>
    <w:pPr>
      <w:widowControl/>
      <w:spacing w:line="240" w:lineRule="atLeast"/>
      <w:ind w:firstLine="420" w:firstLineChars="200"/>
    </w:pPr>
    <w:rPr>
      <w:rFonts w:ascii="Arial" w:hAnsi="Arial"/>
      <w:kern w:val="0"/>
      <w:szCs w:val="21"/>
    </w:rPr>
  </w:style>
  <w:style w:type="paragraph" w:customStyle="1" w:styleId="61">
    <w:name w:val="列出段落2"/>
    <w:basedOn w:val="1"/>
    <w:autoRedefine/>
    <w:qFormat/>
    <w:uiPriority w:val="99"/>
    <w:pPr>
      <w:widowControl/>
      <w:spacing w:line="240" w:lineRule="atLeast"/>
      <w:ind w:firstLine="420" w:firstLineChars="200"/>
    </w:pPr>
    <w:rPr>
      <w:rFonts w:ascii="Arial" w:hAnsi="Arial"/>
      <w:kern w:val="0"/>
      <w:szCs w:val="21"/>
    </w:rPr>
  </w:style>
  <w:style w:type="paragraph" w:customStyle="1" w:styleId="62">
    <w:name w:val="标题 6（有编号）（安华金和）"/>
    <w:basedOn w:val="1"/>
    <w:next w:val="1"/>
    <w:autoRedefine/>
    <w:qFormat/>
    <w:uiPriority w:val="0"/>
    <w:pPr>
      <w:keepNext/>
      <w:keepLines/>
      <w:numPr>
        <w:ilvl w:val="5"/>
        <w:numId w:val="2"/>
      </w:numPr>
      <w:spacing w:before="240" w:after="64" w:line="319" w:lineRule="auto"/>
      <w:ind w:left="0"/>
      <w:jc w:val="left"/>
      <w:outlineLvl w:val="5"/>
    </w:pPr>
    <w:rPr>
      <w:rFonts w:ascii="Arial" w:hAnsi="Arial" w:eastAsia="黑体"/>
      <w:b/>
      <w:kern w:val="0"/>
    </w:rPr>
  </w:style>
  <w:style w:type="paragraph" w:customStyle="1" w:styleId="63">
    <w:name w:val="标题 4（DBSec）"/>
    <w:basedOn w:val="5"/>
    <w:next w:val="1"/>
    <w:autoRedefine/>
    <w:qFormat/>
    <w:uiPriority w:val="0"/>
    <w:pPr>
      <w:widowControl/>
      <w:numPr>
        <w:numId w:val="2"/>
      </w:numPr>
      <w:spacing w:after="156"/>
      <w:ind w:left="200" w:leftChars="200"/>
      <w:jc w:val="left"/>
    </w:pPr>
    <w:rPr>
      <w:rFonts w:ascii="Arial" w:hAnsi="Arial" w:eastAsia="黑体"/>
      <w:bCs w:val="0"/>
      <w:kern w:val="0"/>
    </w:rPr>
  </w:style>
  <w:style w:type="paragraph" w:customStyle="1" w:styleId="64">
    <w:name w:val="标题 3（DBSec）"/>
    <w:basedOn w:val="4"/>
    <w:next w:val="1"/>
    <w:autoRedefine/>
    <w:qFormat/>
    <w:uiPriority w:val="0"/>
    <w:pPr>
      <w:numPr>
        <w:ilvl w:val="2"/>
        <w:numId w:val="2"/>
      </w:numPr>
      <w:tabs>
        <w:tab w:val="left" w:pos="960"/>
      </w:tabs>
      <w:spacing w:line="415" w:lineRule="auto"/>
      <w:ind w:left="200" w:leftChars="200"/>
      <w:jc w:val="left"/>
    </w:pPr>
    <w:rPr>
      <w:rFonts w:ascii="Arial" w:hAnsi="Arial" w:eastAsia="黑体"/>
      <w:bCs w:val="0"/>
      <w:kern w:val="0"/>
    </w:rPr>
  </w:style>
  <w:style w:type="paragraph" w:customStyle="1" w:styleId="65">
    <w:name w:val="标题 1（DBSec）"/>
    <w:basedOn w:val="2"/>
    <w:next w:val="1"/>
    <w:autoRedefine/>
    <w:qFormat/>
    <w:uiPriority w:val="0"/>
    <w:pPr>
      <w:pageBreakBefore/>
      <w:numPr>
        <w:numId w:val="2"/>
      </w:numPr>
      <w:pBdr>
        <w:bottom w:val="single" w:color="auto" w:sz="48" w:space="1"/>
      </w:pBdr>
      <w:spacing w:before="600" w:line="576" w:lineRule="auto"/>
      <w:ind w:left="200" w:leftChars="200"/>
      <w:jc w:val="left"/>
    </w:pPr>
    <w:rPr>
      <w:rFonts w:ascii="Arial" w:hAnsi="Arial" w:eastAsia="黑体"/>
      <w:lang w:val="en-US"/>
    </w:rPr>
  </w:style>
  <w:style w:type="paragraph" w:customStyle="1" w:styleId="66">
    <w:name w:val="彩色列表 - 着色 11"/>
    <w:basedOn w:val="1"/>
    <w:autoRedefine/>
    <w:qFormat/>
    <w:uiPriority w:val="34"/>
    <w:pPr>
      <w:ind w:firstLine="420" w:firstLineChars="200"/>
    </w:pPr>
    <w:rPr>
      <w:rFonts w:ascii="Arial" w:hAnsi="Arial"/>
      <w:szCs w:val="21"/>
    </w:rPr>
  </w:style>
  <w:style w:type="paragraph" w:customStyle="1" w:styleId="67">
    <w:name w:val="表格标注（安华金和）"/>
    <w:basedOn w:val="57"/>
    <w:next w:val="1"/>
    <w:autoRedefine/>
    <w:qFormat/>
    <w:uiPriority w:val="0"/>
    <w:pPr>
      <w:numPr>
        <w:ilvl w:val="7"/>
      </w:numPr>
    </w:pPr>
  </w:style>
  <w:style w:type="paragraph" w:customStyle="1" w:styleId="68">
    <w:name w:val="标题 5（有编号）（安华金和）"/>
    <w:basedOn w:val="1"/>
    <w:next w:val="1"/>
    <w:autoRedefine/>
    <w:qFormat/>
    <w:uiPriority w:val="0"/>
    <w:pPr>
      <w:keepNext/>
      <w:keepLines/>
      <w:numPr>
        <w:ilvl w:val="4"/>
        <w:numId w:val="2"/>
      </w:numPr>
      <w:spacing w:before="280" w:after="156" w:line="377" w:lineRule="auto"/>
      <w:ind w:left="0"/>
      <w:jc w:val="left"/>
      <w:outlineLvl w:val="4"/>
    </w:pPr>
    <w:rPr>
      <w:rFonts w:ascii="Arial" w:hAnsi="Arial" w:eastAsia="黑体"/>
      <w:b/>
      <w:kern w:val="0"/>
      <w:szCs w:val="28"/>
    </w:rPr>
  </w:style>
  <w:style w:type="paragraph" w:customStyle="1" w:styleId="69">
    <w:name w:val="List Paragraph11"/>
    <w:basedOn w:val="1"/>
    <w:next w:val="1"/>
    <w:autoRedefine/>
    <w:qFormat/>
    <w:uiPriority w:val="34"/>
    <w:pPr>
      <w:ind w:firstLine="420" w:firstLineChars="200"/>
    </w:pPr>
    <w:rPr>
      <w:rFonts w:ascii="Verdana" w:hAnsi="Verdana"/>
      <w:color w:val="000000"/>
      <w:sz w:val="20"/>
      <w:szCs w:val="20"/>
    </w:rPr>
  </w:style>
  <w:style w:type="character" w:customStyle="1" w:styleId="70">
    <w:name w:val="批注文字 字符"/>
    <w:autoRedefine/>
    <w:qFormat/>
    <w:uiPriority w:val="99"/>
    <w:rPr>
      <w:kern w:val="2"/>
      <w:sz w:val="21"/>
      <w:szCs w:val="24"/>
    </w:rPr>
  </w:style>
  <w:style w:type="paragraph" w:customStyle="1" w:styleId="71">
    <w:name w:val="Other|1"/>
    <w:basedOn w:val="1"/>
    <w:autoRedefine/>
    <w:qFormat/>
    <w:uiPriority w:val="0"/>
    <w:pPr>
      <w:jc w:val="center"/>
    </w:pPr>
    <w:rPr>
      <w:rFonts w:cs="宋体"/>
      <w:sz w:val="22"/>
      <w:szCs w:val="22"/>
    </w:rPr>
  </w:style>
  <w:style w:type="paragraph" w:customStyle="1" w:styleId="72">
    <w:name w:val="列出段落1"/>
    <w:basedOn w:val="1"/>
    <w:autoRedefine/>
    <w:qFormat/>
    <w:uiPriority w:val="34"/>
    <w:pPr>
      <w:widowControl/>
      <w:ind w:firstLine="420" w:firstLineChars="200"/>
      <w:jc w:val="left"/>
    </w:pPr>
    <w:rPr>
      <w:rFonts w:cs="宋体"/>
      <w:kern w:val="0"/>
    </w:rPr>
  </w:style>
  <w:style w:type="paragraph" w:customStyle="1" w:styleId="73">
    <w:name w:val="标题-2"/>
    <w:basedOn w:val="1"/>
    <w:next w:val="3"/>
    <w:autoRedefine/>
    <w:qFormat/>
    <w:uiPriority w:val="0"/>
    <w:pPr>
      <w:spacing w:before="50" w:beforeLines="50" w:after="50" w:afterLines="50"/>
      <w:outlineLvl w:val="1"/>
    </w:pPr>
    <w:rPr>
      <w:b/>
      <w:kern w:val="0"/>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403</Words>
  <Characters>602</Characters>
  <Lines>114</Lines>
  <Paragraphs>130</Paragraphs>
  <TotalTime>21</TotalTime>
  <ScaleCrop>false</ScaleCrop>
  <LinksUpToDate>false</LinksUpToDate>
  <CharactersWithSpaces>918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2026-10-09T09:26:00Z</dcterms:created>
  <dcterms:modified xsi:type="dcterms:W3CDTF">2026-10-23T01:28:01Z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eyJoZGlkIjoiM2U2MDdkOTJlMzJhYjM5YTEwYjEwYWZkYTA3YWVhNDAiLCJ1c2VySWQiOiIzNTQ1Mjc1MzEifQ==</vt:lpwstr>
  </property>
  <property fmtid="{D5CDD505-2E9C-101B-9397-08002B2CF9AE}" pid="3" name="KSOProductBuildVer">
    <vt:lpwstr>2052-12.1.0.29161</vt:lpwstr>
  </property>
  <property fmtid="{D5CDD505-2E9C-101B-9397-08002B2CF9AE}" pid="4" name="ICV">
    <vt:lpwstr>0852B077F1114A348C83B86319D7D9A4_13</vt:lpwstr>
  </property>
</Properties>
</file>